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E755C" w:rsidRPr="00373289" w:rsidRDefault="00373289">
      <w:pPr>
        <w:rPr>
          <w:lang w:val="en-GB"/>
        </w:rPr>
      </w:pPr>
      <w:r>
        <w:rPr>
          <w:lang w:val="en-GB"/>
        </w:rPr>
        <w:t>Four</w:t>
      </w:r>
      <w:r w:rsidRPr="00373289">
        <w:rPr>
          <w:lang w:val="en-GB"/>
        </w:rPr>
        <w:t xml:space="preserve"> ways to talk about residual emissions</w:t>
      </w:r>
    </w:p>
    <w:p w:rsidR="00373289" w:rsidRDefault="00373289">
      <w:pPr>
        <w:rPr>
          <w:lang w:val="en-GB"/>
        </w:rPr>
      </w:pPr>
    </w:p>
    <w:p w:rsidR="00373289" w:rsidRDefault="0022482B">
      <w:pPr>
        <w:rPr>
          <w:lang w:val="en-GB"/>
        </w:rPr>
      </w:pPr>
      <w:r>
        <w:rPr>
          <w:noProof/>
          <w:lang w:val="en-GB" w:eastAsia="en-GB"/>
        </w:rPr>
        <w:drawing>
          <wp:inline distT="0" distB="0" distL="0" distR="0" wp14:anchorId="1AD07A1B">
            <wp:extent cx="5676314" cy="3429402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012" cy="343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73289" w:rsidRDefault="00373289" w:rsidP="003732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Introduction</w:t>
      </w:r>
    </w:p>
    <w:p w:rsidR="00373289" w:rsidRDefault="00373289" w:rsidP="00373289">
      <w:pPr>
        <w:pStyle w:val="Listenabsatz"/>
        <w:ind w:left="360"/>
        <w:rPr>
          <w:lang w:val="en-GB"/>
        </w:rPr>
      </w:pPr>
    </w:p>
    <w:p w:rsidR="00373289" w:rsidRPr="00526FDC" w:rsidRDefault="00373289" w:rsidP="008E7062">
      <w:pPr>
        <w:pStyle w:val="Listenabsatz"/>
        <w:numPr>
          <w:ilvl w:val="0"/>
          <w:numId w:val="2"/>
        </w:numPr>
        <w:rPr>
          <w:lang w:val="en-GB"/>
        </w:rPr>
      </w:pPr>
      <w:r w:rsidRPr="00526FDC">
        <w:rPr>
          <w:lang w:val="en-GB"/>
        </w:rPr>
        <w:t xml:space="preserve">A common refrain in the literature and in net zero policy documents is that carbon dioxide removal </w:t>
      </w:r>
      <w:r w:rsidR="00526FDC" w:rsidRPr="00526FDC">
        <w:rPr>
          <w:lang w:val="en-GB"/>
        </w:rPr>
        <w:t xml:space="preserve">(CDR) </w:t>
      </w:r>
      <w:r w:rsidRPr="00526FDC">
        <w:rPr>
          <w:lang w:val="en-GB"/>
        </w:rPr>
        <w:t xml:space="preserve">is necessary to offset </w:t>
      </w:r>
      <w:r w:rsidR="00526FDC" w:rsidRPr="00526FDC">
        <w:rPr>
          <w:lang w:val="en-GB"/>
        </w:rPr>
        <w:t>“</w:t>
      </w:r>
      <w:r w:rsidRPr="00526FDC">
        <w:rPr>
          <w:lang w:val="en-GB"/>
        </w:rPr>
        <w:t>residual emissions</w:t>
      </w:r>
      <w:r w:rsidR="00526FDC" w:rsidRPr="00526FDC">
        <w:rPr>
          <w:lang w:val="en-GB"/>
        </w:rPr>
        <w:t xml:space="preserve">” and reach net zero emissions. </w:t>
      </w:r>
      <w:r w:rsidR="00526FDC">
        <w:rPr>
          <w:lang w:val="en-GB"/>
        </w:rPr>
        <w:t>These r</w:t>
      </w:r>
      <w:r w:rsidR="00526FDC" w:rsidRPr="00526FDC">
        <w:rPr>
          <w:lang w:val="en-GB"/>
        </w:rPr>
        <w:t xml:space="preserve">esidual emissions </w:t>
      </w:r>
      <w:r w:rsidR="00526FDC">
        <w:rPr>
          <w:lang w:val="en-GB"/>
        </w:rPr>
        <w:t xml:space="preserve">remain </w:t>
      </w:r>
      <w:r w:rsidRPr="00526FDC">
        <w:rPr>
          <w:lang w:val="en-GB"/>
        </w:rPr>
        <w:t>because some sectors are “hard to mitigate”.</w:t>
      </w:r>
      <w:bookmarkStart w:id="0" w:name="_GoBack"/>
      <w:bookmarkEnd w:id="0"/>
    </w:p>
    <w:p w:rsidR="004B771F" w:rsidRDefault="00373289" w:rsidP="0037328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What are these residual emissions and why are they hard to mitigate? </w:t>
      </w:r>
    </w:p>
    <w:p w:rsidR="004B771F" w:rsidRDefault="00373289" w:rsidP="0037328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This question has received relatively little attention, despite </w:t>
      </w:r>
      <w:r w:rsidR="004B771F">
        <w:rPr>
          <w:lang w:val="en-GB"/>
        </w:rPr>
        <w:t>recent efforts to develop rigorous definitions of “net zero” and a shared lexicon of relevant terms. [List UNFCCC lexicon, SBTi definitions, etc.]</w:t>
      </w:r>
    </w:p>
    <w:p w:rsidR="00373289" w:rsidRPr="00373289" w:rsidRDefault="004B771F" w:rsidP="00373289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 </w:t>
      </w:r>
    </w:p>
    <w:p w:rsidR="00373289" w:rsidRPr="00373289" w:rsidRDefault="00373289" w:rsidP="00373289">
      <w:pPr>
        <w:rPr>
          <w:lang w:val="en-GB"/>
        </w:rPr>
      </w:pPr>
    </w:p>
    <w:p w:rsidR="00373289" w:rsidRDefault="00373289" w:rsidP="003732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Residual emissions as a technological frontier</w:t>
      </w:r>
    </w:p>
    <w:p w:rsidR="00373289" w:rsidRDefault="00373289" w:rsidP="003732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Residual emissions as techno-economic choices</w:t>
      </w:r>
    </w:p>
    <w:p w:rsidR="00373289" w:rsidRDefault="00373289" w:rsidP="003732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Residual emissions as normative choices</w:t>
      </w:r>
    </w:p>
    <w:p w:rsidR="00373289" w:rsidRPr="00373289" w:rsidRDefault="00373289" w:rsidP="003732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Residual emissions as </w:t>
      </w:r>
      <w:r w:rsidR="004B771F">
        <w:rPr>
          <w:lang w:val="en-GB"/>
        </w:rPr>
        <w:t>a trade-off with</w:t>
      </w:r>
      <w:r>
        <w:rPr>
          <w:lang w:val="en-GB"/>
        </w:rPr>
        <w:t xml:space="preserve"> carbon dioxide removal</w:t>
      </w:r>
      <w:r w:rsidR="004B771F">
        <w:rPr>
          <w:lang w:val="en-GB"/>
        </w:rPr>
        <w:t>s</w:t>
      </w:r>
    </w:p>
    <w:p w:rsidR="00373289" w:rsidRDefault="00373289">
      <w:pPr>
        <w:rPr>
          <w:lang w:val="en-GB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30"/>
        <w:gridCol w:w="3119"/>
        <w:gridCol w:w="2977"/>
      </w:tblGrid>
      <w:tr w:rsidR="00526FDC" w:rsidTr="00526FDC">
        <w:tc>
          <w:tcPr>
            <w:tcW w:w="2830" w:type="dxa"/>
          </w:tcPr>
          <w:p w:rsidR="00526FDC" w:rsidRDefault="00526FDC">
            <w:pPr>
              <w:rPr>
                <w:lang w:val="en-GB"/>
              </w:rPr>
            </w:pPr>
            <w:r>
              <w:rPr>
                <w:lang w:val="en-GB"/>
              </w:rPr>
              <w:t>Orientation</w:t>
            </w:r>
          </w:p>
        </w:tc>
        <w:tc>
          <w:tcPr>
            <w:tcW w:w="3119" w:type="dxa"/>
          </w:tcPr>
          <w:p w:rsidR="00526FDC" w:rsidRDefault="00526FDC">
            <w:pPr>
              <w:rPr>
                <w:lang w:val="en-GB"/>
              </w:rPr>
            </w:pPr>
            <w:r>
              <w:rPr>
                <w:lang w:val="en-GB"/>
              </w:rPr>
              <w:t>Overarching question</w:t>
            </w:r>
          </w:p>
        </w:tc>
        <w:tc>
          <w:tcPr>
            <w:tcW w:w="2977" w:type="dxa"/>
          </w:tcPr>
          <w:p w:rsidR="00526FDC" w:rsidRDefault="00526FDC">
            <w:pPr>
              <w:rPr>
                <w:lang w:val="en-GB"/>
              </w:rPr>
            </w:pPr>
            <w:r>
              <w:rPr>
                <w:lang w:val="en-GB"/>
              </w:rPr>
              <w:t>Evidence basis</w:t>
            </w:r>
          </w:p>
        </w:tc>
      </w:tr>
      <w:tr w:rsidR="00526FDC" w:rsidRPr="0022482B" w:rsidTr="00526FDC">
        <w:tc>
          <w:tcPr>
            <w:tcW w:w="2830" w:type="dxa"/>
          </w:tcPr>
          <w:p w:rsidR="00526FDC" w:rsidRDefault="00526FDC">
            <w:pPr>
              <w:rPr>
                <w:lang w:val="en-GB"/>
              </w:rPr>
            </w:pPr>
            <w:r>
              <w:rPr>
                <w:lang w:val="en-GB"/>
              </w:rPr>
              <w:t>Technological frontier</w:t>
            </w:r>
          </w:p>
        </w:tc>
        <w:tc>
          <w:tcPr>
            <w:tcW w:w="3119" w:type="dxa"/>
          </w:tcPr>
          <w:p w:rsidR="00526FDC" w:rsidRPr="00526FDC" w:rsidRDefault="006A1CFF" w:rsidP="006A1CFF">
            <w:pPr>
              <w:rPr>
                <w:lang w:val="en-GB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What residual emissions remain after exploiting the full breadth of technically feasible mitigation options, </w:t>
            </w:r>
            <w:r w:rsidR="00B114D9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 xml:space="preserve">while </w:t>
            </w:r>
            <w:r w:rsidR="00526FD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delivering expected service demand</w:t>
            </w:r>
            <w:r w:rsidR="00526FDC" w:rsidRPr="00526FDC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?</w:t>
            </w:r>
          </w:p>
        </w:tc>
        <w:tc>
          <w:tcPr>
            <w:tcW w:w="2977" w:type="dxa"/>
          </w:tcPr>
          <w:p w:rsidR="00526FDC" w:rsidRDefault="00526FDC">
            <w:pPr>
              <w:rPr>
                <w:lang w:val="en-GB"/>
              </w:rPr>
            </w:pPr>
          </w:p>
        </w:tc>
      </w:tr>
      <w:tr w:rsidR="00526FDC" w:rsidRPr="0022482B" w:rsidTr="00526FDC">
        <w:tc>
          <w:tcPr>
            <w:tcW w:w="2830" w:type="dxa"/>
          </w:tcPr>
          <w:p w:rsidR="00526FDC" w:rsidRPr="006A1CFF" w:rsidRDefault="00526FDC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6A1CFF">
              <w:rPr>
                <w:lang w:val="en-GB"/>
              </w:rPr>
              <w:t>Techno-economic choices</w:t>
            </w:r>
          </w:p>
        </w:tc>
        <w:tc>
          <w:tcPr>
            <w:tcW w:w="3119" w:type="dxa"/>
          </w:tcPr>
          <w:p w:rsidR="00526FDC" w:rsidRPr="006A1CFF" w:rsidRDefault="006A1CFF">
            <w:pP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</w:pPr>
            <w:r w:rsidRPr="006A1CFF"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What residual emissions remain after exploiting economically feasible mitigation options</w:t>
            </w:r>
            <w:r>
              <w:rPr>
                <w:rFonts w:ascii="Arial" w:hAnsi="Arial" w:cs="Arial"/>
                <w:color w:val="000000"/>
                <w:sz w:val="18"/>
                <w:szCs w:val="18"/>
                <w:lang w:val="en-GB"/>
              </w:rPr>
              <w:t>, including shifts in demand to deliver expected services?</w:t>
            </w:r>
          </w:p>
        </w:tc>
        <w:tc>
          <w:tcPr>
            <w:tcW w:w="2977" w:type="dxa"/>
          </w:tcPr>
          <w:p w:rsidR="00526FDC" w:rsidRDefault="00526FDC">
            <w:pPr>
              <w:rPr>
                <w:lang w:val="en-GB"/>
              </w:rPr>
            </w:pPr>
          </w:p>
        </w:tc>
      </w:tr>
      <w:tr w:rsidR="00526FDC" w:rsidRPr="0022482B" w:rsidTr="00526FDC">
        <w:tc>
          <w:tcPr>
            <w:tcW w:w="2830" w:type="dxa"/>
          </w:tcPr>
          <w:p w:rsidR="00526FDC" w:rsidRDefault="00526FDC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Normative choices</w:t>
            </w:r>
          </w:p>
        </w:tc>
        <w:tc>
          <w:tcPr>
            <w:tcW w:w="3119" w:type="dxa"/>
          </w:tcPr>
          <w:p w:rsidR="00526FDC" w:rsidRDefault="006A1CFF">
            <w:pPr>
              <w:rPr>
                <w:lang w:val="en-GB"/>
              </w:rPr>
            </w:pPr>
            <w:r>
              <w:rPr>
                <w:lang w:val="en-GB"/>
              </w:rPr>
              <w:t xml:space="preserve">What residual emissions remain after </w:t>
            </w:r>
          </w:p>
        </w:tc>
        <w:tc>
          <w:tcPr>
            <w:tcW w:w="2977" w:type="dxa"/>
          </w:tcPr>
          <w:p w:rsidR="00526FDC" w:rsidRDefault="00526FDC">
            <w:pPr>
              <w:rPr>
                <w:lang w:val="en-GB"/>
              </w:rPr>
            </w:pPr>
          </w:p>
        </w:tc>
      </w:tr>
      <w:tr w:rsidR="00526FDC" w:rsidTr="00526FDC">
        <w:tc>
          <w:tcPr>
            <w:tcW w:w="2830" w:type="dxa"/>
          </w:tcPr>
          <w:p w:rsidR="00526FDC" w:rsidRDefault="00526FDC" w:rsidP="004B771F">
            <w:pPr>
              <w:rPr>
                <w:lang w:val="en-GB"/>
              </w:rPr>
            </w:pPr>
            <w:r>
              <w:rPr>
                <w:lang w:val="en-GB"/>
              </w:rPr>
              <w:t>CDR trade-off</w:t>
            </w:r>
          </w:p>
        </w:tc>
        <w:tc>
          <w:tcPr>
            <w:tcW w:w="3119" w:type="dxa"/>
          </w:tcPr>
          <w:p w:rsidR="00526FDC" w:rsidRDefault="00526FDC">
            <w:pPr>
              <w:rPr>
                <w:lang w:val="en-GB"/>
              </w:rPr>
            </w:pPr>
          </w:p>
        </w:tc>
        <w:tc>
          <w:tcPr>
            <w:tcW w:w="2977" w:type="dxa"/>
          </w:tcPr>
          <w:p w:rsidR="00526FDC" w:rsidRDefault="00526FDC">
            <w:pPr>
              <w:rPr>
                <w:lang w:val="en-GB"/>
              </w:rPr>
            </w:pPr>
          </w:p>
        </w:tc>
      </w:tr>
    </w:tbl>
    <w:p w:rsidR="004B771F" w:rsidRDefault="004B771F">
      <w:pPr>
        <w:rPr>
          <w:lang w:val="en-GB"/>
        </w:rPr>
      </w:pPr>
    </w:p>
    <w:p w:rsidR="00373289" w:rsidRPr="00373289" w:rsidRDefault="00373289">
      <w:pPr>
        <w:rPr>
          <w:lang w:val="en-GB"/>
        </w:rPr>
      </w:pPr>
    </w:p>
    <w:p w:rsidR="00FA3AC5" w:rsidRPr="00373289" w:rsidRDefault="00FA3AC5">
      <w:pPr>
        <w:rPr>
          <w:lang w:val="en-GB"/>
        </w:rPr>
      </w:pPr>
    </w:p>
    <w:p w:rsidR="00FA3AC5" w:rsidRPr="00373289" w:rsidRDefault="00FA3AC5">
      <w:pPr>
        <w:rPr>
          <w:lang w:val="en-GB"/>
        </w:rPr>
      </w:pPr>
    </w:p>
    <w:p w:rsidR="00FA3AC5" w:rsidRPr="00373289" w:rsidRDefault="00FA3AC5">
      <w:pPr>
        <w:rPr>
          <w:lang w:val="en-GB"/>
        </w:rPr>
      </w:pPr>
    </w:p>
    <w:sectPr w:rsidR="00FA3AC5" w:rsidRPr="0037328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23243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15C08DA"/>
    <w:multiLevelType w:val="hybridMultilevel"/>
    <w:tmpl w:val="65E21CE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D0"/>
    <w:rsid w:val="0022482B"/>
    <w:rsid w:val="002336F2"/>
    <w:rsid w:val="00250833"/>
    <w:rsid w:val="00373289"/>
    <w:rsid w:val="004723DB"/>
    <w:rsid w:val="004B771F"/>
    <w:rsid w:val="00526FDC"/>
    <w:rsid w:val="006A1CFF"/>
    <w:rsid w:val="00757FE9"/>
    <w:rsid w:val="00902024"/>
    <w:rsid w:val="00971FD0"/>
    <w:rsid w:val="00B114D9"/>
    <w:rsid w:val="00B54E31"/>
    <w:rsid w:val="00C71D2E"/>
    <w:rsid w:val="00D42801"/>
    <w:rsid w:val="00E005FE"/>
    <w:rsid w:val="00EF7403"/>
    <w:rsid w:val="00F436FF"/>
    <w:rsid w:val="00F461A0"/>
    <w:rsid w:val="00FA3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6A5F343-E458-4106-8638-D34685BD9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3289"/>
    <w:pPr>
      <w:ind w:left="720"/>
      <w:contextualSpacing/>
    </w:pPr>
  </w:style>
  <w:style w:type="table" w:styleId="Tabellenraster">
    <w:name w:val="Table Grid"/>
    <w:basedOn w:val="NormaleTabelle"/>
    <w:uiPriority w:val="39"/>
    <w:rsid w:val="004B77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Lamb</dc:creator>
  <cp:keywords/>
  <dc:description/>
  <cp:lastModifiedBy>William Lamb</cp:lastModifiedBy>
  <cp:revision>11</cp:revision>
  <dcterms:created xsi:type="dcterms:W3CDTF">2023-02-27T14:30:00Z</dcterms:created>
  <dcterms:modified xsi:type="dcterms:W3CDTF">2023-03-02T07:54:00Z</dcterms:modified>
</cp:coreProperties>
</file>