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6"/>
        <w:gridCol w:w="5838"/>
      </w:tblGrid>
      <w:tr>
        <w:trPr>
          <w:trHeight w:val="1100" w:hRule="atLeast"/>
        </w:trPr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33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Step1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t xml:space="preserve"> Individual Income Tax Returns (Form 1040)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0000FF"/>
                <w:sz w:val="36"/>
                <w:szCs w:val="36"/>
              </w:rPr>
            </w:pP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Step2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t xml:space="preserve"> Alternative Minimum Tax (Form 6251)</w:t>
            </w:r>
          </w:p>
        </w:tc>
      </w:tr>
      <w:tr>
        <w:trPr>
          <w:trHeight w:val="1350" w:hRule="atLeast"/>
        </w:trPr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Add all Income: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</w:t>
              <w:br/>
              <w:t>+ wages</w:t>
              <w:br/>
              <w:t>+ salaries</w:t>
              <w:br/>
              <w:t xml:space="preserve">+ tips </w:t>
              <w:br/>
              <w:t xml:space="preserve">+ taxable interest </w:t>
              <w:br/>
              <w:t xml:space="preserve">+ capital gains </w:t>
              <w:br/>
              <w:t xml:space="preserve">+ ira distributions </w:t>
              <w:br/>
              <w:t xml:space="preserve">+ pension </w:t>
              <w:br/>
              <w:t xml:space="preserve">+ annuity income </w:t>
              <w:br/>
              <w:t>+ Social Security benefits</w:t>
              <w:br/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Enter taxable Income from form 1040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>(if zero, Enter adjusted gross income)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Take Deductions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:</w:t>
              <w:br/>
              <w:t xml:space="preserve">- educator expenses </w:t>
              <w:br/>
              <w:t xml:space="preserve">- business expenses </w:t>
              <w:br/>
              <w:t xml:space="preserve">- health saving accounts </w:t>
              <w:br/>
              <w:t xml:space="preserve">- self-employment tax </w:t>
              <w:br/>
              <w:t>- personal exemption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moving expenses for Armed Forces </w:t>
              <w:br/>
              <w:t xml:space="preserve">  (if applicable)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Find AMT INCOME: </w:t>
              <w:br/>
              <w:t>AMT Eliminates some deductions, ADD BACK: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>+ State and local tax deduction (SALT)</w:t>
              <w:br/>
              <w:t>+ Investment interest expense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Net operating loss</w:t>
              <w:br/>
              <w:t>+ Private activity bond interest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Depreciation</w:t>
              <w:br/>
              <w:t>+ Passive activities (rentals)</w:t>
              <w:br/>
              <w:t>+ Loss limitations</w:t>
              <w:br/>
              <w:t>+ Research costs</w:t>
              <w:br/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  Adjusted Gross Income (AGI)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Alternative Minimum Taxable Income (AMTI)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Choose the larger:</w:t>
              <w:br/>
              <w:t xml:space="preserve">1. - standard deduction </w:t>
              <w:br/>
              <w:t>2. - itemized deductions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Subtract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QBI (qualified business deduction)</w:t>
              <w:br/>
              <w:t xml:space="preserve">  if applicable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Filing Status :  AMT Threshold : Deduction</w:t>
              <w:br/>
              <w:br/>
              <w:t>Single / HOH         $609k                   86K</w:t>
              <w:br/>
              <w:t>MFJ / QSS            $1,200k                 133K</w:t>
              <w:br/>
              <w:t>MFS                         $609k                   67K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= Taxable income, MAGI </w:t>
            </w:r>
            <w:r>
              <w:rPr>
                <w:rFonts w:eastAsia="Calibri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(modified AGI)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CALCULATE TAX RATE &amp; AMOUNT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15% : 20% : 25%</w:t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1. Apply ordinary tax rates and,</w:t>
              <w:br/>
              <w:t>2. Take applicable tax Credits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(– EITC – LLC – CTC - ODC)</w:t>
            </w:r>
          </w:p>
        </w:tc>
        <w:tc>
          <w:tcPr>
            <w:tcW w:w="58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Total Ordinary Tax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 Tentative Tax (A.M.Tax)</w:t>
            </w:r>
          </w:p>
        </w:tc>
      </w:tr>
      <w:tr>
        <w:trPr/>
        <w:tc>
          <w:tcPr>
            <w:tcW w:w="1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kern w:val="2"/>
                <w:sz w:val="32"/>
                <w:szCs w:val="32"/>
                <w:lang w:val="en-US" w:eastAsia="en-US" w:bidi="ar-SA"/>
              </w:rPr>
              <w:t>PAY WHICHEVER AMOUNT IS GREATER!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LibreOffice/24.2.7.2$Linux_X86_64 LibreOffice_project/420$Build-2</Application>
  <AppVersion>15.0000</AppVersion>
  <Pages>1</Pages>
  <Words>217</Words>
  <Characters>1106</Characters>
  <CharactersWithSpaces>1427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2025-01-18T19:18:00Z</dcterms:created>
  <dc:creator>~</dc:creator>
  <dc:description/>
  <dc:language>en-US</dc:language>
  <cp:lastModifiedBy/>
  <dcterms:modified xsi:type="dcterms:W3CDTF">2025-01-25T22:03:31Z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