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bidi w:val="0"/>
        <w:spacing w:before="0" w:after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personal information (date of birth, marital status, dependents, id-protection PIN, Photo ID)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Residency status and/or citizenship (visas, green cards, resident alien or nonresident alien, ITIN, ATIN)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(AGI, premium tax credit, household size)</w:t>
      </w:r>
    </w:p>
    <w:p>
      <w:pPr>
        <w:pStyle w:val="PreformattedText"/>
        <w:bidi w:val="0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MORE BASICS</w:t>
      </w:r>
    </w:p>
    <w:p>
      <w:pPr>
        <w:pStyle w:val="PreformattedText"/>
        <w:bidi w:val="0"/>
        <w:spacing w:before="0" w:after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Substantial presence 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Visa type important.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&amp;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Exempt on scholarships and grants.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AFTER 3 yrs use HOH.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u w:val="single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UN-earned Income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interest, 1099-INT, non-taxable MUNI bond INT ($10 threshold for 1099-INT)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Dividends, 1099-DIV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Property sales - P537-Installment Sales, P544-Sale of Assets, P523-Selling Home, Schedule D-cap. Gains, rental income,alimony received, note: alimony paid is NOT deductible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Medicare-1.45/2.9 SS-6.2/12.4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credit,EITC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requirements (total household income, premium tax credit, household size)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Taxable &amp; NON-Taxable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</w:t>
      </w:r>
      <w:r>
        <w:rPr/>
        <w:t xml:space="preserve"> Income – wages, flow-through entities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Private bonds –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1099-NEC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Self-Employed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interest, 1099-INT, non-taxable MUNI bond INT MUST BE LISTED, 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Sales of property- P537-Installment Sales, P544-Sale of Assets, 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alimony received, </w:t>
      </w:r>
      <w:r>
        <w:rPr>
          <w:b/>
          <w:bCs/>
        </w:rPr>
        <w:t>note: alimony paid is NOT deductible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ADDS to Basis of property: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Sales tax.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Freight.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Installation &amp; 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Legal &amp; accounting fees (when they must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Recording fees.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Sales, Transfer &amp; 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Freight &amp; Shipping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Installation/testing.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to utility services.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Legal fees (title search &amp; sales contract preparation &amp; deed).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Accounting fees (or may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Recording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Abstract title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Surveys.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Owner’s title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Any amounts the seller owes that you agree to pay…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NOT ADDED TO BASIS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Casualty insurance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Rent for occupancy of the property before closing.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for utilities or other services related to occupancy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connected with getting a loan.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Points, discount points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Mortgage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Loan assumption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Cost of credit report.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Appraisal Fees by a lender.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Refinancing Fees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Interest Income (taxable &amp; non-taxable)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Dividends &amp; other distributions from mutual funds, corporations &amp; other entities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a US citizen/resident with foreign income 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Other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scholarships are not Income, If gift is paid directly to Uni then it is not taxed from IRA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barter income- fair market value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hobby income – income </w:t>
      </w:r>
      <w:r>
        <w:rPr>
          <w:b/>
          <w:bCs/>
        </w:rPr>
        <w:t>IS</w:t>
      </w:r>
      <w:r>
        <w:rPr/>
        <w:t xml:space="preserve"> reported but NO expenses taken EXCEPT COGS!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Alimony – Considered UNearned income, </w:t>
      </w:r>
      <w:r>
        <w:rPr>
          <w:b/>
          <w:bCs/>
        </w:rPr>
        <w:t>Alimony paid is NOT deductible</w:t>
      </w:r>
      <w:r>
        <w:rPr/>
        <w:t>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NON-taxable combat pay – Income in combat(hazard duty) or while in hospital is not taxed.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unearned income,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taxable recoveries,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NOL,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illegal income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receipt of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dividends (payments of personal expenses from a business entity)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Passive income &amp; loss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Pass-through income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Schedule K-1 Partnerships, </w:t>
      </w:r>
      <w:r>
        <w:rPr>
          <w:b/>
          <w:bCs/>
          <w:i/>
          <w:iCs/>
        </w:rPr>
        <w:t>Think QBI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income, deductions,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basis,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Intangible assets</w:t>
      </w:r>
      <w:r>
        <w:rPr/>
        <w:t xml:space="preserve"> - Royalties, patents, copyrights, Franchises, trademarks &amp; trade names are Supplemental Income, </w:t>
      </w:r>
      <w:r>
        <w:rPr>
          <w:b/>
          <w:bCs/>
          <w:sz w:val="24"/>
          <w:szCs w:val="24"/>
        </w:rPr>
        <w:t>SCH.E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SALT Cap.</w:t>
      </w:r>
      <w:r>
        <w:rPr/>
        <w:t xml:space="preserve"> - State/local income tax refund &amp; other itemized Deduction recoveries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SALT Deduction capped at $10,000 per year.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1099-MISC, 1099-NEC, 1099-K reporting, irregularities &amp; corrections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1099-G: gov.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QBI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  <w:sz w:val="22"/>
          <w:szCs w:val="22"/>
        </w:rPr>
        <w:t>QBI</w:t>
      </w:r>
      <w:r>
        <w:rPr/>
        <w:t xml:space="preserve"> - Section 199A allows business </w:t>
      </w:r>
      <w:r>
        <w:rPr>
          <w:u w:val="single"/>
        </w:rPr>
        <w:t>owners</w:t>
      </w:r>
      <w:r>
        <w:rPr/>
        <w:t xml:space="preserve"> to deduct ~20% of qualified business income:</w:t>
        <w:br/>
      </w:r>
      <w:r>
        <w:rPr>
          <w:color w:val="3465A4"/>
        </w:rPr>
        <w:t>https://www.youtube.com/watch?v=YrD7hG9EdiA</w:t>
      </w:r>
      <w:r>
        <w:rPr/>
        <w:br/>
      </w:r>
      <w:r>
        <w:rPr>
          <w:b/>
        </w:rPr>
        <w:t>Tax Cuts &amp; Jobs Act</w:t>
      </w:r>
      <w:r>
        <w:rPr/>
        <w:t xml:space="preserve"> (</w:t>
      </w:r>
      <w:r>
        <w:rPr>
          <w:b/>
        </w:rPr>
        <w:t>TCJA</w:t>
      </w:r>
      <w:r>
        <w:rPr/>
        <w:t>), “Trump cuts”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t>Business MUST be in US, Don’t need to be active, CAN be passive income.</w:t>
        <w:br/>
      </w:r>
      <w:r>
        <w:rPr>
          <w:sz w:val="28"/>
          <w:szCs w:val="28"/>
        </w:rPr>
        <w:t>Form 8995, i8995-p6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br/>
      </w:r>
      <w:r>
        <w:rPr>
          <w:b/>
          <w:bCs/>
        </w:rPr>
        <w:t>Who can deduct: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Sole Proprietors,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Self-Employed,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Freelancers,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Landlords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Trusts(most?),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Estates,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LLCs,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C-corporations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Lawyers, CPAs, Consultants, Financial Services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>
          <w:b/>
          <w:bCs/>
        </w:rPr>
        <w:t>Income from a passthrough entity: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Limited Liability Corporations,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Real estate investment (REIT - dividends)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Publicly traded partnerships (PTP income)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Capital gains OR wages OR Guaranteed Payments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Divs, INT, Annuities-</w:t>
      </w:r>
      <w:r>
        <w:rPr>
          <w:b w:val="false"/>
          <w:bCs w:val="false"/>
        </w:rPr>
        <w:t>Insurance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>Businesses fall into 2 categories: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Trades or Businesses (QTB)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Specialized Service Trades or Businesses (SSTB)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b/>
          <w:bCs/>
        </w:rPr>
        <w:t>How does QBI work?</w:t>
      </w:r>
    </w:p>
    <w:p>
      <w:pPr>
        <w:pStyle w:val="PreformattedText"/>
        <w:widowControl w:val="false"/>
        <w:numPr>
          <w:ilvl w:val="1"/>
          <w:numId w:val="23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 xml:space="preserve">Income thresholds: </w:t>
      </w:r>
      <w:r>
        <w:rPr>
          <w:b/>
          <w:bCs/>
          <w:i/>
          <w:iCs/>
          <w:color w:val="auto"/>
          <w:lang w:val="en-US" w:eastAsia="zh-CN" w:bidi="hi-IN"/>
        </w:rPr>
        <w:t>Below, Med, Above Phase Out Range</w:t>
      </w:r>
    </w:p>
    <w:p>
      <w:pPr>
        <w:pStyle w:val="PreformattedText"/>
        <w:widowControl w:val="false"/>
        <w:numPr>
          <w:ilvl w:val="1"/>
          <w:numId w:val="24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BELOW </w:t>
      </w:r>
      <w:r>
        <w:rPr>
          <w:color w:val="auto"/>
          <w:lang w:val="en-US" w:eastAsia="zh-CN" w:bidi="hi-IN"/>
        </w:rPr>
        <w:t>- phase out</w:t>
      </w:r>
    </w:p>
    <w:p>
      <w:pPr>
        <w:pStyle w:val="PreformattedText"/>
        <w:widowControl w:val="false"/>
        <w:numPr>
          <w:ilvl w:val="2"/>
          <w:numId w:val="25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44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6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MED </w:t>
      </w:r>
      <w:r>
        <w:rPr>
          <w:color w:val="auto"/>
          <w:lang w:val="en-US" w:eastAsia="zh-CN" w:bidi="hi-IN"/>
        </w:rPr>
        <w:t xml:space="preserve">- </w:t>
      </w:r>
      <w:r>
        <w:rPr>
          <w:b/>
          <w:bCs/>
          <w:color w:val="auto"/>
          <w:lang w:val="en-US" w:eastAsia="zh-CN" w:bidi="hi-IN"/>
        </w:rPr>
        <w:t>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08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numPr>
          <w:ilvl w:val="1"/>
          <w:numId w:val="27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28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29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Take Larger</w:t>
      </w:r>
      <w:r>
        <w:rPr>
          <w:color w:val="auto"/>
          <w:lang w:val="en-US" w:eastAsia="zh-CN" w:bidi="hi-IN"/>
        </w:rPr>
        <w:t xml:space="preserve"> of (</w:t>
      </w:r>
      <w:r>
        <w:rPr>
          <w:b/>
          <w:bCs/>
          <w:color w:val="auto"/>
          <w:lang w:val="en-US" w:eastAsia="zh-CN" w:bidi="hi-IN"/>
        </w:rPr>
        <w:t>QBI=50% of W2-wages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sz w:val="28"/>
          <w:szCs w:val="28"/>
          <w:lang w:val="en-US" w:eastAsia="zh-CN" w:bidi="hi-IN"/>
        </w:rPr>
        <w:t>OR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lang w:val="en-US" w:eastAsia="zh-CN" w:bidi="hi-IN"/>
        </w:rPr>
        <w:t>25% W2-wages + 2.5% of PPE[Property, plant, equipment]</w:t>
      </w:r>
      <w:r>
        <w:rPr>
          <w:color w:val="auto"/>
          <w:lang w:val="en-US" w:eastAsia="zh-CN" w:bidi="hi-IN"/>
        </w:rPr>
        <w:t>)</w:t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sz w:val="22"/>
          <w:szCs w:val="22"/>
        </w:rPr>
        <w:t>"</w:t>
      </w:r>
      <w:r>
        <w:rPr>
          <w:b/>
          <w:bCs/>
          <w:sz w:val="22"/>
          <w:szCs w:val="22"/>
        </w:rPr>
        <w:t>Kiddie</w:t>
      </w:r>
      <w:r>
        <w:rPr>
          <w:sz w:val="22"/>
          <w:szCs w:val="22"/>
        </w:rPr>
        <w:t>"</w:t>
      </w:r>
      <w:r>
        <w:rPr/>
        <w:t xml:space="preserve"> tax-Minor children's unearned income: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</w:rPr>
        <w:t>UNEARNED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Form 8615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&lt; 19 years &amp; Full-time students under 24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2.2.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Basis in a traditional IRA (Form 8606)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59.5 - Withdraw earnings from IRA without penalty.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72 - Traditional IRA RMDs.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$6500 - &lt; 50 IRA contribution limit.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$7500 - &gt; 50 IRA contribution limit.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 xml:space="preserve">To contribute to a traditional IRA, you must have taxable compensation, such as </w:t>
      </w:r>
      <w:r>
        <w:rPr>
          <w:b/>
          <w:bCs/>
        </w:rPr>
        <w:t>wages, salaries, commissions, tips, bonuses, or net income from self-employment.</w:t>
      </w:r>
    </w:p>
    <w:p>
      <w:pPr>
        <w:pStyle w:val="PreformattedText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Qual. Income</w:t>
      </w:r>
      <w:r>
        <w:rPr>
          <w:b w:val="false"/>
          <w:bCs w:val="false"/>
        </w:rPr>
        <w:t xml:space="preserve"> doesn't include earnings and profits from property, such as </w:t>
      </w:r>
      <w:r>
        <w:rPr>
          <w:b/>
          <w:bCs/>
        </w:rPr>
        <w:t>rental income, interest and dividend income</w:t>
      </w:r>
      <w:r>
        <w:rPr>
          <w:b w:val="false"/>
          <w:bCs w:val="false"/>
        </w:rPr>
        <w:t xml:space="preserve">, or any amount received as </w:t>
      </w:r>
      <w:r>
        <w:rPr>
          <w:b/>
          <w:bCs/>
        </w:rPr>
        <w:t>pension or annuity income, or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1455420</wp:posOffset>
            </wp:positionH>
            <wp:positionV relativeFrom="paragraph">
              <wp:posOffset>528320</wp:posOffset>
            </wp:positionV>
            <wp:extent cx="4476750" cy="428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as deferred compensation</w:t>
      </w:r>
      <w:r>
        <w:rPr>
          <w:b w:val="false"/>
          <w:bCs w:val="false"/>
        </w:rPr>
        <w:t>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Roth IRAs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Comparison of &amp; distributions from traditional &amp; Roth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Distributions from qualified &amp; non-qualified plans (pre-tax, after-tax, rollovers, Form 1099R, qualified charitable distribution)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Excess contributions &amp; tax treatment (penalties)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Penalties &amp; exceptions on premature distributions from qualified retirement plans &amp;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Prohibited transactions &amp; tax consequences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IRA conversions &amp; recharacterization (Form 8606)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RMD - Required minimum distributions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Loans from qualified plans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Taxability of Social Security &amp; Railroad Retirement benefits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Inherited retirement accounts - MUST be dispersed by 10</w:t>
      </w:r>
      <w:r>
        <w:rPr>
          <w:vertAlign w:val="superscript"/>
        </w:rPr>
        <w:t>th</w:t>
      </w:r>
      <w:r>
        <w:rPr/>
        <w:t xml:space="preserve"> year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Foreign pensions &amp;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2.3. Property, real &amp; personal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or disposition of property including depreciation recapture rules &amp; 1099A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Capital gains: netting effect, short-term, long-term, mark-to-market, virtual currency)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assets (purchased, gifted or inherited)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stock after stock splits and/or stock dividends (research, schedules, brokerage re cords)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Publicly traded partnerships (PTP) (sales, dispositions, losses)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of a personal residence (IRC sec 121 exclusions)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Installment sales (related parties, original cost, date of acquisition, possible recalculations &amp; recharacterization)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Options (stock, commodity, ISO, ESPP)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Like-kind exchange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Non-business bad debts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Investor versus trader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bookmarkStart w:id="0" w:name="%25252Fnotes%25252F015-section.1031.real"/>
      <w:bookmarkEnd w:id="0"/>
      <w:r>
        <w:rPr>
          <w:rFonts w:ascii="Arial" w:hAnsi="Arial"/>
          <w:b/>
          <w:bCs/>
          <w:sz w:val="22"/>
          <w:szCs w:val="22"/>
        </w:rPr>
        <w:t>Section 031</w:t>
      </w:r>
      <w:r>
        <w:rPr>
          <w:rFonts w:ascii="Arial" w:hAnsi="Arial"/>
          <w:sz w:val="22"/>
          <w:szCs w:val="22"/>
        </w:rPr>
        <w:t xml:space="preserve"> - </w:t>
      </w:r>
      <w:r>
        <w:rPr>
          <w:rFonts w:ascii="Arial" w:hAnsi="Arial"/>
          <w:b w:val="false"/>
          <w:bCs w:val="false"/>
          <w:sz w:val="22"/>
          <w:szCs w:val="22"/>
        </w:rPr>
        <w:t xml:space="preserve">allows one to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DEFER capital gains when you sell ‘real estate’ investments or business property. One must reinvest the proceeds into another property of “like-kind exchange.” The exchange must be made with 180 days!! </w:t>
      </w:r>
      <w:r>
        <w:rPr>
          <w:rFonts w:ascii="Arial" w:hAnsi="Arial"/>
          <w:sz w:val="22"/>
          <w:szCs w:val="22"/>
        </w:rPr>
        <w:t xml:space="preserve">The </w:t>
      </w:r>
      <w:r>
        <w:rPr>
          <w:rStyle w:val="Strong"/>
          <w:rFonts w:ascii="Arial" w:hAnsi="Arial"/>
          <w:sz w:val="22"/>
          <w:szCs w:val="22"/>
        </w:rPr>
        <w:t>tax is simply postponed</w:t>
      </w:r>
      <w:r>
        <w:rPr>
          <w:rFonts w:ascii="Arial" w:hAnsi="Arial"/>
          <w:sz w:val="22"/>
          <w:szCs w:val="22"/>
        </w:rPr>
        <w:t xml:space="preserve"> until you eventually sell the replacement property.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2.4.Adjustments to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Retirement contribution limits &amp; deductibility (earned compensation requirements)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Health savings accounts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Other adjustments to income (student loan interest, alimony, moving expenses for active military, write-in adjustments)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Self-Employed Health Insurance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Penalty for early CD withdrawal: (reported on 1099-INT) Adjustment to income on 1040.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Student Loan Deduction: Higher Ed.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3: Deductions &amp; Credits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3.1. Itemized deductions &amp; QBI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Medical, dental, vision, long-term care expenses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Various taxes (state &amp; local, personal property, real estate)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Interest expense (mortgage interest, investment interest, tracing rules, points, indebtedness limitations)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Charitable contributions (cash, non-cash, limitations, documentation required)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Nonbusiness casualty &amp; theft losses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Other itemized deductions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Itemized deductions for Form 1040-NR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Qualified Business Income (QBI) deduction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3.2. Credits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&amp; dependent care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tax credit &amp; credit for other dependents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Education credits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Foreign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Earned income tax credit (paid preparer's earned income credit checklist, eligibility &amp; disallowance)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Adoption credits (carryovers, limitations, special needs)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ACA premium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Other credits (refundable &amp; non-refundable) (health coverage tax credit, energy credits, Retirement savings contribution credit)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4: Taxation 15 Items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4.1. Taxation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Alternative minimum tax &amp; credit for prior year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Household employees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Underpayment penalties &amp; interest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Excess Social Security withholding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clergy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military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Income in respect of decedent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Net investment income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Additional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Uncollected Social Security &amp;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Other taxes (first time homebuyer credit repayment)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5: Advising the individual taxpayer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5.1. Advising the Individual Taxpayer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Reporting obligations for individuals (1099, bartering, cash)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Property sales (homes, stock, businesses, antiques, collectibles)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Education planning (lifetime learning credit, IRC section 529 plans)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Estate planning (gift versus inheritance, trusts, family partnerships, charitable giving, long- term care, life insurance)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Marriage &amp; divorce (divorce settlement, common-law, community property, alimony)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Items that will affect future/past returns (carryovers, net operating loss, Schedule D, Form 8801, negative QBI carryover)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Injured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Innocent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Estimated tax &amp; penalty avoidance (mid-year estimated tax planning)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Adjustments, deductions &amp; credits for tax planning (timing of income &amp; expenses)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Character of transaction (use of capital gain rates versus ordinary income rates)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Advantages &amp; disadvantages of MFJ/MFS/HOH filing statuses in various scenarios (joint &amp; several liability)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Conditions for filing a claim for refund (amended returns)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Penalty of perjury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6: Specialized Returns for Individuals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6.1. Estate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Gross estate, taxable estate (calculations &amp; payments), unified credit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Jointly held property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Marital deduction &amp; other marital issues (portability election)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Life insurance, IRAs &amp; retirement plans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Estate filing requirements &amp; due dates (Form 706: Form 1041)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6.2. Gift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Gift-splitting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Annual exclusion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Unified credit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Effect on estate tax (Generation skipping transfer tax)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 xml:space="preserve">Filing requirements (Form 709) 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276" w:before="0" w:after="0"/>
        <w:ind w:hanging="0" w:left="0" w:right="0"/>
        <w:jc w:val="left"/>
        <w:rPr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6.3.International Information Reporting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Filing &amp; reporting requirements &amp; due dates (FBAR, Form 8938, Form 8865, Form 5471, Form 3520)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Covered accounts (FBAR, Form 8938)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Potential penalties (failure to file, under-reporting, substantially incomplete, statute of limitations, reduction of tax attributes)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Distinctions between FBAR &amp; Form 8938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jc w:val="left"/>
        <w:rPr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7. Extras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X </w:t>
        <w:tab/>
        <w:t>Amended Returns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 w:val="false"/>
          <w:color w:val="auto"/>
          <w:kern w:val="0"/>
          <w:sz w:val="22"/>
          <w:szCs w:val="22"/>
          <w:lang w:val="en-US" w:eastAsia="zh-CN" w:bidi="hi-IN"/>
        </w:rPr>
        <w:t>$5 per square foot with a maximum of 300 square feet</w:t>
      </w: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.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5"/>
    <w:lvlOverride w:ilvl="0">
      <w:startOverride w:val="1"/>
    </w:lvlOverride>
    <w:lvlOverride w:ilvl="1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lineRule="auto" w:line="276"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LibreOffice/24.2.7.2$Linux_X86_64 LibreOffice_project/420$Build-2</Application>
  <AppVersion>15.0000</AppVersion>
  <Pages>10</Pages>
  <Words>2680</Words>
  <Characters>14885</Characters>
  <CharactersWithSpaces>17078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2025-02-06T21:09:44Z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