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Domain 1: Preliminary Work &amp; Taxpayer Data 14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1.1. Preliminary work to prepare tax returns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 xml:space="preserve">Prior year returns for comparison, accuracy &amp; </w:t>
      </w:r>
      <w:r>
        <w:rPr>
          <w:b/>
          <w:bCs/>
        </w:rPr>
        <w:t>carryovers</w:t>
      </w:r>
      <w:r>
        <w:rPr/>
        <w:t xml:space="preserve"> for current year's return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Taxpayer personal information: DOB, marital status, dependents, identity protection PIN, state photo ID, SSN or ITIN/ATIN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 xml:space="preserve">Residency status and/or citizenship: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visas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green cards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resident alien or non-resident alien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ITIN, ATIN – W7 application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Filing requirements / due dates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4/15, 2-month automatic extension Abroad,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6-month ext. F4868,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Military??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Estimated Pay dates: </w:t>
      </w:r>
      <w:r>
        <w:rPr>
          <w:b/>
          <w:bCs/>
        </w:rPr>
        <w:t>4/15, 6/15, 9/15, 1/15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Taxpayer filing status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 xml:space="preserve">Single, HOH </w:t>
      </w:r>
      <w:r>
        <w:rPr/>
        <w:t xml:space="preserve">– AND legally separated, or married meeting the </w:t>
      </w:r>
      <w:r>
        <w:rPr>
          <w:rStyle w:val="Emphasis"/>
        </w:rPr>
        <w:t>“considered unmarried”</w:t>
      </w:r>
      <w:r>
        <w:rPr/>
        <w:t xml:space="preserve"> test  living apart for 6 months.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MFS, MFJ,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QSS - If spouse dies file MFJ then for 2 yrs file QSS.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Is Taxpayer a Resident?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Green card or 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substantial presence (31 days current tax year PLUS 183 days during 3 year period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-- counting 1/3 of days in previous year and 1/6 of days in previous previous year).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Taxable &amp; NON-Taxable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Earned Income – wages, flow-through entities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interest, 1099-INT, non-taxable MUNI bond INT 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sales of property- P537-Installment Sales, P544-Sale of Assets, 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alimony received, </w:t>
      </w:r>
      <w:r>
        <w:rPr>
          <w:b/>
          <w:bCs/>
        </w:rPr>
        <w:t>note: alimony paid is NOT deductible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exclusions &amp; adjustments to gross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self-employment tax; Total FICA=15.3%, Medicare-1.45/2.9 SS-6.2/12.4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foreign earned income exclusion 232K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retirement plans,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HSAs,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alimony paid,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health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applicable deductions: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itemized – Schedule A-itemized deductions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standard – S-13,850   HOH-19,000   MFJ-25,900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Blind &amp; 65+ - 1,850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Qualifications for dependency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Age test- </w:t>
      </w:r>
      <w:r>
        <w:rPr>
          <w:b/>
          <w:bCs/>
        </w:rPr>
        <w:t>&lt;19 or 24</w:t>
      </w:r>
      <w:r>
        <w:rPr/>
        <w:t xml:space="preserve"> and FT student or permanently disabled (no age limit)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Household Maintenance-provide </w:t>
      </w:r>
      <w:r>
        <w:rPr>
          <w:rStyle w:val="Strong"/>
        </w:rPr>
        <w:t>&gt;= 50%</w:t>
      </w:r>
      <w:r>
        <w:rPr/>
        <w:t xml:space="preserve"> of cost of household, rent, utilities, food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Earnings tests </w:t>
      </w:r>
      <w:r>
        <w:rPr>
          <w:rStyle w:val="Strong"/>
        </w:rPr>
        <w:t>&lt;$4.7k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Qual</w:t>
      </w:r>
      <w:r>
        <w:rPr/>
        <w:t>ified</w:t>
      </w:r>
      <w:r>
        <w:rPr/>
        <w:t xml:space="preserve"> Children-</w:t>
      </w:r>
      <w:r>
        <w:rPr>
          <w:rStyle w:val="Emphasis"/>
        </w:rPr>
        <w:t>biological/adopted child, stepchild, or foster child (not cousin)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Qual</w:t>
      </w:r>
      <w:r>
        <w:rPr/>
        <w:t>ified</w:t>
      </w:r>
      <w:r>
        <w:rPr/>
        <w:t xml:space="preserve"> Relative-Blood, marriage, parent, sibling, nephew, niece, grandparent, in-laws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applicable credits: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education,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foreign tax,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child &amp; dependent care,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credit for other dependents,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child tax credit,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EITC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Sources of tax payments &amp; refundable credits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Previous IRS correspondence with taxpayer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Additional required returns to be filed, &amp; taxes paid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employment,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De-minus gifts, international information returns &amp; other information returns)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Special filing requirements:</w:t>
      </w:r>
    </w:p>
    <w:p>
      <w:pPr>
        <w:pStyle w:val="PreformattedText"/>
        <w:numPr>
          <w:ilvl w:val="1"/>
          <w:numId w:val="1"/>
        </w:numPr>
        <w:bidi w:val="0"/>
        <w:jc w:val="left"/>
        <w:rPr>
          <w:i/>
          <w:i/>
          <w:iCs/>
        </w:rPr>
      </w:pPr>
      <w:r>
        <w:rPr>
          <w:i/>
          <w:iCs/>
        </w:rPr>
        <w:t>foreign income-see FBAR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>Injured Spouse Relief</w:t>
      </w:r>
      <w:r>
        <w:rPr/>
        <w:t xml:space="preserve">, One party is hurt by the others past debts, 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Form 8379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Addresses situations when </w:t>
      </w:r>
      <w:r>
        <w:rPr>
          <w:rStyle w:val="Strong"/>
        </w:rPr>
        <w:t>joint tax returns</w:t>
      </w:r>
      <w:r>
        <w:rPr/>
        <w:t xml:space="preserve"> are filed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>Innocent Spouse Relief</w:t>
      </w:r>
      <w:r>
        <w:rPr/>
        <w:t xml:space="preserve">, One party is innocent of a mistake made by the other, 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Form 8857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Addresses tax liability due to your </w:t>
      </w:r>
      <w:r>
        <w:rPr>
          <w:rStyle w:val="Strong"/>
        </w:rPr>
        <w:t>spouse’s errors on the tax return</w:t>
      </w:r>
      <w:r>
        <w:rPr/>
        <w:t>, and you want relief from the responsibility.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Presidentially declared disaster areas, 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Foreign account &amp; asset reporting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 xml:space="preserve">FBAR, Financial Banking Act Report, </w:t>
      </w:r>
      <w:r>
        <w:rPr>
          <w:b/>
          <w:bCs/>
        </w:rPr>
        <w:t>FINCEN 114</w:t>
      </w:r>
      <w:r>
        <w:rPr/>
        <w:t xml:space="preserve">, e-file only,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/>
        <w:t>Form 8938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"</w:t>
      </w:r>
      <w:r>
        <w:rPr>
          <w:b/>
          <w:bCs/>
        </w:rPr>
        <w:t>Kiddie</w:t>
      </w:r>
      <w:r>
        <w:rPr/>
        <w:t xml:space="preserve">" tax-Minor children's unearned income: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</w:rPr>
        <w:t>UNearned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  <w:b w:val="false"/>
          <w:bCs w:val="false"/>
        </w:rPr>
        <w:t>Form 8615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rStyle w:val="Strong"/>
          <w:b w:val="false"/>
          <w:bCs w:val="false"/>
        </w:rPr>
        <w:t>&lt; 19 years &amp; Full-time students under 24 years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ACA requirements (total household income, premium tax credit, household size)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2: Income &amp; Assets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2.1.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left"/>
        <w:rPr>
          <w:b/>
          <w:bCs/>
        </w:rPr>
      </w:pPr>
      <w:r>
        <w:rPr>
          <w:b/>
          <w:bCs/>
        </w:rPr>
        <w:t>Taxable &amp; NON-Taxable income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Earned</w:t>
      </w:r>
      <w:r>
        <w:rPr/>
        <w:t xml:space="preserve"> Income – wages, flow-through entities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Private bonds –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1099-NEC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Self-Employed</w:t>
      </w:r>
    </w:p>
    <w:p>
      <w:pPr>
        <w:pStyle w:val="PreformattedText"/>
        <w:numPr>
          <w:ilvl w:val="1"/>
          <w:numId w:val="1"/>
        </w:numPr>
        <w:bidi w:val="0"/>
        <w:jc w:val="left"/>
        <w:rPr/>
      </w:pPr>
      <w:r>
        <w:rPr>
          <w:b/>
          <w:bCs/>
        </w:rPr>
        <w:t>UN-earned</w:t>
      </w:r>
      <w:r>
        <w:rPr/>
        <w:t xml:space="preserve">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interest, 1099-INT, non-taxable MUNI bond INT MUST BE LISTED, ($10 threshold for 1099-INT)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Dividends, 1099-DIV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Sales of property- P537-Installment Sales, P544-Sale of Assets, P523-Selling Home, Schedule D-cap. gains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>rental income</w:t>
      </w:r>
    </w:p>
    <w:p>
      <w:pPr>
        <w:pStyle w:val="PreformattedText"/>
        <w:numPr>
          <w:ilvl w:val="2"/>
          <w:numId w:val="1"/>
        </w:numPr>
        <w:bidi w:val="0"/>
        <w:jc w:val="left"/>
        <w:rPr/>
      </w:pPr>
      <w:r>
        <w:rPr/>
        <w:t xml:space="preserve">alimony received, </w:t>
      </w:r>
      <w:r>
        <w:rPr>
          <w:b/>
          <w:bCs/>
        </w:rPr>
        <w:t>note: alimony paid is NOT deductible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BASIS of REAL Property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define: Cost Basis, Adjusted Basis, Basis Other Than Cost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ADD to Basis of property: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Sales tax.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Freight.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Installation and testing.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Legal and accounting fees (when they must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Recording fees.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Sales, Transfer &amp; Excise taxes.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Real estate taxes (if assumed by the seller).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Freight &amp; Shipping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Installation/testing.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to utility services.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Legal fees (title search &amp; sales contract preparation &amp; deed).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Accounting fees (or may be capitalized).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Revenue stamps.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Recording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Abstract title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Surveys.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Owner’s title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Any amounts the seller owes that you agree to pay…</w:t>
      </w:r>
    </w:p>
    <w:p>
      <w:pPr>
        <w:pStyle w:val="PreformattedText"/>
        <w:numPr>
          <w:ilvl w:val="0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NOT ADDED TO BASIS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Casualty insurance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Rent for occupancy of the property before closing.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for utilities or other services related to occupancy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Charges connected with getting a loan.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Points, discount points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Mortgage insurance.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Loan assumption fees.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Cost of credit report.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Appraisal Fees by a lender.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Refinancing Fees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Basis of Gifts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1. If the gift was worth more than what the giver paid for it: Your starting point (basis) is the same as what the giver paid for it.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2. If the gift was worth less than what the giver paid for it: Your starting point (basis) is the value of the gift when you received 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Taxability of wages, salaries &amp; other earnings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Interest Income (taxable &amp; non-taxable)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Dividends &amp; other distributions from mutual funds, corporations &amp; other entities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Personal property rental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Gambling income &amp; allowable deductions (Form W-2G, documentation)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Can ONLY Exp up to the limit you won.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cancellation of debt (Form 1099-C, foreclosures, insolvency)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Tax treatment of a US citizen/resident with foreign income (tax treaties, Form 1116, Form 2555, Form 3520, Form 5471)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Other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scholarships are not Income, If gift is paid directly to Uni then it is not taxed from IRA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barter income- fair market value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hobby income – income </w:t>
      </w:r>
      <w:r>
        <w:rPr>
          <w:b/>
          <w:bCs/>
        </w:rPr>
        <w:t>IS</w:t>
      </w:r>
      <w:r>
        <w:rPr/>
        <w:t xml:space="preserve"> reported but NO expenses taken EXCEPT COGS!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Alimony – Considered UNearned income, </w:t>
      </w:r>
      <w:r>
        <w:rPr>
          <w:b/>
          <w:bCs/>
        </w:rPr>
        <w:t>Alimony paid is NOT deductible</w:t>
      </w:r>
      <w:r>
        <w:rPr/>
        <w:t>.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NON-taxable combat pay – Income in combat(hazard duty) or while in hospital is not taxed.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unearned income,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taxable recoveries,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NOL,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illegal income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receipt of income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Constructive dividends (payments of personal expenses from a business entity)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Passive income &amp; loss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Pass-through income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Schedule K-1 Partnerships, </w:t>
      </w:r>
      <w:r>
        <w:rPr>
          <w:b/>
          <w:bCs/>
          <w:i/>
          <w:iCs/>
        </w:rPr>
        <w:t>Think QBI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income, deductions,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basis,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business income (QBI)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Intangible assets</w:t>
      </w:r>
      <w:r>
        <w:rPr/>
        <w:t xml:space="preserve"> - Royalties, patents, copyrights, Franchises, trademarks, and trade names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SALT Cap.</w:t>
      </w:r>
      <w:r>
        <w:rPr/>
        <w:t xml:space="preserve"> - </w:t>
      </w:r>
      <w:r>
        <w:rPr/>
        <w:t>State/local income tax refund &amp; other itemized deduction recoveries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SALT Deduction c</w:t>
      </w:r>
      <w:r>
        <w:rPr/>
        <w:t>apped at $10,000 per year.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1099 MISC, 1099 NEC, 1099 K reporting, irregularities &amp; corrections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b/>
          <w:bCs/>
          <w:sz w:val="22"/>
          <w:szCs w:val="22"/>
        </w:rPr>
        <w:t>QBI</w:t>
      </w:r>
      <w:r>
        <w:rPr/>
        <w:t xml:space="preserve"> - Section 199A allows business owners to deduct ~20% of qualified business income:</w:t>
        <w:br/>
      </w:r>
      <w:r>
        <w:rPr>
          <w:color w:val="3465A4"/>
        </w:rPr>
        <w:t>https://www.youtube.com/watch?v=YrD7hG9EdiA</w:t>
      </w:r>
      <w:r>
        <w:rPr/>
        <w:br/>
      </w:r>
      <w:r>
        <w:rPr>
          <w:b/>
        </w:rPr>
        <w:t>Tax Cuts and Jobs Act</w:t>
      </w:r>
      <w:r>
        <w:rPr/>
        <w:t xml:space="preserve"> (</w:t>
      </w:r>
      <w:r>
        <w:rPr>
          <w:b/>
        </w:rPr>
        <w:t>TCJA</w:t>
      </w:r>
      <w:r>
        <w:rPr/>
        <w:t>), “</w:t>
      </w:r>
      <w:r>
        <w:rPr/>
        <w:t>Trump cuts”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t>Business MUST be in US, Don’t need to be active, CAN be passive income.</w:t>
      </w:r>
      <w:r>
        <w:rPr/>
        <w:br/>
      </w:r>
      <w:r>
        <w:rPr>
          <w:sz w:val="28"/>
          <w:szCs w:val="28"/>
        </w:rPr>
        <w:t xml:space="preserve">Form 8995, </w:t>
      </w:r>
      <w:r>
        <w:rPr>
          <w:sz w:val="28"/>
          <w:szCs w:val="28"/>
        </w:rPr>
        <w:t>i8995-p6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  <w:br/>
      </w:r>
      <w:r>
        <w:rPr>
          <w:b/>
          <w:bCs/>
        </w:rPr>
        <w:t>Who can deduct:</w:t>
      </w:r>
      <w:r>
        <w:rPr/>
        <w:t xml:space="preserve">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Sole Proprietors,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Self-Employed,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Freelancers,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Landlords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Trusts(most?),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Estates,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 xml:space="preserve">LLCs,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NOT C-corporations</w:t>
      </w:r>
    </w:p>
    <w:p>
      <w:pPr>
        <w:pStyle w:val="PreformattedText"/>
        <w:numPr>
          <w:ilvl w:val="1"/>
          <w:numId w:val="3"/>
        </w:numPr>
        <w:bidi w:val="0"/>
        <w:jc w:val="left"/>
        <w:rPr>
          <w:b/>
          <w:bCs/>
        </w:rPr>
      </w:pPr>
      <w:r>
        <w:rPr>
          <w:b/>
          <w:bCs/>
        </w:rPr>
        <w:t>NOT Lawyers, CPAs, Consultants, Financial Services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  <w:r>
        <w:rPr>
          <w:b/>
          <w:bCs/>
        </w:rPr>
        <w:t>Income from a passthrough entity: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Limited Liability Corporations,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Real estate investment (REIT - dividends)</w:t>
      </w:r>
    </w:p>
    <w:p>
      <w:pPr>
        <w:pStyle w:val="PreformattedText"/>
        <w:numPr>
          <w:ilvl w:val="1"/>
          <w:numId w:val="5"/>
        </w:numPr>
        <w:bidi w:val="0"/>
        <w:jc w:val="left"/>
        <w:rPr/>
      </w:pPr>
      <w:r>
        <w:rPr/>
        <w:t>Publicly traded partnerships (PTP income)</w:t>
      </w:r>
    </w:p>
    <w:p>
      <w:pPr>
        <w:pStyle w:val="PreformattedText"/>
        <w:numPr>
          <w:ilvl w:val="1"/>
          <w:numId w:val="5"/>
        </w:numPr>
        <w:bidi w:val="0"/>
        <w:jc w:val="left"/>
        <w:rPr>
          <w:b/>
          <w:bCs/>
        </w:rPr>
      </w:pPr>
      <w:r>
        <w:rPr>
          <w:b/>
          <w:bCs/>
        </w:rPr>
        <w:t xml:space="preserve">NOT </w:t>
      </w:r>
      <w:r>
        <w:rPr>
          <w:b/>
          <w:bCs/>
        </w:rPr>
        <w:t>C</w:t>
      </w:r>
      <w:r>
        <w:rPr>
          <w:b/>
          <w:bCs/>
        </w:rPr>
        <w:t xml:space="preserve">apital gains </w:t>
      </w:r>
      <w:r>
        <w:rPr>
          <w:b/>
          <w:bCs/>
        </w:rPr>
        <w:t>OR</w:t>
      </w:r>
      <w:r>
        <w:rPr>
          <w:b/>
          <w:bCs/>
        </w:rPr>
        <w:t xml:space="preserve"> wages </w:t>
      </w:r>
      <w:r>
        <w:rPr>
          <w:b/>
          <w:bCs/>
        </w:rPr>
        <w:t>OR Guaranteed Payments</w:t>
      </w:r>
    </w:p>
    <w:p>
      <w:pPr>
        <w:pStyle w:val="PreformattedText"/>
        <w:numPr>
          <w:ilvl w:val="1"/>
          <w:numId w:val="5"/>
        </w:numPr>
        <w:bidi w:val="0"/>
        <w:jc w:val="left"/>
        <w:rPr>
          <w:b/>
          <w:bCs/>
        </w:rPr>
      </w:pPr>
      <w:r>
        <w:rPr>
          <w:b/>
          <w:bCs/>
        </w:rPr>
        <w:t>NOT Divs, INT, Annuities-</w:t>
      </w:r>
      <w:r>
        <w:rPr>
          <w:b w:val="false"/>
          <w:bCs w:val="false"/>
        </w:rPr>
        <w:t>Insurance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>
          <w:b/>
          <w:bCs/>
        </w:rPr>
        <w:t>Businesses fall into 2 categories: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Qualified Trades or Businesses (QTB)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/>
        <w:t>Specialized Service Trades or Businesses (SSTB)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</w:r>
      <w:r>
        <w:rPr>
          <w:b/>
          <w:bCs/>
        </w:rPr>
        <w:t>How does it work?</w:t>
      </w:r>
    </w:p>
    <w:p>
      <w:pPr>
        <w:pStyle w:val="PreformattedText"/>
        <w:widowControl w:val="false"/>
        <w:numPr>
          <w:ilvl w:val="1"/>
          <w:numId w:val="16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>Income thresholds are BELOW, MED, ABOVE Phase out range</w:t>
      </w:r>
    </w:p>
    <w:p>
      <w:pPr>
        <w:pStyle w:val="PreformattedText"/>
        <w:widowControl w:val="false"/>
        <w:numPr>
          <w:ilvl w:val="1"/>
          <w:numId w:val="17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>BELOW-</w:t>
      </w:r>
      <w:r>
        <w:rPr>
          <w:color w:val="auto"/>
          <w:lang w:val="en-US" w:eastAsia="zh-CN" w:bidi="hi-IN"/>
        </w:rPr>
        <w:t>phase out</w:t>
      </w:r>
    </w:p>
    <w:p>
      <w:pPr>
        <w:pStyle w:val="PreformattedText"/>
        <w:widowControl w:val="false"/>
        <w:numPr>
          <w:ilvl w:val="2"/>
          <w:numId w:val="18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>Lesser of 20% QBI or 20% Taxable income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44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19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 xml:space="preserve">MED- </w:t>
      </w:r>
      <w:r>
        <w:rPr>
          <w:b/>
          <w:bCs/>
          <w:color w:val="auto"/>
          <w:lang w:val="en-US" w:eastAsia="zh-CN" w:bidi="hi-IN"/>
        </w:rPr>
        <w:t>Take the lesser of {Below=20%QBI} or {Above=W2 wages}</w:t>
      </w:r>
    </w:p>
    <w:p>
      <w:pPr>
        <w:pStyle w:val="PreformattedText"/>
        <w:widowControl w:val="false"/>
        <w:numPr>
          <w:ilvl w:val="0"/>
          <w:numId w:val="0"/>
        </w:numPr>
        <w:suppressAutoHyphens w:val="true"/>
        <w:bidi w:val="0"/>
        <w:ind w:hanging="0" w:left="1080"/>
        <w:jc w:val="left"/>
        <w:rPr>
          <w:b/>
          <w:bCs/>
        </w:rPr>
      </w:pPr>
      <w:r>
        <w:rPr>
          <w:color w:val="auto"/>
          <w:lang w:val="en-US" w:eastAsia="zh-CN" w:bidi="hi-IN"/>
        </w:rPr>
      </w:r>
    </w:p>
    <w:p>
      <w:pPr>
        <w:pStyle w:val="PreformattedText"/>
        <w:widowControl w:val="false"/>
        <w:numPr>
          <w:ilvl w:val="1"/>
          <w:numId w:val="20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 xml:space="preserve">ABOVE </w:t>
      </w:r>
      <w:r>
        <w:rPr>
          <w:color w:val="auto"/>
          <w:lang w:val="en-US" w:eastAsia="zh-CN" w:bidi="hi-IN"/>
        </w:rPr>
        <w:t>phase out</w:t>
      </w:r>
    </w:p>
    <w:p>
      <w:pPr>
        <w:pStyle w:val="PreformattedText"/>
        <w:widowControl w:val="false"/>
        <w:numPr>
          <w:ilvl w:val="2"/>
          <w:numId w:val="21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>(if you are SSTB then QBI=0)</w:t>
      </w:r>
    </w:p>
    <w:p>
      <w:pPr>
        <w:pStyle w:val="PreformattedText"/>
        <w:widowControl w:val="false"/>
        <w:numPr>
          <w:ilvl w:val="2"/>
          <w:numId w:val="22"/>
        </w:numPr>
        <w:suppressAutoHyphens w:val="true"/>
        <w:bidi w:val="0"/>
        <w:jc w:val="left"/>
        <w:rPr>
          <w:color w:val="auto"/>
          <w:lang w:val="en-US" w:eastAsia="zh-CN" w:bidi="hi-IN"/>
        </w:rPr>
      </w:pPr>
      <w:r>
        <w:rPr>
          <w:color w:val="auto"/>
          <w:lang w:val="en-US" w:eastAsia="zh-CN" w:bidi="hi-IN"/>
        </w:rPr>
        <w:t xml:space="preserve">Take Larger of ( if NOT a SSTB then QBI=50% of </w:t>
      </w:r>
      <w:r>
        <w:rPr>
          <w:color w:val="auto"/>
          <w:lang w:val="en-US" w:eastAsia="zh-CN" w:bidi="hi-IN"/>
        </w:rPr>
        <w:t>W2-</w:t>
      </w:r>
      <w:r>
        <w:rPr>
          <w:color w:val="auto"/>
          <w:lang w:val="en-US" w:eastAsia="zh-CN" w:bidi="hi-IN"/>
        </w:rPr>
        <w:t xml:space="preserve">wages OR 25% </w:t>
      </w:r>
      <w:r>
        <w:rPr>
          <w:color w:val="auto"/>
          <w:lang w:val="en-US" w:eastAsia="zh-CN" w:bidi="hi-IN"/>
        </w:rPr>
        <w:t>W2-</w:t>
      </w:r>
      <w:r>
        <w:rPr>
          <w:color w:val="auto"/>
          <w:lang w:val="en-US" w:eastAsia="zh-CN" w:bidi="hi-IN"/>
        </w:rPr>
        <w:t xml:space="preserve">wages + 2.5% of </w:t>
      </w:r>
      <w:r>
        <w:rPr>
          <w:color w:val="auto"/>
          <w:lang w:val="en-US" w:eastAsia="zh-CN" w:bidi="hi-IN"/>
        </w:rPr>
        <w:t>PPE[Property, plant, equipment] 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>
          <w:sz w:val="22"/>
          <w:szCs w:val="22"/>
        </w:rPr>
        <w:t>"</w:t>
      </w:r>
      <w:r>
        <w:rPr>
          <w:b/>
          <w:bCs/>
          <w:sz w:val="22"/>
          <w:szCs w:val="22"/>
        </w:rPr>
        <w:t>Kiddie</w:t>
      </w:r>
      <w:r>
        <w:rPr>
          <w:sz w:val="22"/>
          <w:szCs w:val="22"/>
        </w:rPr>
        <w:t>"</w:t>
      </w:r>
      <w:r>
        <w:rPr/>
        <w:t xml:space="preserve"> tax-Minor children's unearned income: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EARNED Income is NOT included</w:t>
      </w:r>
      <w:r>
        <w:rPr/>
        <w:t xml:space="preserve">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</w:rPr>
        <w:t>UNearned income</w:t>
      </w:r>
      <w:r>
        <w:rPr/>
        <w:t xml:space="preserve"> exceeding </w:t>
      </w:r>
      <w:r>
        <w:rPr>
          <w:b/>
          <w:bCs/>
        </w:rPr>
        <w:t>$2,600</w:t>
      </w:r>
      <w:r>
        <w:rPr/>
        <w:t xml:space="preserve"> is taxed at the parent’s or guardian’s rate, 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Form 8615</w:t>
      </w:r>
    </w:p>
    <w:p>
      <w:pPr>
        <w:pStyle w:val="PreformattedText"/>
        <w:numPr>
          <w:ilvl w:val="1"/>
          <w:numId w:val="3"/>
        </w:numPr>
        <w:bidi w:val="0"/>
        <w:jc w:val="left"/>
        <w:rPr/>
      </w:pPr>
      <w:r>
        <w:rPr>
          <w:rStyle w:val="Strong"/>
          <w:b w:val="false"/>
          <w:bCs w:val="false"/>
        </w:rPr>
        <w:t>&lt; 19 years &amp; Full-time students under 24 years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2.2.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Basis in a traditional IRA (Form 8606)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59.5 - Withdraw earnings from IRA without penalty.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72 - Traditional IRA RMDs.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$6</w:t>
      </w:r>
      <w:r>
        <w:rPr/>
        <w:t>5</w:t>
      </w:r>
      <w:r>
        <w:rPr/>
        <w:t>00 - &lt; 50 IRA contribution limit.</w:t>
      </w:r>
    </w:p>
    <w:p>
      <w:pPr>
        <w:pStyle w:val="PreformattedText"/>
        <w:numPr>
          <w:ilvl w:val="1"/>
          <w:numId w:val="4"/>
        </w:numPr>
        <w:bidi w:val="0"/>
        <w:jc w:val="left"/>
        <w:rPr/>
      </w:pPr>
      <w:r>
        <w:rPr/>
        <w:t>$7</w:t>
      </w:r>
      <w:r>
        <w:rPr/>
        <w:t>5</w:t>
      </w:r>
      <w:r>
        <w:rPr/>
        <w:t>00 - &gt; 50 IRA contribution limit.</w:t>
      </w:r>
    </w:p>
    <w:p>
      <w:pPr>
        <w:pStyle w:val="PreformattedText"/>
        <w:numPr>
          <w:ilvl w:val="0"/>
          <w:numId w:val="0"/>
        </w:numPr>
        <w:bidi w:val="0"/>
        <w:ind w:hanging="0" w:left="108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Roth IRAs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Comparison of &amp; distributions from traditional &amp; Roth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Distributions from qualified &amp; non-qualified plans (pre-tax, after-tax, rollovers, Form 1099R, qualified charitable distribution)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Excess contributions &amp; tax treatment (penalties)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Penalties &amp; exceptions on premature distributions from qualified retirement plans &amp; IRAs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Prohibited transactions &amp; tax consequences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IRA conversions &amp; recharacterization (Form 8606)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RMD - Required minimum distributions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Loans from qualified plans</w:t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Taxability of Social Security &amp; Railroad Retirement benefits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Inherited retirement accounts - MUST be dispersed by 10</w:t>
      </w:r>
      <w:r>
        <w:rPr>
          <w:vertAlign w:val="superscript"/>
        </w:rPr>
        <w:t>th</w:t>
      </w:r>
      <w:r>
        <w:rPr/>
        <w:t xml:space="preserve"> year</w:t>
      </w:r>
    </w:p>
    <w:p>
      <w:pPr>
        <w:pStyle w:val="PreformattedText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left"/>
        <w:rPr/>
      </w:pPr>
      <w:r>
        <w:rPr/>
        <w:t>Foreign pensions &amp; retirement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 Property, real &amp; personal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Sale or disposition of property including depreciation recapture rules &amp; 1099A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Capital gains: netting effect, short-term, long-term, mark-to-market, virtual currency)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Basis of assets (purchased, gifted or inherited)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Basis of stock after stock splits and/or stock dividends (research, schedules, brokerage re cords)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Publicly traded partnerships (PTP) (sales, dispositions, losses)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Sale of a personal residence (IRC sec 121 exclusions)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Installment sales (related parties, original cost, date of acquisition, possible recalculations &amp; recharacterization)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Options (stock, commodity, ISO, ESPP)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Like-kind exchange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Non-business bad debts</w:t>
      </w:r>
    </w:p>
    <w:p>
      <w:pPr>
        <w:pStyle w:val="PreformattedText"/>
        <w:numPr>
          <w:ilvl w:val="0"/>
          <w:numId w:val="7"/>
        </w:numPr>
        <w:bidi w:val="0"/>
        <w:spacing w:before="0" w:after="0"/>
        <w:jc w:val="left"/>
        <w:rPr/>
      </w:pPr>
      <w:r>
        <w:rPr/>
        <w:t>Investor versus trader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2.4.Adjustments to Income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Retirement contribution limits &amp; deductibility (earned compensation requirements)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Health savings accounts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Other adjustments to income (student loan interest, alimony, moving expenses for active military, write-in adjustments)</w:t>
      </w:r>
    </w:p>
    <w:p>
      <w:pPr>
        <w:pStyle w:val="PreformattedText"/>
        <w:numPr>
          <w:ilvl w:val="0"/>
          <w:numId w:val="8"/>
        </w:numPr>
        <w:bidi w:val="0"/>
        <w:spacing w:before="0" w:after="0"/>
        <w:jc w:val="left"/>
        <w:rPr/>
      </w:pPr>
      <w:r>
        <w:rPr/>
        <w:t>Self-Employed Health Insurance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3: Deductions &amp; Credits 17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3.1. Itemized deductions &amp; QBI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Medical, dental, vision, long-term care expenses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Various taxes (state &amp; local, personal property, real estate)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Interest expense (mortgage interest, investment interest, tracing rules, points, indebtedness limitations)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Charitable contributions (cash, non-cash, limitations, documentation required)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Nonbusiness casualty &amp; theft losses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Other itemized deductions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Itemized deductions for Form 1040-NR</w:t>
      </w:r>
    </w:p>
    <w:p>
      <w:pPr>
        <w:pStyle w:val="PreformattedText"/>
        <w:numPr>
          <w:ilvl w:val="0"/>
          <w:numId w:val="9"/>
        </w:numPr>
        <w:bidi w:val="0"/>
        <w:spacing w:before="0" w:after="0"/>
        <w:jc w:val="left"/>
        <w:rPr/>
      </w:pPr>
      <w:r>
        <w:rPr/>
        <w:t>Qualified Business Income (QBI) deduction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3.2. Credits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Child &amp; dependent care credit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Child tax credit &amp; credit for other dependents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Education credits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Foreign tax credit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Earned income tax credit (paid preparer's earned income credit checklist, eligibility &amp; disallowance)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Adoption credits (carryovers, limitations, special needs)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ACA premium tax credit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  <w:t>Other credits (refundable &amp; non-refundable) (health coverage tax credit, energy credits, Retirement savings contribution credit)</w:t>
      </w:r>
    </w:p>
    <w:p>
      <w:pPr>
        <w:pStyle w:val="PreformattedText"/>
        <w:numPr>
          <w:ilvl w:val="0"/>
          <w:numId w:val="10"/>
        </w:numPr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4: Taxation 15 Items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4.1. Taxation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Alternative minimum tax &amp; credit for prior year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Household employees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Underpayment penalties &amp; interest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Self-employment tax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Excess Social Security withholding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Tax provisions for members of the clergy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Tax provisions for members of the military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Income in respect of decedent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Net investment income tax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Additional Medicare tax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Uncollected Social Security &amp; Medicare tax</w:t>
      </w:r>
    </w:p>
    <w:p>
      <w:pPr>
        <w:pStyle w:val="PreformattedText"/>
        <w:numPr>
          <w:ilvl w:val="0"/>
          <w:numId w:val="11"/>
        </w:numPr>
        <w:bidi w:val="0"/>
        <w:spacing w:before="0" w:after="0"/>
        <w:jc w:val="left"/>
        <w:rPr/>
      </w:pPr>
      <w:r>
        <w:rPr/>
        <w:t>Other taxes (first time homebuyer credit repayment)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5: Advising the individual taxpayer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5.1. Advising the Individual Taxpayer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Reporting obligations for individuals (1099, bartering, cash)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Property sales (homes, stock, businesses, antiques, collectibles)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Education planning (lifetime learning credit, IRC section 529 plans)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Estate planning (gift versus inheritance, trusts, family partnerships, charitable giving, long- term care, life insurance)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Retirement planning (annuities, IRAs, employer plans, early retirement rules, required minimum distribution, beneficiary ownership, charitable distributions from an IRA)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Marriage &amp; divorce (divorce settlement, common-law, community property, alimony)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Items that will affect future/past returns (carryovers, net operating loss, Schedule D, Form 8801, negative QBI carryover)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Injured spouse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Innocent spouse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Estimated tax &amp; penalty avoidance (mid-year estimated tax planning)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Adjustments, deductions &amp; credits for tax planning (timing of income &amp; expenses)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Character of transaction (use of capital gain rates versus ordinary income rates)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Advantages &amp; disadvantages of MFJ/MFS/HOH filing statuses in various scenarios (joint &amp; several liability)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Conditions for filing a claim for refund (amended returns)</w:t>
      </w:r>
    </w:p>
    <w:p>
      <w:pPr>
        <w:pStyle w:val="PreformattedText"/>
        <w:numPr>
          <w:ilvl w:val="0"/>
          <w:numId w:val="12"/>
        </w:numPr>
        <w:bidi w:val="0"/>
        <w:spacing w:before="0" w:after="0"/>
        <w:jc w:val="left"/>
        <w:rPr/>
      </w:pPr>
      <w:r>
        <w:rPr/>
        <w:t>Penalty of perjury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Domain 6: Specialized Returns for Individuals 11 Questions</w:t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sz w:val="24"/>
          <w:szCs w:val="24"/>
        </w:rPr>
        <w:t>6.1. Estate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Gross estate, taxable estate (calculations &amp; payments), unified credit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Jointly held property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Marital deduction &amp; other marital issues (portability election)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Life insurance, IRAs &amp; retirement plans</w:t>
      </w:r>
    </w:p>
    <w:p>
      <w:pPr>
        <w:pStyle w:val="PreformattedText"/>
        <w:numPr>
          <w:ilvl w:val="0"/>
          <w:numId w:val="13"/>
        </w:numPr>
        <w:bidi w:val="0"/>
        <w:spacing w:before="0" w:after="0"/>
        <w:jc w:val="left"/>
        <w:rPr/>
      </w:pPr>
      <w:r>
        <w:rPr/>
        <w:t>Estate filing requirements &amp; due dates (Form 706: Form 1041)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6.2. Gift Tax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Gift-splitting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Annual exclusion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Unified credit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Effect on estate tax (Generation skipping transfer tax)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Filing requirements (Form 709) 6.3.International Information Reporting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Filing &amp; reporting requirements &amp; due dates (FBAR, Form 8938, Form 8865, Form 5471, Form 3520)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Covered accounts (FBAR, Form 8938)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Potential penalties (failure to file, under-reporting, substantially incomplete, statute of limitations, reduction of tax attributes)</w:t>
      </w:r>
    </w:p>
    <w:p>
      <w:pPr>
        <w:pStyle w:val="PreformattedText"/>
        <w:numPr>
          <w:ilvl w:val="0"/>
          <w:numId w:val="14"/>
        </w:numPr>
        <w:bidi w:val="0"/>
        <w:spacing w:before="0" w:after="0"/>
        <w:jc w:val="left"/>
        <w:rPr/>
      </w:pPr>
      <w:r>
        <w:rPr/>
        <w:t>Distinctions between FBAR &amp; Form 8938 requirements</w:t>
      </w:r>
    </w:p>
    <w:sectPr>
      <w:type w:val="nextPage"/>
      <w:pgSz w:w="12240" w:h="15840"/>
      <w:pgMar w:left="360" w:right="360" w:gutter="0" w:header="0" w:top="36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7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8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19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20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21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  <w:num w:numId="22">
    <w:abstractNumId w:val="6"/>
    <w:lvlOverride w:ilvl="0">
      <w:lvl w:ilvl="0">
        <w:start w:val="1"/>
        <w:pStyle w:val="Heading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pStyle w:val="Heading2"/>
        <w:numFmt w:val="bullet"/>
        <w:lvlText w:val="◦"/>
        <w:lvlJc w:val="left"/>
        <w:pPr>
          <w:tabs>
            <w:tab w:val="num" w:pos="1080"/>
          </w:tabs>
          <w:ind w:left="1080" w:hanging="360"/>
        </w:pPr>
        <w:rPr>
          <w:rFonts w:ascii="OpenSymbol" w:hAnsi="OpenSymbol" w:cs="Open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440"/>
          </w:tabs>
          <w:ind w:left="1440" w:hanging="360"/>
        </w:pPr>
        <w:rPr>
          <w:rFonts w:ascii="OpenSymbol" w:hAnsi="OpenSymbol" w:cs="Open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00"/>
          </w:tabs>
          <w:ind w:left="1800" w:hanging="360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◦"/>
        <w:lvlJc w:val="left"/>
        <w:pPr>
          <w:tabs>
            <w:tab w:val="num" w:pos="216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▪"/>
        <w:lvlJc w:val="left"/>
        <w:pPr>
          <w:tabs>
            <w:tab w:val="num" w:pos="2520"/>
          </w:tabs>
          <w:ind w:left="2520" w:hanging="360"/>
        </w:pPr>
        <w:rPr>
          <w:rFonts w:ascii="OpenSymbol" w:hAnsi="OpenSymbol" w:cs="Open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◦"/>
        <w:lvlJc w:val="left"/>
        <w:pPr>
          <w:tabs>
            <w:tab w:val="num" w:pos="3240"/>
          </w:tabs>
          <w:ind w:left="3240" w:hanging="360"/>
        </w:pPr>
        <w:rPr>
          <w:rFonts w:ascii="OpenSymbol" w:hAnsi="OpenSymbol" w:cs="Open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▪"/>
        <w:lvlJc w:val="left"/>
        <w:pPr>
          <w:tabs>
            <w:tab w:val="num" w:pos="3600"/>
          </w:tabs>
          <w:ind w:left="360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LibreOffice/24.2.7.2$Linux_X86_64 LibreOffice_project/420$Build-2</Application>
  <AppVersion>15.0000</AppVersion>
  <Pages>7</Pages>
  <Words>2147</Words>
  <Characters>11610</Characters>
  <CharactersWithSpaces>13229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2025-01-26T18:27:29Z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