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color w:val="FF0000"/>
          <w:sz w:val="28"/>
          <w:szCs w:val="28"/>
        </w:rPr>
        <w:t xml:space="preserve">199A Overview (Qualified Business Income Deduction)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sz w:val="24"/>
          <w:szCs w:val="24"/>
          <w:u w:val="single"/>
        </w:rPr>
        <w:t>T</w:t>
      </w:r>
      <w:r>
        <w:rPr>
          <w:rFonts w:ascii="Arial" w:hAnsi="Arial"/>
          <w:sz w:val="24"/>
          <w:szCs w:val="24"/>
          <w:u w:val="single"/>
        </w:rPr>
        <w:t xml:space="preserve">ax </w:t>
      </w:r>
      <w:r>
        <w:rPr>
          <w:rFonts w:ascii="Arial" w:hAnsi="Arial"/>
          <w:sz w:val="24"/>
          <w:szCs w:val="24"/>
          <w:u w:val="single"/>
        </w:rPr>
        <w:t>C</w:t>
      </w:r>
      <w:r>
        <w:rPr>
          <w:rFonts w:ascii="Arial" w:hAnsi="Arial"/>
          <w:sz w:val="24"/>
          <w:szCs w:val="24"/>
          <w:u w:val="single"/>
        </w:rPr>
        <w:t xml:space="preserve">uts and </w:t>
      </w:r>
      <w:r>
        <w:rPr>
          <w:rFonts w:ascii="Arial" w:hAnsi="Arial"/>
          <w:sz w:val="24"/>
          <w:szCs w:val="24"/>
          <w:u w:val="single"/>
        </w:rPr>
        <w:t>J</w:t>
      </w:r>
      <w:r>
        <w:rPr>
          <w:rFonts w:ascii="Arial" w:hAnsi="Arial"/>
          <w:sz w:val="24"/>
          <w:szCs w:val="24"/>
          <w:u w:val="single"/>
        </w:rPr>
        <w:t xml:space="preserve">obs </w:t>
      </w:r>
      <w:r>
        <w:rPr>
          <w:rFonts w:ascii="Arial" w:hAnsi="Arial"/>
          <w:sz w:val="24"/>
          <w:szCs w:val="24"/>
          <w:u w:val="single"/>
        </w:rPr>
        <w:t>A</w:t>
      </w:r>
      <w:r>
        <w:rPr>
          <w:rFonts w:ascii="Arial" w:hAnsi="Arial"/>
          <w:sz w:val="24"/>
          <w:szCs w:val="24"/>
          <w:u w:val="single"/>
        </w:rPr>
        <w:t>ct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(TCJA) </w:t>
      </w:r>
      <w:r>
        <w:rPr>
          <w:rFonts w:ascii="Arial" w:hAnsi="Arial"/>
          <w:sz w:val="24"/>
          <w:szCs w:val="24"/>
        </w:rPr>
        <w:t xml:space="preserve">was signed into law on December 22, </w:t>
      </w:r>
      <w:r>
        <w:rPr>
          <w:rFonts w:ascii="Arial" w:hAnsi="Arial"/>
          <w:sz w:val="24"/>
          <w:szCs w:val="24"/>
        </w:rPr>
        <w:t>2018</w:t>
      </w:r>
      <w:r>
        <w:rPr>
          <w:rFonts w:ascii="Arial" w:hAnsi="Arial"/>
          <w:sz w:val="24"/>
          <w:szCs w:val="24"/>
        </w:rPr>
        <w:t xml:space="preserve">,  along with section 199A. 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What is 199A?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</w:t>
      </w:r>
      <w:r>
        <w:rPr>
          <w:rFonts w:ascii="Arial" w:hAnsi="Arial"/>
          <w:sz w:val="24"/>
          <w:szCs w:val="24"/>
        </w:rPr>
        <w:t>eginning January 1</w:t>
      </w:r>
      <w:r>
        <w:rPr>
          <w:rFonts w:ascii="Arial" w:hAnsi="Arial"/>
          <w:sz w:val="24"/>
          <w:szCs w:val="24"/>
          <w:vertAlign w:val="superscript"/>
        </w:rPr>
        <w:t>st</w:t>
      </w:r>
      <w:r>
        <w:rPr>
          <w:rFonts w:ascii="Arial" w:hAnsi="Arial"/>
          <w:sz w:val="24"/>
          <w:szCs w:val="24"/>
        </w:rPr>
        <w:t xml:space="preserve"> 2018 through December 31, 2025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taxpayer </w:t>
      </w:r>
      <w:r>
        <w:rPr>
          <w:rFonts w:ascii="Arial" w:hAnsi="Arial"/>
          <w:sz w:val="24"/>
          <w:szCs w:val="24"/>
        </w:rPr>
        <w:t>(</w:t>
      </w:r>
      <w:r>
        <w:rPr>
          <w:rFonts w:ascii="Arial" w:hAnsi="Arial"/>
          <w:sz w:val="24"/>
          <w:szCs w:val="24"/>
        </w:rPr>
        <w:t xml:space="preserve">other than a </w:t>
      </w:r>
      <w:r>
        <w:rPr>
          <w:rFonts w:ascii="Arial" w:hAnsi="Arial"/>
          <w:sz w:val="24"/>
          <w:szCs w:val="24"/>
        </w:rPr>
        <w:t>C-</w:t>
      </w:r>
      <w:r>
        <w:rPr>
          <w:rFonts w:ascii="Arial" w:hAnsi="Arial"/>
          <w:sz w:val="24"/>
          <w:szCs w:val="24"/>
        </w:rPr>
        <w:t>corporation</w:t>
      </w:r>
      <w:r>
        <w:rPr>
          <w:rFonts w:ascii="Arial" w:hAnsi="Arial"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 xml:space="preserve"> is entitled to a 20% deduction of the taxpayer’s “</w:t>
      </w:r>
      <w:r>
        <w:rPr>
          <w:rFonts w:ascii="Arial" w:hAnsi="Arial"/>
          <w:b/>
          <w:bCs/>
          <w:i/>
          <w:iCs/>
          <w:sz w:val="24"/>
          <w:szCs w:val="24"/>
        </w:rPr>
        <w:t>qualified business income</w:t>
      </w:r>
      <w:r>
        <w:rPr>
          <w:rFonts w:ascii="Arial" w:hAnsi="Arial"/>
          <w:sz w:val="24"/>
          <w:szCs w:val="24"/>
        </w:rPr>
        <w:t xml:space="preserve">”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What is qualified business income? 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333333"/>
          <w:sz w:val="24"/>
          <w:szCs w:val="24"/>
          <w:shd w:fill="FCFCFC" w:val="clear"/>
        </w:rPr>
        <w:t xml:space="preserve">Qualified Business Income (QBI) is the net income, </w:t>
      </w:r>
      <w:r>
        <w:rPr>
          <w:rFonts w:ascii="Arial" w:hAnsi="Arial"/>
          <w:color w:val="333333"/>
          <w:sz w:val="24"/>
          <w:szCs w:val="24"/>
          <w:shd w:fill="FCFCFC" w:val="clear"/>
        </w:rPr>
        <w:t>(</w:t>
      </w:r>
      <w:r>
        <w:rPr>
          <w:rFonts w:ascii="Arial" w:hAnsi="Arial"/>
          <w:color w:val="333333"/>
          <w:sz w:val="24"/>
          <w:szCs w:val="24"/>
          <w:shd w:fill="FCFCFC" w:val="clear"/>
        </w:rPr>
        <w:t>gains, deductions, and losses</w:t>
      </w:r>
      <w:r>
        <w:rPr>
          <w:rFonts w:ascii="Arial" w:hAnsi="Arial"/>
          <w:color w:val="333333"/>
          <w:sz w:val="24"/>
          <w:szCs w:val="24"/>
          <w:shd w:fill="FCFCFC" w:val="clear"/>
        </w:rPr>
        <w:t>)</w:t>
      </w:r>
      <w:r>
        <w:rPr>
          <w:rFonts w:ascii="Arial" w:hAnsi="Arial"/>
          <w:color w:val="333333"/>
          <w:sz w:val="24"/>
          <w:szCs w:val="24"/>
          <w:shd w:fill="FCFCFC" w:val="clear"/>
        </w:rPr>
        <w:t xml:space="preserve"> from a qualified trade or business conducted within the US. This includes short-term and long-term capital gains and losses.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333333"/>
          <w:sz w:val="24"/>
          <w:szCs w:val="24"/>
          <w:shd w:fill="FCFCFC" w:val="clear"/>
        </w:rPr>
        <w:t>If an individual owns multiple businesses, QBI must be determined for each business separately.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333333"/>
          <w:sz w:val="24"/>
          <w:szCs w:val="24"/>
          <w:shd w:fill="FCFCFC" w:val="clear"/>
        </w:rPr>
        <w:t>Real estate income can qualify as QBI.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What is not qualified business income? 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Dividend income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Any interest income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Net gain from foreign currency transactions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Income from national principal contracts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Amounts received from an annuity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Compensation (</w:t>
      </w:r>
      <w:r>
        <w:rPr>
          <w:rFonts w:ascii="Arial" w:hAnsi="Arial"/>
          <w:sz w:val="24"/>
          <w:szCs w:val="24"/>
        </w:rPr>
        <w:t>W2-</w:t>
      </w:r>
      <w:r>
        <w:rPr>
          <w:rFonts w:ascii="Arial" w:hAnsi="Arial"/>
          <w:sz w:val="24"/>
          <w:szCs w:val="24"/>
        </w:rPr>
        <w:t>Wages)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Guaranteed payments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Do I need to actively participate in the business to get the deduction?</w:t>
      </w:r>
    </w:p>
    <w:p>
      <w:pPr>
        <w:pStyle w:val="Heading1"/>
        <w:shd w:val="clear" w:color="auto" w:fill="FFFFFF"/>
        <w:spacing w:beforeAutospacing="0" w:before="36" w:afterAutospacing="0" w:after="12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  <w:t>N</w:t>
      </w:r>
      <w:r>
        <w:rPr>
          <w:rFonts w:ascii="Arial" w:hAnsi="Arial"/>
          <w:b w:val="false"/>
          <w:sz w:val="24"/>
          <w:szCs w:val="24"/>
        </w:rPr>
        <w:t xml:space="preserve">o, </w:t>
      </w:r>
      <w:r>
        <w:rPr>
          <w:rFonts w:ascii="Arial" w:hAnsi="Arial"/>
          <w:b w:val="false"/>
          <w:sz w:val="24"/>
          <w:szCs w:val="24"/>
        </w:rPr>
        <w:t xml:space="preserve">your business interest may be “Passive” or “Active.” </w:t>
      </w:r>
    </w:p>
    <w:p>
      <w:pPr>
        <w:pStyle w:val="Heading1"/>
        <w:shd w:val="clear" w:color="auto" w:fill="FFFFFF"/>
        <w:spacing w:beforeAutospacing="0" w:before="36" w:afterAutospacing="0" w:after="120"/>
        <w:rPr>
          <w:b w:val="false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What is a qualified trade or business?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qualified trade or business, as defined under Section 199A, includes nearly all businesses except: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Employee services: Performing services as an employee does not qualify.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Specified service trades or businesses: Certain professions are excluded.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 Corporations: are </w:t>
      </w:r>
      <w:r>
        <w:rPr>
          <w:rFonts w:ascii="Arial" w:hAnsi="Arial"/>
          <w:b w:val="false"/>
          <w:bCs w:val="false"/>
          <w:sz w:val="24"/>
          <w:szCs w:val="24"/>
        </w:rPr>
        <w:t>NOT</w:t>
      </w:r>
      <w:r>
        <w:rPr>
          <w:rFonts w:ascii="Arial" w:hAnsi="Arial"/>
          <w:b w:val="false"/>
          <w:bCs w:val="false"/>
          <w:sz w:val="24"/>
          <w:szCs w:val="24"/>
        </w:rPr>
        <w:t xml:space="preserve"> eligible.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Employees: Individuals must have an ownership interest in the business to qualify for the deduction.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199A deduction limitation: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deduction is limited to 20% of </w:t>
      </w:r>
      <w:r>
        <w:rPr>
          <w:rFonts w:ascii="Arial" w:hAnsi="Arial"/>
          <w:b/>
          <w:sz w:val="24"/>
          <w:szCs w:val="24"/>
          <w:u w:val="single"/>
        </w:rPr>
        <w:t>lesser of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Qualified Business Income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Taxable income </w:t>
      </w:r>
      <w:r>
        <w:rPr>
          <w:rFonts w:ascii="Arial" w:hAnsi="Arial"/>
          <w:b/>
          <w:sz w:val="24"/>
          <w:szCs w:val="24"/>
        </w:rPr>
        <w:t xml:space="preserve">AFTER </w:t>
      </w:r>
      <w:r>
        <w:rPr>
          <w:rFonts w:ascii="Arial" w:hAnsi="Arial"/>
          <w:sz w:val="24"/>
          <w:szCs w:val="24"/>
        </w:rPr>
        <w:t xml:space="preserve">reduction for any net capital gains, but </w:t>
      </w:r>
      <w:r>
        <w:rPr>
          <w:rFonts w:ascii="Arial" w:hAnsi="Arial"/>
          <w:b/>
          <w:sz w:val="24"/>
          <w:szCs w:val="24"/>
        </w:rPr>
        <w:t>BEFORE</w:t>
      </w:r>
      <w:r>
        <w:rPr>
          <w:rFonts w:ascii="Arial" w:hAnsi="Arial"/>
          <w:sz w:val="24"/>
          <w:szCs w:val="24"/>
        </w:rPr>
        <w:t xml:space="preserve"> the 199A deduction is taken into account.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Remember your </w:t>
      </w:r>
      <w:r>
        <w:rPr>
          <w:rFonts w:ascii="Arial" w:hAnsi="Arial"/>
          <w:i/>
          <w:sz w:val="24"/>
          <w:szCs w:val="24"/>
          <w:u w:val="single"/>
        </w:rPr>
        <w:t>taxable income</w:t>
      </w:r>
      <w:r>
        <w:rPr>
          <w:rFonts w:ascii="Arial" w:hAnsi="Arial"/>
          <w:i/>
          <w:sz w:val="24"/>
          <w:szCs w:val="24"/>
        </w:rPr>
        <w:t xml:space="preserve"> is generally your adjusted gross income minus your standard deduction/itemized deduction.  (AGI – Standard deduction/itemized deduction) = Taxable income.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Example: </w:t>
      </w:r>
      <w:r>
        <w:rPr>
          <w:rFonts w:ascii="Arial" w:hAnsi="Arial"/>
          <w:i/>
          <w:sz w:val="24"/>
          <w:szCs w:val="24"/>
        </w:rPr>
        <w:t>MFJ taxpayer</w:t>
      </w:r>
      <w:r>
        <w:rPr>
          <w:rFonts w:ascii="Arial" w:hAnsi="Arial"/>
          <w:b/>
          <w:i/>
          <w:sz w:val="24"/>
          <w:szCs w:val="24"/>
        </w:rPr>
        <w:t xml:space="preserve"> </w:t>
      </w:r>
      <w:r>
        <w:rPr>
          <w:rFonts w:ascii="Arial" w:hAnsi="Arial"/>
          <w:i/>
          <w:sz w:val="24"/>
          <w:szCs w:val="24"/>
        </w:rPr>
        <w:t>has the following: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b/>
          <w:i/>
          <w:sz w:val="24"/>
          <w:szCs w:val="24"/>
        </w:rPr>
        <w:t xml:space="preserve"> </w:t>
      </w:r>
      <w:r>
        <w:rPr>
          <w:rFonts w:ascii="Arial" w:hAnsi="Arial"/>
          <w:i/>
          <w:sz w:val="24"/>
          <w:szCs w:val="24"/>
        </w:rPr>
        <w:t>$100,000 of QBI (Qualified business income)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$100,000 in Long-term capital gains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($30,000 of tax deductions)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Net taxable income in this example would be $170,000. </w:t>
      </w:r>
    </w:p>
    <w:p>
      <w:pPr>
        <w:pStyle w:val="Normal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The 199A deduction is limited to the lesser of $20,000 ($100,000 x 20%) or $14,000 (20% of $70,000).  The $70,000 is calculated by taking the total net taxable income of $170,000 - $100,000 capital gains) = $70,000</w:t>
      </w:r>
    </w:p>
    <w:p>
      <w:pPr>
        <w:pStyle w:val="Normal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Result: In this example is $14,000 199A deduction. This means $14,000 of this person’s business income is no longer subject to tax.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Business and taxpayers who qualify for 199A Deduction: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4423410" cy="10579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Income limitations: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943600" cy="95758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Income Limitations: (Phase In)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943600" cy="97218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Exception of 199A deduction for Specified service business: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333333"/>
          <w:sz w:val="24"/>
          <w:szCs w:val="24"/>
          <w:shd w:fill="FCFCFC" w:val="clear"/>
        </w:rPr>
        <w:t>The deduction is allowed if the taxpayer claiming the deduction has taxable income of less than $315,000 (if married filing jointly; $157,500 for all other taxpayers). </w:t>
      </w:r>
    </w:p>
    <w:p>
      <w:pPr>
        <w:pStyle w:val="NormalWeb"/>
        <w:shd w:val="clear" w:color="auto" w:fill="FCFCFC"/>
        <w:spacing w:before="280" w:after="280"/>
        <w:rPr>
          <w:rFonts w:ascii="Arial" w:hAnsi="Arial"/>
          <w:sz w:val="24"/>
          <w:szCs w:val="24"/>
        </w:rPr>
      </w:pPr>
      <w:r>
        <w:rPr>
          <w:rFonts w:eastAsia="" w:cs="" w:ascii="Arial" w:hAnsi="Arial" w:cstheme="minorBidi" w:eastAsiaTheme="minorEastAsia"/>
          <w:color w:val="333333"/>
          <w:sz w:val="24"/>
          <w:szCs w:val="24"/>
          <w:shd w:fill="FCFCFC" w:val="clear"/>
        </w:rPr>
        <w:t>Because the two W-2-based limitations also do not apply when taxable income is below those same thresholds, a taxpayer in a specified service business with taxable income below the thresholds simply deducts 20% of any qualified business income (subject to the overall limitation).</w:t>
      </w:r>
    </w:p>
    <w:p>
      <w:pPr>
        <w:pStyle w:val="NormalWeb"/>
        <w:shd w:val="clear" w:color="auto" w:fill="FCFCFC"/>
        <w:spacing w:before="280" w:after="280"/>
        <w:rPr/>
      </w:pPr>
      <w:r>
        <w:rPr>
          <w:rStyle w:val="Emphasis"/>
          <w:rFonts w:ascii="Arial" w:hAnsi="Arial"/>
          <w:b/>
          <w:i w:val="false"/>
          <w:color w:val="333333"/>
          <w:sz w:val="24"/>
          <w:szCs w:val="24"/>
        </w:rPr>
        <w:t>Example</w:t>
      </w:r>
      <w:r>
        <w:rPr>
          <w:rStyle w:val="Emphasis"/>
          <w:rFonts w:ascii="Arial" w:hAnsi="Arial"/>
          <w:color w:val="333333"/>
          <w:sz w:val="24"/>
          <w:szCs w:val="24"/>
        </w:rPr>
        <w:t xml:space="preserve"> </w:t>
      </w:r>
    </w:p>
    <w:p>
      <w:pPr>
        <w:pStyle w:val="NormalWeb"/>
        <w:shd w:val="clear" w:color="auto" w:fill="FCFCFC"/>
        <w:spacing w:before="280" w:after="280"/>
        <w:rPr/>
      </w:pPr>
      <w:r>
        <w:rPr>
          <w:rStyle w:val="Emphasis"/>
          <w:rFonts w:ascii="Arial" w:hAnsi="Arial"/>
          <w:color w:val="333333"/>
          <w:sz w:val="24"/>
          <w:szCs w:val="24"/>
        </w:rPr>
        <w:t xml:space="preserve">A, a single taxpayer, is an attorney who operates his business as a partnership. </w:t>
      </w:r>
    </w:p>
    <w:p>
      <w:pPr>
        <w:pStyle w:val="NormalWeb"/>
        <w:shd w:val="clear" w:color="auto" w:fill="FCFCFC"/>
        <w:spacing w:before="280" w:after="280"/>
        <w:rPr/>
      </w:pPr>
      <w:r>
        <w:rPr>
          <w:rStyle w:val="Emphasis"/>
          <w:rFonts w:ascii="Arial" w:hAnsi="Arial"/>
          <w:color w:val="333333"/>
          <w:sz w:val="24"/>
          <w:szCs w:val="24"/>
        </w:rPr>
        <w:t xml:space="preserve">-The partnership pays no W-2 wages during the year. During 2018, A earns $100,000 from his law business and has total taxable income of $150,000. </w:t>
      </w:r>
    </w:p>
    <w:p>
      <w:pPr>
        <w:pStyle w:val="NormalWeb"/>
        <w:shd w:val="clear" w:color="auto" w:fill="FCFCFC"/>
        <w:spacing w:before="280" w:after="280"/>
        <w:rPr/>
      </w:pPr>
      <w:r>
        <w:rPr>
          <w:rStyle w:val="Emphasis"/>
          <w:rFonts w:ascii="Arial" w:hAnsi="Arial"/>
          <w:color w:val="333333"/>
          <w:sz w:val="24"/>
          <w:szCs w:val="24"/>
        </w:rPr>
        <w:t xml:space="preserve">Because A’s taxable income is less than $157,500, the prohibition on specified service businesses does not apply. In addition, because taxable income is less than $157,500, the W-2 limitations do not apply. As a result, </w:t>
      </w:r>
      <w:r>
        <w:rPr>
          <w:rStyle w:val="Emphasis"/>
          <w:rFonts w:ascii="Arial" w:hAnsi="Arial"/>
          <w:color w:val="333333"/>
          <w:sz w:val="24"/>
          <w:szCs w:val="24"/>
          <w:u w:val="single"/>
        </w:rPr>
        <w:t>A’s final deduction is $20,000 (20% of $100,000).</w:t>
      </w:r>
    </w:p>
    <w:p>
      <w:pPr>
        <w:pStyle w:val="NormalWeb"/>
        <w:shd w:val="clear" w:color="auto" w:fill="FCFCFC"/>
        <w:spacing w:before="280" w:after="280"/>
        <w:rPr>
          <w:rFonts w:ascii="Arial" w:hAnsi="Arial"/>
          <w:sz w:val="24"/>
          <w:szCs w:val="24"/>
        </w:rPr>
      </w:pPr>
      <w:r>
        <w:rPr>
          <w:rFonts w:ascii="Arial" w:hAnsi="Arial"/>
          <w:color w:val="333333"/>
          <w:sz w:val="24"/>
          <w:szCs w:val="24"/>
        </w:rPr>
        <w:t>The ability to claim the deduction for owners of a specified service business is phased out over the next $100,000 of taxable income (if married filing jointly; $50,000 for all other taxpayers), so that by the time taxable income exceeds $415,000 (if married filing jointly; $207,500 for all other taxpayers) the deduction is lost completely.</w:t>
      </w:r>
    </w:p>
    <w:p>
      <w:pPr>
        <w:pStyle w:val="NormalWeb"/>
        <w:shd w:val="clear" w:color="auto" w:fill="FCFCFC"/>
        <w:spacing w:before="280" w:after="280"/>
        <w:rPr/>
      </w:pPr>
      <w:r>
        <w:rPr>
          <w:rStyle w:val="Emphasis"/>
          <w:rFonts w:ascii="Arial" w:hAnsi="Arial"/>
          <w:color w:val="333333"/>
          <w:sz w:val="24"/>
          <w:szCs w:val="24"/>
        </w:rPr>
        <w:t>Ex. Same facts as in the previous example, except A has taxable income of $230,000. Because taxable income exceeds $207,500, A is not entitled to any deduction under Section 199A.</w:t>
      </w:r>
    </w:p>
    <w:p>
      <w:pPr>
        <w:pStyle w:val="NormalWeb"/>
        <w:shd w:val="clear" w:color="auto" w:fill="FCFCFC"/>
        <w:spacing w:before="280" w:after="28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33333"/>
          <w:sz w:val="24"/>
          <w:szCs w:val="24"/>
        </w:rPr>
        <w:t xml:space="preserve">What is a Specified Service Trade or Business? </w:t>
      </w:r>
    </w:p>
    <w:p>
      <w:pPr>
        <w:pStyle w:val="NormalWeb"/>
        <w:shd w:val="clear" w:color="auto" w:fill="FCFCFC"/>
        <w:spacing w:before="280" w:after="28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33333"/>
          <w:sz w:val="24"/>
          <w:szCs w:val="24"/>
        </w:rPr>
        <w:t>SSB   SSTB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Specified Service Trade or Businesses &amp; Examples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Law – Performance of legal services by attorneys, paralegals, and other similar professionals who serve in a legal service capacity.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Accounting – Accountants, auditors , enrolled agents, and other similar positions that  aid them in such a capacity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Health- Doctors, pharmacist, nurse’s etc.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Actuarial sciences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Performing Arts – Actors, singers, directors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Consulting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Financial services – Those who provide wealth management, develop retirement plans, financial advisors. (Not disqualified: Bankers)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Athletics – Coaches, team managers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Brokerage Services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Investing and investment management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Trading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Dealing in securities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business or trade where the principal asset is the reputation or skill of one or more of its employers or owners.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Specified Service Trade or Businesses &amp; Examples (continued)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There are certain exceptions to the services mentioned above in the sense that they would not be classified as a specified service: Two examples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the healthcare industry – Manufacturing and sale of pharmaceuticals or medical devices would not be a specified service trade or business, because it does not directly relate to the medical service field.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the field of performing arts – Maintenance and operation of equipment or facilities for use in the performing arts would not be classified as a specified service business. Also persons who broadcast or otherwise disseminate video or audio to the general public would not be considered a specified service activity. 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Separating into multiple businesses entities will likely not help you avoid specified service business treatment: 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Example: Medical practice that performs medical services separates out its business into three separate partnerships: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Partnership 1 performs medical services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Partnership 2 owns and leases the real estate to partnership 1.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Partnership 3 employee’s staff for partnership 1. </w:t>
      </w:r>
    </w:p>
    <w:p>
      <w:pPr>
        <w:pStyle w:val="ListParagraph"/>
        <w:ind w:left="108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Because each entity is owned 50% or more common ownership all three partnerships will be treated as one specified service trade or business.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Special de minims rules for businesses that sale products and provide services</w:t>
      </w:r>
    </w:p>
    <w:p>
      <w:pPr>
        <w:pStyle w:val="NormalWeb"/>
        <w:shd w:val="clear" w:color="auto" w:fill="FCFCFC"/>
        <w:spacing w:before="280" w:after="280"/>
        <w:rPr>
          <w:rFonts w:ascii="Arial" w:hAnsi="Arial"/>
          <w:sz w:val="24"/>
          <w:szCs w:val="24"/>
        </w:rPr>
      </w:pPr>
      <w:r>
        <w:rPr>
          <w:rFonts w:ascii="Arial" w:hAnsi="Arial"/>
          <w:color w:val="333333"/>
          <w:sz w:val="24"/>
          <w:szCs w:val="24"/>
        </w:rPr>
        <w:t>The regulations provide a de minims exception</w:t>
      </w:r>
      <w:r>
        <w:rPr>
          <w:rFonts w:ascii="Arial" w:hAnsi="Arial"/>
          <w:b/>
          <w:bCs/>
          <w:color w:val="333333"/>
          <w:sz w:val="24"/>
          <w:szCs w:val="24"/>
        </w:rPr>
        <w:t> </w:t>
      </w:r>
      <w:r>
        <w:rPr>
          <w:rFonts w:ascii="Arial" w:hAnsi="Arial"/>
          <w:color w:val="333333"/>
          <w:sz w:val="24"/>
          <w:szCs w:val="24"/>
        </w:rPr>
        <w:t xml:space="preserve">that will allow a business that both sells product and performs services to avoid being treated as a SSTB. </w:t>
      </w:r>
    </w:p>
    <w:p>
      <w:pPr>
        <w:pStyle w:val="NormalWeb"/>
        <w:shd w:val="clear" w:color="auto" w:fill="FCFCFC"/>
        <w:spacing w:before="280" w:after="280"/>
        <w:rPr>
          <w:rFonts w:ascii="Arial" w:hAnsi="Arial"/>
          <w:sz w:val="24"/>
          <w:szCs w:val="24"/>
        </w:rPr>
      </w:pPr>
      <w:r>
        <w:rPr>
          <w:rFonts w:ascii="Arial" w:hAnsi="Arial"/>
          <w:color w:val="333333"/>
          <w:sz w:val="24"/>
          <w:szCs w:val="24"/>
        </w:rPr>
        <w:t xml:space="preserve">If a trade or business has gross receipts of $25 million or less for the tax year, it will NOT be treated as a SSTB as long as less than 10% of the gross receipts of the business are attributable to the performance of services in one of the disqualified fields listed above. </w:t>
      </w:r>
    </w:p>
    <w:p>
      <w:pPr>
        <w:pStyle w:val="NormalWeb"/>
        <w:shd w:val="clear" w:color="auto" w:fill="FCFCFC"/>
        <w:spacing w:before="280" w:after="280"/>
        <w:rPr>
          <w:rFonts w:ascii="Arial" w:hAnsi="Arial"/>
          <w:sz w:val="24"/>
          <w:szCs w:val="24"/>
        </w:rPr>
      </w:pPr>
      <w:r>
        <w:rPr>
          <w:rFonts w:ascii="Arial" w:hAnsi="Arial"/>
          <w:color w:val="333333"/>
          <w:sz w:val="24"/>
          <w:szCs w:val="24"/>
        </w:rPr>
        <w:t>If a business has gross receipts in excess of $25 million, a similar de minims rule exists; only 10% is replaced by 5%.</w:t>
      </w:r>
    </w:p>
    <w:p>
      <w:pPr>
        <w:pStyle w:val="NormalWeb"/>
        <w:shd w:val="clear" w:color="auto" w:fill="FCFCFC"/>
        <w:spacing w:before="280" w:after="280"/>
        <w:rPr/>
      </w:pPr>
      <w:r>
        <w:rPr>
          <w:rStyle w:val="Emphasis"/>
          <w:rFonts w:ascii="Arial" w:hAnsi="Arial"/>
          <w:color w:val="333333"/>
          <w:sz w:val="24"/>
          <w:szCs w:val="24"/>
        </w:rPr>
        <w:t>Ex. X Co. has annual revenue of $20 million. $18.5 million of the revenue is attributable to the sales of computers, and the remaining $1.5 million is attributable to consulting, installation, and training services. Because X Co.'s consulting services comprise less than 10% of X Co.'s total receipts, those services are ignored, and X Co. is not treated as a SSTB. </w:t>
      </w:r>
    </w:p>
    <w:p>
      <w:pPr>
        <w:pStyle w:val="NormalWeb"/>
        <w:shd w:val="clear" w:color="auto" w:fill="FCFCFC"/>
        <w:spacing w:before="280" w:after="280"/>
        <w:rPr>
          <w:rStyle w:val="Emphasis"/>
          <w:rFonts w:ascii="Arial" w:hAnsi="Arial"/>
          <w:color w:val="333333"/>
          <w:sz w:val="24"/>
          <w:szCs w:val="24"/>
        </w:rPr>
      </w:pPr>
      <w:r>
        <w:rPr/>
      </w:r>
    </w:p>
    <w:p>
      <w:pPr>
        <w:pStyle w:val="NormalWeb"/>
        <w:shd w:val="clear" w:color="auto" w:fill="FCFCFC"/>
        <w:spacing w:before="280" w:after="280"/>
        <w:rPr>
          <w:rStyle w:val="Emphasis"/>
          <w:rFonts w:ascii="Arial" w:hAnsi="Arial"/>
          <w:color w:val="333333"/>
          <w:sz w:val="24"/>
          <w:szCs w:val="24"/>
        </w:rPr>
      </w:pPr>
      <w:r>
        <w:rPr/>
      </w:r>
    </w:p>
    <w:p>
      <w:pPr>
        <w:pStyle w:val="NormalWeb"/>
        <w:shd w:val="clear" w:color="auto" w:fill="FCFCFC"/>
        <w:spacing w:before="280" w:after="280"/>
        <w:rPr>
          <w:rStyle w:val="Emphasis"/>
          <w:rFonts w:ascii="Arial" w:hAnsi="Arial"/>
          <w:color w:val="333333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Where to find more information: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b/>
          <w:sz w:val="24"/>
          <w:szCs w:val="24"/>
        </w:rPr>
        <w:t xml:space="preserve">Irs Notice 2018-64 </w:t>
      </w:r>
      <w:hyperlink r:id="rId5">
        <w:r>
          <w:rPr>
            <w:rStyle w:val="Hyperlink"/>
            <w:rFonts w:ascii="Arial" w:hAnsi="Arial"/>
            <w:b/>
            <w:sz w:val="24"/>
            <w:szCs w:val="24"/>
          </w:rPr>
          <w:t>https://www.irs.gov/pub/irs-drop/n-18-64.pdf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b/>
          <w:sz w:val="24"/>
          <w:szCs w:val="24"/>
        </w:rPr>
        <w:t xml:space="preserve">IRS 199 Proposed Regs: </w:t>
      </w:r>
      <w:hyperlink r:id="rId6">
        <w:r>
          <w:rPr>
            <w:rStyle w:val="Hyperlink"/>
            <w:rFonts w:ascii="Arial" w:hAnsi="Arial"/>
            <w:b/>
            <w:sz w:val="24"/>
            <w:szCs w:val="24"/>
          </w:rPr>
          <w:t>https://www.irs.gov/pub/irs-drop/reg-107892-18.pdf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b/>
          <w:sz w:val="24"/>
          <w:szCs w:val="24"/>
        </w:rPr>
        <w:t>IRS FAQ re: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199A</w:t>
      </w:r>
      <w:r>
        <w:rPr>
          <w:rFonts w:ascii="Arial" w:hAnsi="Arial"/>
          <w:sz w:val="24"/>
          <w:szCs w:val="24"/>
        </w:rPr>
        <w:t xml:space="preserve">: </w:t>
      </w:r>
      <w:hyperlink r:id="rId7">
        <w:r>
          <w:rPr>
            <w:rStyle w:val="Hyperlink"/>
            <w:rFonts w:ascii="Arial" w:hAnsi="Arial"/>
            <w:sz w:val="24"/>
            <w:szCs w:val="24"/>
          </w:rPr>
          <w:t>https://www.irs.gov/newsroom/tax-cuts-and-jobs-act-provision-11011-section-199a-qualified-business-income-deduction-faqs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b/>
          <w:sz w:val="24"/>
          <w:szCs w:val="24"/>
        </w:rPr>
        <w:t>Forbes article written by Tony Nitti:</w:t>
      </w:r>
      <w:r>
        <w:rPr>
          <w:rFonts w:ascii="Arial" w:hAnsi="Arial"/>
          <w:sz w:val="24"/>
          <w:szCs w:val="24"/>
        </w:rPr>
        <w:t xml:space="preserve"> </w:t>
      </w:r>
      <w:hyperlink r:id="rId8">
        <w:r>
          <w:rPr>
            <w:rStyle w:val="Hyperlink"/>
            <w:rFonts w:ascii="Arial" w:hAnsi="Arial"/>
            <w:sz w:val="24"/>
            <w:szCs w:val="24"/>
          </w:rPr>
          <w:t>https://www.forbes.com/sites/anthonynitti/2018/08/09/irs-provides-guidance-on-20-pass-through-deduction-but-questions-remain/#e8c2c2c2ff84</w:t>
        </w:r>
      </w:hyperlink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Arial" w:hAnsi="Arial"/>
          <w:b/>
          <w:sz w:val="24"/>
          <w:szCs w:val="24"/>
        </w:rPr>
        <w:t>Article on 199A written by KPMG:</w:t>
      </w:r>
      <w:r>
        <w:rPr>
          <w:rFonts w:ascii="Arial" w:hAnsi="Arial"/>
          <w:sz w:val="24"/>
          <w:szCs w:val="24"/>
        </w:rPr>
        <w:t xml:space="preserve"> </w:t>
      </w:r>
      <w:hyperlink r:id="rId9">
        <w:r>
          <w:rPr>
            <w:rStyle w:val="Hyperlink"/>
            <w:rFonts w:ascii="Arial" w:hAnsi="Arial"/>
            <w:sz w:val="24"/>
            <w:szCs w:val="24"/>
          </w:rPr>
          <w:t>https://home.kpmg.com/us/en/home/insights/2018/08/tnf-initial-impressions-proposed-regulations-irs-guidance-for-section-199a.html</w:t>
        </w:r>
      </w:hyperlink>
    </w:p>
    <w:sectPr>
      <w:footerReference w:type="even" r:id="rId10"/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9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6e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a411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9079a"/>
    <w:rPr>
      <w:color w:themeColor="hyperlink"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33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b11e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05d6a"/>
    <w:rPr>
      <w:color w:themeColor="followedHyperlink" w:val="8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a411d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40a6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40a6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27f5e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3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fb11e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40a6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40a6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irs.gov/pub/irs-drop/n-18-64.pdf" TargetMode="External"/><Relationship Id="rId6" Type="http://schemas.openxmlformats.org/officeDocument/2006/relationships/hyperlink" Target="https://www.irs.gov/pub/irs-drop/reg-107892-18.pdf" TargetMode="External"/><Relationship Id="rId7" Type="http://schemas.openxmlformats.org/officeDocument/2006/relationships/hyperlink" Target="https://www.irs.gov/newsroom/tax-cuts-and-jobs-act-provision-11011-section-199a-qualified-business-income-deduction-faqs" TargetMode="External"/><Relationship Id="rId8" Type="http://schemas.openxmlformats.org/officeDocument/2006/relationships/hyperlink" Target="https://www.forbes.com/sites/anthonynitti/2018/08/09/irs-provides-guidance-on-20-pass-through-deduction-but-questions-remain/%23e8c2c2c2ff84" TargetMode="External"/><Relationship Id="rId9" Type="http://schemas.openxmlformats.org/officeDocument/2006/relationships/hyperlink" Target="https://home.kpmg.com/us/en/home/insights/2018/08/tnf-initial-impressions-proposed-regulations-irs-guidance-for-section-199a.html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5E250-4049-4EF3-9ADD-832E4DE4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LibreOffice/24.2.7.2$Linux_X86_64 LibreOffice_project/420$Build-2</Application>
  <AppVersion>15.0000</AppVersion>
  <Pages>5</Pages>
  <Words>1187</Words>
  <Characters>6725</Characters>
  <CharactersWithSpaces>7834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2018-10-06T21:43:00Z</dcterms:created>
  <dc:creator>Mike Kelly</dc:creator>
  <dc:description/>
  <dc:language>en-US</dc:language>
  <cp:lastModifiedBy/>
  <dcterms:modified xsi:type="dcterms:W3CDTF">2025-01-27T13:45:36Z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