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Obervational Statistics </w:t>
      </w:r>
      <w:r>
        <w:rPr>
          <w:b/>
          <w:bCs/>
          <w:sz w:val="28"/>
          <w:szCs w:val="28"/>
          <w:u w:val="single"/>
        </w:rPr>
        <w:t>Formulas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466" w:type="dxa"/>
        <w:jc w:val="left"/>
        <w:tblInd w:w="-4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6"/>
        <w:gridCol w:w="5609"/>
      </w:tblGrid>
      <w:tr>
        <w:trPr/>
        <w:tc>
          <w:tcPr>
            <w:tcW w:w="4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Sample Size Estimation</w:t>
            </w:r>
            <w:r>
              <w:rPr>
                <w:b/>
                <w:bCs/>
                <w:i w:val="false"/>
                <w:iCs w:val="false"/>
                <w:u w:val="none"/>
              </w:rPr>
              <w:b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Sample size estimation 'double check'</w:t>
            </w:r>
            <w:r>
              <w:rPr>
                <w:b/>
                <w:bCs/>
              </w:rPr>
              <w:b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n = </w:t>
            </w:r>
            <w:r>
              <w:rPr/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den>
                  </m:f>
                </m:den>
              </m:f>
            </m:oMath>
            <w:r>
              <w:rPr/>
              <w:br/>
            </w:r>
          </w:p>
        </w:tc>
      </w:tr>
      <w:tr>
        <w:trPr/>
        <w:tc>
          <w:tcPr>
            <w:tcW w:w="4856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Simple Random Sample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vars (</w:t>
            </w: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</m:oMath>
            <w:r>
              <w:rPr/>
              <w:t>) = (1 – f) * s2 / n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95% Confidence Interval: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sd (</w:t>
            </w: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</m:oMath>
            <w:r>
              <w:rPr/>
              <w:t xml:space="preserve">) + 1.96 x 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s</m:t>
              </m:r>
            </m:oMath>
          </w:p>
        </w:tc>
        <w:tc>
          <w:tcPr>
            <w:tcW w:w="5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Coefficient of Variation</w:t>
            </w:r>
            <w:r>
              <w:rPr>
                <w:b/>
                <w:bCs/>
              </w:rPr>
              <w:b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cv</m:t>
              </m:r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ad>
                <m:radPr>
                  <m:degHide m:val="1"/>
                </m:radPr>
                <m:deg/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×</m:t>
              </m:r>
              <m:f>
                <m:num>
                  <m:r>
                    <w:rPr>
                      <w:rFonts w:ascii="Cambria Math" w:hAnsi="Cambria Math"/>
                    </w:rPr>
                    <m:t xml:space="preserve">s</m:t>
                  </m:r>
                </m:num>
                <m:den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bar>
                </m:den>
              </m:f>
            </m:oMath>
            <w:r>
              <w:rPr/>
              <w:br/>
              <w:br/>
              <w:t>95% Confidence Interval: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cv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1.96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cv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4856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 xml:space="preserve">Sample Size Estimation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for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 xml:space="preserve"> Proportions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i/>
                <w:iCs/>
                <w:u w:val="none"/>
              </w:rPr>
              <w:t>For Differences</w:t>
            </w:r>
            <w:r>
              <w:rPr>
                <w:b/>
                <w:bCs/>
                <w:i w:val="false"/>
                <w:iCs w:val="false"/>
                <w:u w:val="none"/>
              </w:rPr>
              <w:t xml:space="preserve">: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−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d>
            </m:oMath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n =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PQ</m:t>
                  </m:r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alpha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PQ</m:t>
                  </m:r>
                </m:den>
              </m:f>
            </m:oMath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5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 xml:space="preserve">Sample Size Estimation 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for</w:t>
            </w: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 xml:space="preserve"> Proportions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i/>
                <w:iCs/>
                <w:u w:val="none"/>
              </w:rPr>
              <w:t>For Relative Differences</w:t>
            </w:r>
            <w:r>
              <w:rPr>
                <w:b/>
                <w:bCs/>
                <w:i w:val="false"/>
                <w:iCs w:val="false"/>
                <w:u w:val="none"/>
              </w:rPr>
              <w:t xml:space="preserve">: </w:t>
            </w: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acc>
                    </m:e>
                  </m:d>
                </m:num>
                <m:den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den>
              </m:f>
            </m:oMath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n =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PQ</m:t>
                  </m:r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alpha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PQ</m:t>
                  </m:r>
                </m:den>
              </m:f>
            </m:oMath>
          </w:p>
        </w:tc>
      </w:tr>
      <w:tr>
        <w:trPr/>
        <w:tc>
          <w:tcPr>
            <w:tcW w:w="485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Variance of </w:t>
            </w:r>
            <w:r>
              <w:rPr>
                <w:b/>
                <w:bCs/>
                <w:sz w:val="24"/>
                <w:szCs w:val="24"/>
              </w:rPr>
              <w:t xml:space="preserve">Weighted </w:t>
            </w: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amples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Step 1: </w:t>
            </w: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Step 2: Calculate '</w:t>
            </w:r>
            <w:r>
              <w:rPr>
                <w:i/>
                <w:iCs/>
              </w:rPr>
              <w:t>n.tilde</w:t>
            </w:r>
            <w:r>
              <w:rPr/>
              <w:t xml:space="preserve">': </w:t>
            </w:r>
            <w:r>
              <w:rPr/>
            </w:r>
            <m:oMath xmlns:m="http://schemas.openxmlformats.org/officeDocument/2006/math">
              <m:acc>
                <m:accPr>
                  <m:chr m:val="~"/>
                </m:acc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nary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{Used throughout}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Step 2: Calculate 'w star i':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star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~"/>
                </m:acc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acc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e>
                  </m:d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Step 3: Calculate: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FPC</m:t>
                  </m:r>
                </m:num>
                <m:den>
                  <m:acc>
                    <m:accPr>
                      <m:chr m:val="~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</m:d>
                </m:num>
                <m:den>
                  <m:acc>
                    <m:accPr>
                      <m:chr m:val="~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acc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Step 4: Calculate:</w:t>
              <w:b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</w:r>
            <m:oMath xmlns:m="http://schemas.openxmlformats.org/officeDocument/2006/math"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var</m:t>
                  </m:r>
                </m:e>
              </m:acc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FPC</m:t>
                  </m:r>
                </m:num>
                <m:den>
                  <m:acc>
                    <m:accPr>
                      <m:chr m:val="~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acc>
                </m:den>
              </m:f>
              <m:d>
                <m:dPr>
                  <m:begChr m:val="["/>
                  <m:endChr m:val="]"/>
                </m:dPr>
                <m:e>
                  <m:f>
                    <m:num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w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star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acc>
                                <m:accPr>
                                  <m:chr m:val="¯"/>
                                </m:acc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w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w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star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d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5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Fisher's Exact Test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</w:t>
            </w:r>
            <w:r>
              <w:rPr>
                <w:b/>
                <w:bCs/>
                <w:sz w:val="28"/>
                <w:szCs w:val="28"/>
                <w:vertAlign w:val="subscript"/>
              </w:rPr>
              <w:t>cutoff</w:t>
            </w:r>
            <w:r>
              <w:rPr/>
              <w:t xml:space="preserve"> = </w:t>
            </w: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nary>
                    <m:naryPr>
                      <m:chr m:val="∏"/>
                      <m:supHide m:val="1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e>
                  </m:nary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tbl>
            <w:tblPr>
              <w:tblW w:w="5000" w:type="pct"/>
              <w:jc w:val="left"/>
              <w:tblInd w:w="4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98"/>
              <w:gridCol w:w="1798"/>
              <w:gridCol w:w="1798"/>
            </w:tblGrid>
            <w:tr>
              <w:trPr/>
              <w:tc>
                <w:tcPr>
                  <w:tcW w:w="17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A1,1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A1,2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R1</w:t>
                  </w:r>
                </w:p>
              </w:tc>
            </w:tr>
            <w:tr>
              <w:trPr/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A2,1</w:t>
                  </w:r>
                </w:p>
              </w:tc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A2,2</w:t>
                  </w:r>
                </w:p>
              </w:tc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R2</w:t>
                  </w:r>
                </w:p>
              </w:tc>
            </w:tr>
            <w:tr>
              <w:trPr/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C1</w:t>
                  </w:r>
                </w:p>
              </w:tc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C2</w:t>
                  </w:r>
                </w:p>
              </w:tc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N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56" w:type="dxa"/>
            <w:vMerge w:val="continue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5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Variance of </w:t>
            </w:r>
            <w:r>
              <w:rPr>
                <w:b/>
                <w:bCs/>
                <w:sz w:val="24"/>
                <w:szCs w:val="24"/>
              </w:rPr>
              <w:t xml:space="preserve">Population </w:t>
            </w:r>
            <w:r>
              <w:rPr>
                <w:b/>
                <w:bCs/>
                <w:sz w:val="24"/>
                <w:szCs w:val="24"/>
              </w:rPr>
              <w:t>Prop</w:t>
            </w:r>
            <w:r>
              <w:rPr>
                <w:b/>
                <w:bCs/>
                <w:sz w:val="24"/>
                <w:szCs w:val="24"/>
              </w:rPr>
              <w:t>ortions</w:t>
              <w:br/>
            </w:r>
            <w:r>
              <w:rPr>
                <w:b/>
                <w:bCs/>
                <w:sz w:val="24"/>
                <w:szCs w:val="24"/>
              </w:rPr>
              <w:t>&amp; 95% C.I.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var (p) 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pq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  <w:r>
              <w:rPr/>
              <w:t>: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p </w:t>
            </w:r>
            <w:r>
              <w:rPr>
                <w:u w:val="single"/>
              </w:rPr>
              <w:t>+</w:t>
            </w:r>
            <w:r>
              <w:rPr/>
              <w:t xml:space="preserve"> 1.96 x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</m:d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pq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rad>
            </m:oMath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spacing w:before="0" w:after="0"/>
      <w:jc w:val="left"/>
    </w:pPr>
    <w:rPr>
      <w:rFonts w:ascii="Arial" w:hAnsi="Arial" w:eastAsia="Droid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1"/>
    <w:qFormat/>
    <w:pPr>
      <w:keepNext w:val="true"/>
      <w:spacing w:before="240" w:after="120"/>
    </w:pPr>
    <w:rPr>
      <w:rFonts w:ascii="Arial" w:hAnsi="Arial" w:eastAsia="Droid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112</Words>
  <Characters>538</Characters>
  <CharactersWithSpaces>646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2013-02-22T11:33:09Z</dcterms:created>
  <dc:creator/>
  <dc:description/>
  <dc:language>en-US</dc:language>
  <cp:lastModifiedBy/>
  <dcterms:modified xsi:type="dcterms:W3CDTF">2023-07-13T09:56:40Z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