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2020 1</w:t>
      </w:r>
      <w:r>
        <w:rPr>
          <w:b w:val="false"/>
          <w:bCs w:val="false"/>
          <w:sz w:val="28"/>
          <w:szCs w:val="28"/>
        </w:rPr>
        <w:t>1 02</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Samantha Lomuscio</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sz w:val="28"/>
          <w:szCs w:val="28"/>
        </w:rPr>
        <w:t>Spend 15-20 more seconds on your intro slide. State one topic you’ll cover in each of your sections, instead of just saying “Intro, methods, results, conclusion” etc.</w:t>
      </w:r>
    </w:p>
    <w:p>
      <w:pPr>
        <w:pStyle w:val="Normal"/>
        <w:rPr>
          <w:b w:val="false"/>
          <w:b w:val="false"/>
          <w:bCs w:val="false"/>
          <w:sz w:val="28"/>
          <w:szCs w:val="28"/>
        </w:rPr>
      </w:pPr>
      <w:r>
        <w:rPr/>
      </w:r>
    </w:p>
    <w:p>
      <w:pPr>
        <w:pStyle w:val="Normal"/>
        <w:rPr/>
      </w:pPr>
      <w:r>
        <w:rPr>
          <w:b w:val="false"/>
          <w:bCs w:val="false"/>
          <w:sz w:val="28"/>
          <w:szCs w:val="28"/>
        </w:rPr>
        <w:t>Consider including one picture (even just illustrative or artistic rendering) on every slide. It can make the text more inviting, since it’s harder to get viewers to actually read an all-text slide.</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 xml:space="preserve">Let the slides help you deliver the information, but don’t feel like you </w:t>
      </w:r>
      <w:r>
        <w:rPr>
          <w:b/>
          <w:bCs/>
          <w:sz w:val="28"/>
          <w:szCs w:val="28"/>
        </w:rPr>
        <w:t>have</w:t>
      </w:r>
      <w:r>
        <w:rPr>
          <w:b w:val="false"/>
          <w:bCs w:val="false"/>
          <w:sz w:val="28"/>
          <w:szCs w:val="28"/>
        </w:rPr>
        <w:t xml:space="preserve"> to mention every point you’ve written out. It’s better to let your talk flow from your knowledge of the subject than trying to hit every single bit of information on your slides.</w:t>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giving motivation as your first slide. It’s more useful to understand why the topic is studied, rather than going directly into background.</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1</Pages>
  <Words>222</Words>
  <Characters>1202</Characters>
  <CharactersWithSpaces>1410</CharactersWithSpaces>
  <Paragraphs>15</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2020-11-02T15:43:13Z</dcterms:modified>
  <cp:revision>24</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