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color w:val="647A96"/>
          <w:sz w:val="21"/>
        </w:rPr>
        <w:t>Guía operativa para socialización de la nueva interfaz | 23/06/2026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800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05BCB"/>
          <w:sz w:val="32"/>
        </w:rPr>
        <w:t>Índice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20"/>
              </w:rPr>
              <w:t>#</w:t>
            </w:r>
          </w:p>
        </w:tc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20"/>
              </w:rPr>
              <w:t>Sección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5BCB"/>
                <w:sz w:val="20"/>
              </w:rPr>
              <w:t>1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20"/>
              </w:rPr>
              <w:t>Objetivo de la versión 2.0.11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5BCB"/>
                <w:sz w:val="20"/>
              </w:rPr>
              <w:t>2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20"/>
              </w:rPr>
              <w:t>Inicio: selección de atención y reintentos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5BCB"/>
                <w:sz w:val="20"/>
              </w:rPr>
              <w:t>3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20"/>
              </w:rPr>
              <w:t>Expediente: mapa, ruta y action-sheet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5BCB"/>
                <w:sz w:val="20"/>
              </w:rPr>
              <w:t>4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20"/>
              </w:rPr>
              <w:t>Formularios ClienteHN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5BCB"/>
                <w:sz w:val="20"/>
              </w:rPr>
              <w:t>5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20"/>
              </w:rPr>
              <w:t>Formulario AjustadorHN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5BCB"/>
                <w:sz w:val="20"/>
              </w:rPr>
              <w:t>6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20"/>
              </w:rPr>
              <w:t>Solicitud sin póliza y reenvíos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5BCB"/>
                <w:sz w:val="20"/>
              </w:rPr>
              <w:t>7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20"/>
              </w:rPr>
              <w:t>Firmas, evidencias y expedientes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5BCB"/>
                <w:sz w:val="20"/>
              </w:rPr>
              <w:t>8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20"/>
              </w:rPr>
              <w:t>Perfil, reportes y buenas prácticas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5BCB"/>
                <w:sz w:val="20"/>
              </w:rPr>
              <w:t>9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20"/>
              </w:rPr>
              <w:t>Referencia rápida para soporte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05BCB"/>
          <w:sz w:val="32"/>
        </w:rPr>
        <w:t>1. Objetivo de la versión 2.0.11</w:t>
      </w:r>
    </w:p>
    <w:p>
      <w:pPr>
        <w:spacing w:after="120" w:line="300" w:lineRule="auto"/>
      </w:pPr>
      <w:r>
        <w:rPr>
          <w:rFonts w:ascii="Calibri" w:hAnsi="Calibri"/>
          <w:color w:val="0A274C"/>
          <w:sz w:val="22"/>
        </w:rPr>
        <w:t>Esta versión moderniza el trabajo diario del ajustador con una interfaz más clara, compacta y usable en celular, tablet vertical y tablet horizontal. La prioridad es reducir pasos, mostrar las acciones importantes en el lugar correcto y evitar que el agente pierda contexto durante la atención.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1F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5BCB"/>
                <w:sz w:val="21"/>
              </w:rPr>
              <w:t>Idea central</w:t>
            </w:r>
          </w:p>
          <w:p>
            <w:pPr>
              <w:spacing w:after="0"/>
            </w:pPr>
            <w:r>
              <w:rPr>
                <w:rFonts w:ascii="Calibri" w:hAnsi="Calibri"/>
                <w:color w:val="0A274C"/>
                <w:sz w:val="20"/>
              </w:rPr>
              <w:t>La app deja de sentirse como un formulario largo y pasa a guiar al agente por tareas: seleccionar atención, revisar expediente, capturar información, firmar, enviar y reenviar cuando corresponda.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A274C"/>
          <w:sz w:val="21"/>
        </w:rPr>
        <w:t>La navegación principal conserva Inicio, Mis Atenciones y Perfil.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A274C"/>
          <w:sz w:val="21"/>
        </w:rPr>
        <w:t>El expediente concentra mapa, ruta, evidencias, formularios y documentos.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A274C"/>
          <w:sz w:val="21"/>
        </w:rPr>
        <w:t>Los formularios se adaptan mejor a celular eliminando paneles partidos que ocultaban contenido.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A274C"/>
          <w:sz w:val="21"/>
        </w:rPr>
        <w:t>Los errores de envío ahora se muestran con lenguaje operativo y opción clara de reintento.</w:t>
      </w:r>
    </w:p>
    <w:p>
      <w:pPr>
        <w:pStyle w:val="Heading1"/>
        <w:jc w:val="left"/>
      </w:pPr>
      <w:r>
        <w:rPr>
          <w:rFonts w:ascii="Calibri" w:hAnsi="Calibri"/>
          <w:b/>
          <w:color w:val="005BCB"/>
          <w:sz w:val="32"/>
        </w:rPr>
        <w:t>2. Inicio: selección de atención y reintentos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8193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a_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193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/>
          <w:i/>
          <w:color w:val="647A96"/>
          <w:sz w:val="18"/>
        </w:rPr>
        <w:t>Guía visual de los puntos principales en Inicio.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63317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inicio_rea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331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/>
          <w:i/>
          <w:color w:val="647A96"/>
          <w:sz w:val="18"/>
        </w:rPr>
        <w:t>Captura de referencia: Inicio en celular con atención seleccionada.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Elemento</w:t>
            </w:r>
          </w:p>
        </w:tc>
        <w:tc>
          <w:tcPr>
            <w:tcW w:type="dxa" w:w="33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Uso operativo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Mejora para el agente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Bandeja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Lista las atenciones disponibles del agente.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Permite ubicar rápido el caso activo sin navegar por menús internos.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Botón Exp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Entra directamente al expediente de la atención seleccionada.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Hace visible el acceso al expediente en celular, donde la botonera inferior puede quedar menos evidente.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Firma del cliente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Muestra si la firma está pendiente o guardada.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Evita avanzar sin un dato clave para el proceso.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Reenviar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Abre el intento pendiente desde Inicio.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Reduce pasos cuando el servidor rechazó una solicitud previa.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1F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5BCB"/>
                <w:sz w:val="21"/>
              </w:rPr>
              <w:t>Buenas prácticas</w:t>
            </w:r>
          </w:p>
          <w:p>
            <w:pPr>
              <w:spacing w:after="0"/>
            </w:pPr>
            <w:r>
              <w:rPr>
                <w:rFonts w:ascii="Calibri" w:hAnsi="Calibri"/>
                <w:color w:val="0A274C"/>
                <w:sz w:val="20"/>
              </w:rPr>
              <w:t>Antes de entrar al expediente, confirme que la atención seleccionada sea la correcta. Si aparece una etiqueta de reintento, revise el último error y use Reenviar para continuar el flujo correcto.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/>
          <w:b/>
          <w:color w:val="005BCB"/>
          <w:sz w:val="32"/>
        </w:rPr>
        <w:t>3. Expediente: mapa, ruta y action-sheet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81930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a_exped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193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/>
          <w:i/>
          <w:color w:val="647A96"/>
          <w:sz w:val="18"/>
        </w:rPr>
        <w:t>El expediente reúne mapa, ruta automática y acciones principales.</w:t>
      </w:r>
    </w:p>
    <w:p>
      <w:pPr>
        <w:spacing w:after="120" w:line="300" w:lineRule="auto"/>
      </w:pPr>
      <w:r>
        <w:rPr>
          <w:rFonts w:ascii="Calibri" w:hAnsi="Calibri"/>
          <w:color w:val="0A274C"/>
          <w:sz w:val="22"/>
        </w:rPr>
        <w:t>El expediente usa mapa Leaflet y marcadores personalizados. El marcador del siniestro identifica la ubicación del cliente; el marcador del ajustador identifica la posición del agente y su recorrido. La ruta inicial se traza automáticamente y puede recalcularse cuando el agente ajusta la ubicación.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Elemento</w:t>
            </w:r>
          </w:p>
        </w:tc>
        <w:tc>
          <w:tcPr>
            <w:tcW w:type="dxa" w:w="33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Uso operativo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Mejora para el agente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Botón central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Abre la hoja de acciones del expediente.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Concentra opciones importantes sin saturar la pantalla.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Trazar ruta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Recalcula ruta desde la posición actual hacia el siniestro.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Ayuda cuando se corrige manualmente la ubicación del siniestro.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Fotos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Abre carga de evidencias en cargar-archivos.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Evita rutas antiguas y mantiene un solo flujo de evidencias.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Finiquito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Abre el flujo de beneficiario/finiquito cuando aplica.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Hace visible una acción legal-documental crítica.</w:t>
            </w:r>
          </w:p>
        </w:tc>
      </w:tr>
    </w:tbl>
    <w:p>
      <w:pPr>
        <w:spacing w:after="80"/>
      </w:pPr>
    </w:p>
    <w:p>
      <w:pPr>
        <w:pStyle w:val="Heading1"/>
        <w:jc w:val="left"/>
      </w:pPr>
      <w:r>
        <w:rPr>
          <w:rFonts w:ascii="Calibri" w:hAnsi="Calibri"/>
          <w:b/>
          <w:color w:val="005BCB"/>
          <w:sz w:val="32"/>
        </w:rPr>
        <w:t>4. Formularios ClienteHN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81930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a_formular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193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/>
          <w:i/>
          <w:color w:val="647A96"/>
          <w:sz w:val="18"/>
        </w:rPr>
        <w:t>ClienteHN ahora funciona como menú de segmentos y pantallas amplias por sección.</w:t>
      </w:r>
    </w:p>
    <w:p>
      <w:pPr>
        <w:spacing w:after="120" w:line="300" w:lineRule="auto"/>
      </w:pPr>
      <w:r>
        <w:rPr>
          <w:rFonts w:ascii="Calibri" w:hAnsi="Calibri"/>
          <w:color w:val="0A274C"/>
          <w:sz w:val="22"/>
        </w:rPr>
        <w:t>El formulario de cliente se reorganizó para celular y tablet vertical. En vez de depender de un split-pane, el agente entra a un segmento, usa una vista más amplia y puede regresar al menú desde la parte superior o inferior.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A274C"/>
          <w:sz w:val="21"/>
        </w:rPr>
        <w:t>Coordenadas muestra latitud, longitud y ubicación en chips más legibles.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A274C"/>
          <w:sz w:val="21"/>
        </w:rPr>
        <w:t>Datos Asegurado, Vehículo y Conductor usan inputs, selectores y calendarios con estética uniforme.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A274C"/>
          <w:sz w:val="21"/>
        </w:rPr>
        <w:t>Acompañantes, Testigos, Propiedad Daños y Lesión Persona validan nombre y teléfono antes de agregar registros.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A274C"/>
          <w:sz w:val="21"/>
        </w:rPr>
        <w:t>Los teléfonos locales de Honduras deben tener al menos 8 dígitos cuando no se incluye código de país.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1F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5BCB"/>
                <w:sz w:val="21"/>
              </w:rPr>
              <w:t>Mejora clave</w:t>
            </w:r>
          </w:p>
          <w:p>
            <w:pPr>
              <w:spacing w:after="0"/>
            </w:pPr>
            <w:r>
              <w:rPr>
                <w:rFonts w:ascii="Calibri" w:hAnsi="Calibri"/>
                <w:color w:val="0A274C"/>
                <w:sz w:val="20"/>
              </w:rPr>
              <w:t>El agente ya no pelea con columnas estrechas: cada segmento usa el ancho disponible, y los botones de Fotos/Firma quedan fijos como acciones de apoyo.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/>
          <w:b/>
          <w:color w:val="005BCB"/>
          <w:sz w:val="32"/>
        </w:rPr>
        <w:t>5. Formulario AjustadorHN</w:t>
      </w:r>
    </w:p>
    <w:p>
      <w:pPr>
        <w:spacing w:after="120" w:line="300" w:lineRule="auto"/>
      </w:pPr>
      <w:r>
        <w:rPr>
          <w:rFonts w:ascii="Calibri" w:hAnsi="Calibri"/>
          <w:color w:val="0A274C"/>
          <w:sz w:val="22"/>
        </w:rPr>
        <w:t>AjustadorHN se mantiene como el formulario de cierre técnico para envío de reclamo. La validación debe revisar datos completados, datos incompletos, información de cacheCliente y daños asociados antes de enviar.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Elemento</w:t>
            </w:r>
          </w:p>
        </w:tc>
        <w:tc>
          <w:tcPr>
            <w:tcW w:type="dxa" w:w="33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Uso operativo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Mejora para el agente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Validar Datos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Abre la revisión de información antes del envío.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Da una pausa de control para revisar faltantes.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Fecha inspección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Inicia con fecha actual y permite postfechar sin usar fechas anteriores al día actual.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Reduce captura manual y evita fechas inválidas.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Firmas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Permite revisar firmas de cliente y ajustador.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Ayuda a confirmar requisitos antes de enviar.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Daños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Presenta daños del afiliado y terceros cuando existen.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Facilita lectura del reclamo completo antes de transmitir.</w:t>
            </w:r>
          </w:p>
        </w:tc>
      </w:tr>
    </w:tbl>
    <w:p>
      <w:pPr>
        <w:spacing w:after="80"/>
      </w:pPr>
    </w:p>
    <w:p>
      <w:pPr>
        <w:pStyle w:val="Heading1"/>
        <w:jc w:val="left"/>
      </w:pPr>
      <w:r>
        <w:rPr>
          <w:rFonts w:ascii="Calibri" w:hAnsi="Calibri"/>
          <w:b/>
          <w:color w:val="005BCB"/>
          <w:sz w:val="32"/>
        </w:rPr>
        <w:t>6. Solicitud sin póliza y reenvíos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81930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a_env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193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/>
          <w:i/>
          <w:color w:val="647A96"/>
          <w:sz w:val="18"/>
        </w:rPr>
        <w:t>Flujo de error y reintento para solicitudes con y sin póliza.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63317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envio_re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331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/>
          <w:i/>
          <w:color w:val="647A96"/>
          <w:sz w:val="18"/>
        </w:rPr>
        <w:t>Captura de referencia: solicitud sin póliza con respuesta del servidor.</w:t>
      </w:r>
    </w:p>
    <w:p>
      <w:pPr>
        <w:spacing w:after="120" w:line="300" w:lineRule="auto"/>
      </w:pPr>
      <w:r>
        <w:rPr>
          <w:rFonts w:ascii="Calibri" w:hAnsi="Calibri"/>
          <w:color w:val="0A274C"/>
          <w:sz w:val="22"/>
        </w:rPr>
        <w:t>Cuando una atención se envía sin póliza, la app conserva ese contexto para regresar al mismo flujo y no redirigir erróneamente hacia AjustadorHN. Esto permite reenviar o revisar una solicitud sin póliza sin obligar al agente a completar información que no aplica.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Elemento</w:t>
            </w:r>
          </w:p>
        </w:tc>
        <w:tc>
          <w:tcPr>
            <w:tcW w:type="dxa" w:w="33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Uso operativo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Mejora para el agente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Enviar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Reemplaza textos ambiguos como Continuar.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El agente entiende que ejecutará una transmisión.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Alerta roja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Muestra fallos de servidor con prioridad visual.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Diferencia claramente error de advertencia o confirmación.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Diccionario de errores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Traduce respuestas técnicas del servidor.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Convierte mensajes crudos en recomendaciones operativas.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Mensaje genérico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Cubre errores no reconocidos.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Siempre entrega una salida elegante y comprensible.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1F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5BCB"/>
                <w:sz w:val="21"/>
              </w:rPr>
              <w:t>Mensajes esperados</w:t>
            </w:r>
          </w:p>
          <w:p>
            <w:pPr>
              <w:spacing w:after="0"/>
            </w:pPr>
            <w:r>
              <w:rPr>
                <w:rFonts w:ascii="Calibri" w:hAnsi="Calibri"/>
                <w:color w:val="0A274C"/>
                <w:sz w:val="20"/>
              </w:rPr>
              <w:t>Si el servidor responde sobre póliza en renovación, certificado no válido o causa incorrecta, la app orienta al agente para revisar póliza, chasis o cobertura, o bien finalizar el proceso manualmente.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/>
          <w:b/>
          <w:color w:val="005BCB"/>
          <w:sz w:val="32"/>
        </w:rPr>
        <w:t>7. Firmas, evidencias y documentos</w:t>
      </w:r>
    </w:p>
    <w:p>
      <w:pPr>
        <w:spacing w:after="120" w:line="300" w:lineRule="auto"/>
      </w:pPr>
      <w:r>
        <w:rPr>
          <w:rFonts w:ascii="Calibri" w:hAnsi="Calibri"/>
          <w:color w:val="0A274C"/>
          <w:sz w:val="22"/>
        </w:rPr>
        <w:t>Las firmas y evidencias se separan para dar más espacio al gesto de firma y evitar paneles con scroll incómodo. El agente puede editar firma, capturar fotografías, revisar documentos y volver al expediente manteniendo el contexto de la atención.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A274C"/>
          <w:sz w:val="21"/>
        </w:rPr>
        <w:t>La firma del cliente se gestiona desde su pantalla dedicada y vuelve al flujo anterior.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A274C"/>
          <w:sz w:val="21"/>
        </w:rPr>
        <w:t>Finiquito y adeuda usan lectura previa, firma y confirmación antes del envío.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A274C"/>
          <w:sz w:val="21"/>
        </w:rPr>
        <w:t>Cargar-archivos centraliza selección de tipo de fotografía y envío de evidencias.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A274C"/>
          <w:sz w:val="21"/>
        </w:rPr>
        <w:t>Los reportes de impresión recibieron una presentación más limpia para lectura y revisión.</w:t>
      </w:r>
    </w:p>
    <w:p>
      <w:pPr>
        <w:pStyle w:val="Heading1"/>
        <w:jc w:val="left"/>
      </w:pPr>
      <w:r>
        <w:rPr>
          <w:rFonts w:ascii="Calibri" w:hAnsi="Calibri"/>
          <w:b/>
          <w:color w:val="005BCB"/>
          <w:sz w:val="32"/>
        </w:rPr>
        <w:t>8. Perfil, reportes y buenas prácticas</w:t>
      </w:r>
    </w:p>
    <w:p>
      <w:pPr>
        <w:spacing w:after="120" w:line="300" w:lineRule="auto"/>
      </w:pPr>
      <w:r>
        <w:rPr>
          <w:rFonts w:ascii="Calibri" w:hAnsi="Calibri"/>
          <w:color w:val="0A274C"/>
          <w:sz w:val="22"/>
        </w:rPr>
        <w:t>El perfil del ajustador se compactó para mostrar fotografía, datos relevantes y área de firma sin mover elementos importantes. Los reportes mantienen títulos claros y eliminan encabezados innecesarios para lectura más profesional.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Elemento</w:t>
            </w:r>
          </w:p>
        </w:tc>
        <w:tc>
          <w:tcPr>
            <w:tcW w:type="dxa" w:w="33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Uso operativo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Mejora para el agente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Sesión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Permanece abierta hasta cierre manual.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Evita inicios de sesión repetidos durante trabajo de campo.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Orientación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Celular se prioriza en portrait; tablet permite más libertad.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La app responde mejor al tipo de dispositivo.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Perfil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Avatar en color y controles compactos.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Más espacio para firma y datos importantes.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Reportes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Encabezados por título real del documento.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Lectura más clara al revisar o imprimir.</w:t>
            </w:r>
          </w:p>
        </w:tc>
      </w:tr>
    </w:tbl>
    <w:p>
      <w:pPr>
        <w:spacing w:after="80"/>
      </w:pPr>
    </w:p>
    <w:p>
      <w:pPr>
        <w:pStyle w:val="Heading1"/>
        <w:jc w:val="left"/>
      </w:pPr>
      <w:r>
        <w:rPr>
          <w:rFonts w:ascii="Calibri" w:hAnsi="Calibri"/>
          <w:b/>
          <w:color w:val="005BCB"/>
          <w:sz w:val="32"/>
        </w:rPr>
        <w:t>9. Referencia rápida para soporte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Elemento</w:t>
            </w:r>
          </w:p>
        </w:tc>
        <w:tc>
          <w:tcPr>
            <w:tcW w:type="dxa" w:w="33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Uso operativo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9"/>
              </w:rPr>
              <w:t>Mejora para el agente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No aparece ruta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Use Trazar ruta desde expediente.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Recalcula con ubicación actual y destino vigente.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Solicitud rechazada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Lea la alerta roja y use Reenviar desde Inicio.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Retoma el flujo correcto sin buscar pantallas.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Formulario no permite avanzar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Revise bordes rojos y campos requeridos.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Los faltantes se marcan en pantalla.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Teléfono inválido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Ingrese al menos 8 dígitos para Honduras.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Evita registros incompletos.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74C"/>
                <w:sz w:val="18"/>
              </w:rPr>
              <w:t>Atención sin póliza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Debe volver a Solicitud sin póliza.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274C"/>
                <w:sz w:val="18"/>
              </w:rPr>
              <w:t>La app conserva ese enrutamiento por atención.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1F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5BCB"/>
                <w:sz w:val="21"/>
              </w:rPr>
              <w:t>Cierre operativo</w:t>
            </w:r>
          </w:p>
          <w:p>
            <w:pPr>
              <w:spacing w:after="0"/>
            </w:pPr>
            <w:r>
              <w:rPr>
                <w:rFonts w:ascii="Calibri" w:hAnsi="Calibri"/>
                <w:color w:val="0A274C"/>
                <w:sz w:val="20"/>
              </w:rPr>
              <w:t>La versión 2.0.11 no solo cambia estética: reduce fricción, evita rutas antiguas, mejora el reintento de envíos y hace que el trabajo en celular sea viable para campo.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A96"/>
        <w:sz w:val="18"/>
      </w:rPr>
      <w:t>HELP Ajustadores 2.0.11 - Manual de usuario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5BC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5BC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A274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