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finreport25 draft DOCX</w:t>
      </w:r>
    </w:p>
    <w:p>
      <w:r>
        <w:t>Draft PDF projection generated from the normalized manifest. Manual review items are preserved below.</w:t>
      </w:r>
    </w:p>
    <w:p>
      <w:pPr>
        <w:pStyle w:val="Heading1"/>
      </w:pPr>
      <w:r>
        <w:t>JOHN A. LOGAN COLLEGE COMMUNITY COLLEGE DISTRICT NO. 530</w:t>
      </w:r>
    </w:p>
    <w:p>
      <w:pPr>
        <w:pStyle w:val="Heading1"/>
      </w:pPr>
      <w:r>
        <w:t>CARTERVILLE, ILLINOIS</w:t>
      </w:r>
    </w:p>
    <w:p>
      <w:pPr>
        <w:pStyle w:val="Heading1"/>
      </w:pPr>
      <w:r>
        <w:t>ANNUAL FINANCIAL REPORT</w:t>
      </w:r>
    </w:p>
    <w:p>
      <w:pPr>
        <w:pStyle w:val="Heading1"/>
      </w:pPr>
      <w:r>
        <w:t>AND SINGLE AUDIT REPORT</w:t>
      </w:r>
    </w:p>
    <w:p>
      <w:pPr>
        <w:pStyle w:val="Heading1"/>
      </w:pPr>
      <w:r>
        <w:t>FOR THE YEAR ENDED JUNE 30, 2025</w:t>
      </w:r>
    </w:p>
    <w:p>
      <w:pPr>
        <w:pStyle w:val="Heading2"/>
      </w:pPr>
      <w:r>
        <w:t>TABLE OF CONTENTS</w:t>
      </w:r>
    </w:p>
    <w:p>
      <w:r>
        <w:t>Independent Auditor's Report 1 - 3 Independent Auditor’s Report on Internal Control over Financial Reporting and on Compliance and Other Matters Based on an Audit of Financial Statements Performed in Accordance with Government Auditing Standards 4 - 5 MANAGEMENT’S DISCUSSION AND ANALYSIS Management’s Discussion and Analysis 6a – 6h BASIC FINANCIAL STATEMENTS Statement of Net Position 7 - 8 Statement of Revenues, Expenses, and Changes in Net Position 9 Statement of Cash Flows 10 Notes to Financial Statements 11 - 52 REQUIRED SUPPLEMENTARY INFORMATION (UNAUDITED) State Universities Retirement System of Illinois (SURS) Pension Plan – GASB 68: Schedule of the College’s Proportionate Share of the Net Pension Liability 53 Schedule of College Contributions 53 Schedule of Changes in the College’s Total OPEB Liability and Related Ratios, College Plan – GASB 75 54 College Insurance Program (CIP) – GASB 75 Schedule of the Employer’s Proportionate Share of the Collective Net OPEB Liability 55 Schedule of State Contributions 55 Notes to Required Supplementary Information 56 - 57 OTHER SUPPLEMENTAL INFORMATION (UNAUDITED)</w:t>
      </w:r>
    </w:p>
    <w:p>
      <w:r>
        <w:t>Schedule of Assessed Valuations, Tax Rates, and Taxes Extended 58 Schedule of Legal Debt Margin 59 Certification of Per Capita Cost 60</w:t>
      </w:r>
    </w:p>
    <w:p>
      <w:pPr>
        <w:pStyle w:val="Heading2"/>
      </w:pPr>
      <w:r>
        <w:t>TABLE OF CONTENTS (CONTINUED)</w:t>
      </w:r>
    </w:p>
    <w:p>
      <w:r>
        <w:t>UNIFORM FINANCIAL STATEMENTS (UFS) All Funds Summary (UFS#1) 61 Reconciliation of the Uniform Financial Statement No. 1 to the Statement of Net Position 62 Reconciliation of the Uniform Financial Statement No. 1 to the Statement of Revenues, Expenses, and Changes in Net Position 63 Summary of Fixed Assets and Debt (UFS#2) 64 Operating Funds Revenues and Expenditures (UFS#3) 65 - 66 Restricted Purposes Fund Revenues and Expenditures (UFS#4) 67 Current Funds * Expenditures by Activity (UFS#5) 68 STATE COMPLIANCE SECTION Independent Auditor's Report on Compliance with State Requirements for Adult</w:t>
      </w:r>
    </w:p>
    <w:p>
      <w:r>
        <w:t>Education and Family Literacy Grants 69 - 70 State Adult Education Restricted Funds Balance Sheet 71 Statement of Revenues, Expenditures, and Changes in Fund Balance 72 Notes to Grant Program Financial Statements 73 - 74 ENROLLMENT DATA AND OTHER BASIS UPON WHICH CLAIM ARE FILED SECTION Independent Accountant’s Report on the Schedule of Enrollment Data and Other Bases</w:t>
      </w:r>
    </w:p>
    <w:p>
      <w:r>
        <w:t>Upon Which Claims are Filed 75 Schedule of Enrollment Data and Other Bases upon Which Claims are Filed 76 Reconciliation of Total Reimbursable Semester Credit Hours 77 Documentation of Residency Verification Steps 78 - 80</w:t>
      </w:r>
    </w:p>
    <w:p>
      <w:r>
        <w:t>TABLE OF CONTENTS (CONTINUED) STATE OF ILLINOIS CONSOLIDATED YEAR-END FINANCIAL REPORT Independent Auditor’s Report on the State of Illinois Consolidated Year-End Financial Report 81 Consolidated Year-End Financial Report 82a – 82g FEDERAL COMPLIANCE SECTION Independent Auditor’s Report on Compliance for Each Major Federal Program and on</w:t>
      </w:r>
    </w:p>
    <w:p>
      <w:r>
        <w:t>Internal Control Over Compliance Required by the Uniform Guidance 83 - 85 Schedule of Expenditures of Federal Awards 86 Notes to the Schedule of Expenditures of Federal Awards 87 Schedule of Findings and Questioned Costs:</w:t>
      </w:r>
    </w:p>
    <w:p>
      <w:r>
        <w:t>Section I – Summary of Auditor’s Results 88 Section II – Financial Statement Findings 89 Section III – Federal Award Findings and Questioned Costs 90 Summary Schedule of Prior Audit Findings 91</w:t>
      </w:r>
    </w:p>
    <w:p>
      <w:r>
        <w:t>INDEPENDENT AUDITOR’S REPORT To the Board of Trustees John A. Logan College Community College District No. 530 Carterville, Illinois 62918 Report on the Audit of the Financial Statements Opinions We have audited the accompanying financial statements of the business-type activities and the discretely presented component unit of John A. Logan College, Community College District No. 530 (the College), as of and for the year ended June 30, 2025, and the related notes to the financial statements, which collectively comprise the College’s basic financial statements, as listed in the table of contents. In our opinion, the financial statements referred to above present fairly, in all material respects, the respective financial position of the business-type activities and the discretely presented component unit of John A. Logan College, Community College District No. 530 as of June 30, 2025, and the respective changes in financial position and, where applicable, cash flows thereof for the year then ended in accordance with accounting principles generally accepted in the United States of America. Basis for Opinions We conducted our audit in accordance with auditing standards generally accepted in the United States of America and the standards applicable to financial audits contained in Government Auditing Standards , issued by the Comptroller General of the United States. Our responsibilities under those standards are further described in the Auditor’s Responsibilities for the Audit of the Financial Statements section of our report. We are required to be independent of the College and to meet our other ethical responsibilities, in accordance with the relevant ethical requirements relating to our audit. We believe that the audit evidence we have obtained is sufficient and appropriate to provide a basis for our audit opinions. The financial statements of the discretely presented component unit were not audited in accordance with Government Auditing Standards . Change in Accounting Principle As described in Note 16 to the financial statements, the College adopted the Governmental Accounting Standards Board (GASB) Statement No. 101, Compensated Absences, for the year ended June 30, 2025. The implementation of this guidance resulted in changes to the accrual of compensated absence balances and a restatement of beginning net position. Our opinion was not modified with respect to this matter. Responsibilities of Management for the Financial Statements Management is responsible for the preparation and fair presentation of these financial statements in accordance with accounting principles generally accepted in the United States of America, and for the design, implementation, and maintenance of internal control relevant to the preparation and fair presentation of financial statements that are free from material misstatement, whether due to fraud or error.</w:t>
      </w:r>
    </w:p>
    <w:p>
      <w:pPr>
        <w:pStyle w:val="ListNumber"/>
      </w:pPr>
      <w:r>
        <w:t>1</w:t>
      </w:r>
    </w:p>
    <w:p>
      <w:r>
        <w:t>In preparing the financial statements, management is required to evaluate whether there are conditions or events, considered in the aggregate, that raise substantial doubt about the College’s ability to continue as a going concern for twelve months beyond the financial statement date, including any currently known information that may raise substantial doubt shortly thereafter. Auditor’s Responsibilities for the Audit of the Financial Statements Our objectives are to obtain reasonable assurance about whether the financial statements as a whole are free from material misstatement, whether due to fraud or error, and to issue an auditor’s report that includes our opinions. Reasonable assurance is a high level of assurance but is not absolute assurance and therefore is not a guarantee that an audit conducted in accordance with generally accepted auditing standards and Government Auditing Standards will always detect a material misstatement when it exists. The risk of not detecting a material misstatement resulting from fraud is 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financial statements. In performing an audit in accordance with generally accepted auditing standards and Government Auditing Standards , we:</w:t>
      </w:r>
    </w:p>
    <w:p>
      <w:pPr>
        <w:pStyle w:val="ListBullet"/>
      </w:pPr>
      <w:r>
        <w:t>• Exercise professional judgment and maintain professional skepticism throughout the audit. • Identify and assess the risks of material misstatement of the financial statements, whether due to fraud or error, and design and perform audit procedures responsive to those risks. Such procedures include examining, on a test basis, evidence regarding the amounts and disclosures in the financial statements. • Obtain an understanding of internal control relevant to the audit in order to design audit procedures that are appropriate in the circumstances, but not for the purpose of expressing an opinion on the effectiveness of the College’s internal control. Accordingly, no such opinion is expressed. • Evaluate the appropriateness of accounting policies used and the reasonableness of significant accounting estimates made by management, as well as evaluate the overall presentation of the financial statements. • Conclude whether, in our judgment, there are conditions or events, considered in the aggregate, that raise substantial doubt about the College’s ability to continue as a going concern for a reasonable period of time. We are required to communicate with those charged with governance regarding, among other matters, the planned scope and timing of the audit, significant audit findings, and certain internal control-related matters that we identified during the audit. Required Supplementary Information Accounting principles generally accepted in the United States of America require that the management’s discussion and analysis, the pension schedules, and other postemployment benefit (OPEB) schedules, as listed in the table of contents, be presented to supplement the basic financial statements. Such information is the responsibility of management and, although not a part of the basic financial statements, is required by the Governmental Accounting Standards Board who considers it to be an essential part of financial reporting for placing the basic financial statements in an appropriate operational, economic, or historical context. We have applied certain limited procedures to the required supplementary information in accordance with auditing standards generally accepted in the United States of America, which consisted of inquiries of management about the methods of preparing the information and comparing the information for consistency with management’s responses to our inquiries, the basic financial statements,</w:t>
      </w:r>
    </w:p>
    <w:p>
      <w:pPr>
        <w:pStyle w:val="ListNumber"/>
      </w:pPr>
      <w:r>
        <w:t>2</w:t>
      </w:r>
    </w:p>
    <w:p>
      <w:r>
        <w:t>and other knowledge we obtained during our audit of the basic financial statements. We do not express an opinion or provide any assurance on the information because the limited procedures do not provide us with sufficient evidence to express an opinion or provide any assurance. Supplementary Information Our audit was conducted for the purpose of forming opinions on the financial statements that collectively comprise John A. Logan College, Community College District No. 530’s basic financial statements. The Uniform Financial Statements, as required by the Illinois Community College Board, and the Schedule of Expenditures of Federal Awards, as required by Title 2 U.S. Code of Federal Regulations Part 200, Uniform Administrative Requirements, Cost Principles, and Audit Requirements for Federal Awards , are presented for purposes of additional analysis and are not a required part of the basic financial statements. Such information is the responsibility of management and was derived from and relates directly to the underlying accounting and other records used to prepare the basic financial statements. The information has been subjected to the auditing procedures applied in the audit of the basic financial statements and certain additional procedures, including comparing and reconciling such information directly to the underlying accounting and other records used to prepare the basic financial statements or to the basic financial statements themselves, and other additional procedures in accordance with auditing standards generally accepted in the United States of America. In our opinion, the Uniform Financial Statements and the Schedule of Expenditures of Federal Awards are fairly stated, in all material respects, in relation to the basic financial statements taken as a whole. Other Information Management is responsible for the Other Supplemental Information included in the annual report. The Other Supplemental Information, as listed in the table of contents, does not include the basic financial statements and our auditor’s report thereon. Our opinions on the basic financial statements do not cover the Other Supplemental Information, and we do not express an opinion or any form of assurance thereon. In connection with our audit of the basic financial statements, our responsibility is to read the Other Supplemental Information and consider whether a material inconsistency exists between the Other Supplemental Information and the basic financial statements, or the Other Supplemental Information otherwise appears to be materially misstated. If, based on the work performed, we conclude that an uncorrected material misstatement of the Other Supplemental Information exists, we are required to describe it in our report. Other Reporting Required by Government Auditing Standards In accordance with Government Auditing Standards , we have also issued our report dated February 19, 2026, on our consideration of the College’s internal control over financial reporting and on our tests of its compliance with certain provisions of laws, regulations, contracts, and grant agreements, and other matters. The purpose of that report is solely to describe the scope of our testing of internal control over financial reporting and compliance and the results of that testing, and not to provide an opinion on the effectiveness of the College’s internal control over financial reporting or on compliance. That report is an integral part of an audit performed in accordance with Government Auditing Standards in considering the College’s internal control over financial reporting and compliance.</w:t>
      </w:r>
    </w:p>
    <w:tbl>
      <w:tblPr>
        <w:tblStyle w:val="TableGrid"/>
        <w:tblW w:type="auto" w:w="0"/>
        <w:tblLook w:firstColumn="1" w:firstRow="1" w:lastColumn="0" w:lastRow="0" w:noHBand="0" w:noVBand="1" w:val="04A0"/>
      </w:tblPr>
      <w:tblGrid>
        <w:gridCol w:w="8640"/>
      </w:tblGrid>
      <w:tr>
        <w:tc>
          <w:tcPr>
            <w:tcW w:type="dxa" w:w="8640"/>
          </w:tcPr>
          <w:p>
            <w:r>
              <w:rPr>
                <w:b/>
              </w:rPr>
              <w:t>KEMPER CPA GROUP LLP Certified Public Accountants and Consultants Marion, Illinois February 19, 2026</w:t>
            </w:r>
          </w:p>
        </w:tc>
      </w:tr>
    </w:tbl>
    <w:p/>
    <w:p>
      <w:pPr>
        <w:pStyle w:val="ListNumber"/>
      </w:pPr>
      <w:r>
        <w:t>3</w:t>
      </w:r>
    </w:p>
    <w:p>
      <w:r>
        <w:t>INDEPENDENT AUDITOR’S REPORT ON INTERNAL CONTROL OVER FINANCIAL REPORTING AND ON COMPLIANCE AND OTHER MATTERS</w:t>
      </w:r>
    </w:p>
    <w:p>
      <w:pPr>
        <w:pStyle w:val="Heading2"/>
      </w:pPr>
      <w:r>
        <w:t>BASED ON AN AUDIT OF FINANCIAL STATEMENTS PERFORMED IN</w:t>
      </w:r>
    </w:p>
    <w:tbl>
      <w:tblPr>
        <w:tblStyle w:val="TableGrid"/>
        <w:tblW w:type="auto" w:w="0"/>
        <w:tblLook w:firstColumn="1" w:firstRow="1" w:lastColumn="0" w:lastRow="0" w:noHBand="0" w:noVBand="1" w:val="04A0"/>
      </w:tblPr>
      <w:tblGrid>
        <w:gridCol w:w="8640"/>
      </w:tblGrid>
      <w:tr>
        <w:tc>
          <w:tcPr>
            <w:tcW w:type="dxa" w:w="8640"/>
          </w:tcPr>
          <w:p>
            <w:r>
              <w:rPr>
                <w:b/>
              </w:rPr>
              <w:t>ACCORDANCE WITH GOVERNMENT AUDITING STANDARDS To the Board of Trustees John A. Logan College Community College District No. 530 Carterville, Illinois 62918 We have audited, in accordance with auditing standards generally accepted in the United States of America and the standards applicable to financial audits contained in Government Auditing Standards issued by the Comptroller General of the United States, the financial statements of the business-type activities and the discretely presented component unit of John A. Logan College, Community College District No. 530 (the College) as of and for the year ended June 30, 2025, and the related notes to the financial statements, which collectively comprise the College’s basic financial statements, and have issued our report thereon dated February 19, 2026. The financial statements of the John A. Logan College Foundation (the Foundation), a discretely presented component unit, were not audited in accordance with Government Auditing Standards and, accordingly, this report does not include reporting on internal control over financial reporting or instances of reportable noncompliance associated with the Foundation. Report on Internal Control Over Financial Reporting In planning and performing our audit of the financial statements, we considered the College’s internal control over financial reporting (internal control) as a basis for designing audit procedures that are appropriate in the circumstances for the purpose of expressing our opinions on the financial statements, but not for the purpose of expressing an opinion on the effectiveness of the College’s internal control. Accordingly, we do not express an opinion on the effectiveness of the College’s internal control. A deficiency in internal control exists when the design or operation of a control does not allow management or employees, in the normal course of performing their assigned functions, to prevent, or detect and correct, misstatements on a timely basis. A material weakness is a deficiency, or a combination of deficiencies, in internal control, such that there is a reasonable possibility that a material misstatement of the entity’s financial statements will not be prevented or detected and corrected on a timely basis. A significant deficiency is a deficiency, or a combination of deficiencies, in internal control that is less severe than a material weakness, yet important enough to merit attention by those charged with governance. Our consideration of internal control was for the limited purpose described in the first paragraph of this section and was not designed to identify all deficiencies in internal control that might be material weaknesses or significant deficiencies. Given these limitations, during our audit we did not identify any deficiencies in internal control that we consider to be material weaknesses. However, material weaknesses or significant deficiencies may exist that were not identified.</w:t>
            </w:r>
          </w:p>
        </w:tc>
      </w:tr>
    </w:tbl>
    <w:p/>
    <w:p>
      <w:pPr>
        <w:pStyle w:val="ListNumber"/>
      </w:pPr>
      <w:r>
        <w:t>4</w:t>
      </w:r>
    </w:p>
    <w:p>
      <w:r>
        <w:t>Report on Compliance and Other Matters As part of obtaining reasonable assurance about whether the College’s financial statements are free from material misstatement, we performed tests of its compliance with certain provisions of laws, regulations, contracts, and grant agreements, noncompliance with which could have a direct and material effect on the financial statements. However, providing an opinion on compliance with those provisions was not an objective of our audit, and accordingly, we do not express such an opinion. The results of our tests disclosed no instances of noncompliance or other matters that are required to be reported under Government Auditing Standards . Purpose of this Report The purpose of this report is solely to describe the scope of our testing of internal control and compliance and the results of that testing, and not to provide an opinion on the effectiveness of the entity’s internal control or on compliance. This report is an integral part of an audit performed in accordance with Government Auditing Standards in considering the entity’s internal control and compliance. Accordingly, this communication is not suitable for any other purpose.</w:t>
      </w:r>
    </w:p>
    <w:tbl>
      <w:tblPr>
        <w:tblStyle w:val="TableGrid"/>
        <w:tblW w:type="auto" w:w="0"/>
        <w:tblLook w:firstColumn="1" w:firstRow="1" w:lastColumn="0" w:lastRow="0" w:noHBand="0" w:noVBand="1" w:val="04A0"/>
      </w:tblPr>
      <w:tblGrid>
        <w:gridCol w:w="8640"/>
      </w:tblGrid>
      <w:tr>
        <w:tc>
          <w:tcPr>
            <w:tcW w:type="dxa" w:w="8640"/>
          </w:tcPr>
          <w:p>
            <w:r>
              <w:rPr>
                <w:b/>
              </w:rPr>
              <w:t>KEMPER CPA GROUP LLP Certified Public Accountants and Consultants Marion, Illinois February 19, 2026</w:t>
            </w:r>
          </w:p>
        </w:tc>
      </w:tr>
    </w:tbl>
    <w:p/>
    <w:p>
      <w:pPr>
        <w:pStyle w:val="ListNumber"/>
      </w:pPr>
      <w:r>
        <w:t>5</w:t>
      </w:r>
    </w:p>
    <w:p>
      <w:pPr>
        <w:pStyle w:val="Heading2"/>
      </w:pPr>
      <w:r>
        <w:t>MANAGEMENT’S DISCUSSION AND ANALYSIS</w:t>
      </w:r>
    </w:p>
    <w:p>
      <w:pPr>
        <w:pStyle w:val="Heading2"/>
      </w:pPr>
      <w:r>
        <w:t>MANAGEMENT’S DISCUSSION AND ANALYSIS</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(Unaudited) This section of John A. Logan College’s Annual Comprehensive Financial Report presents management’s discussion and analysis of the College’s financial activity during the fiscal years ended June 30, 2025 and 2024. Management’s discussion and analysis is designed to focus on current activities, resulting change, and currently known facts. Please read it in conjunction with the College’s audited basic financial statements and the notes to financial statements. Responsibility for the completeness and fairness of this information rests with management of the College. Using the Annual Comprehensive Financial Report The basic financial statements focus on the College as a whole and are designed to emulate corporate presentation models whereby all College activities are consolidated into one total. The focus of the Statement of Net Position is designed to reflect the College’s financial position at a certain date. This statement combines and consolidates current financial resources (short-term spendable resources) with capital assets. Net position is one indicator of the current financial condition of the College, while the change in net position is another indicator of whether the overall financial condition has improved or deteriorated during the year. The Statement of Revenues, Expenses, and Changes in Net Position presents the College’s financial results for the fiscal year. This statement includes the College’s revenues and expenses, both operating and non-operating. Operating revenues and expenses are those for which the College directly exchanges goods and services. The primary operating revenues for the College are tuition and fees (net of scholarship allowances) and auxiliary services (net). Non-operating revenues and expenses are those that exclude specific, direct exchanges of goods and services. The major components of the College’s non-operating revenues include local property taxes and government grants and contracts. The reporting model classifies these revenues as non-operating because no direct exchange of goods and services are received from local taxpayers or the government, respectively. This approach is intended to summarize and simplify the user’s analysis of costs of various College services to students and the public. Financial Highlights The College implemented GASB Statement No. 101 – Compensated Absences during the year ended June 30, 2025. This implementation resulted in recalculation of the College’s current- and non-current liabilities for compensated absences. This change resulted in a restatement of the June 30, 2024 ending net position as described in Note 16 to the financial statements. The College’s net position increased $8.6 million from $56.8 million at June 30, 2024, as restated, to $65.4 million at June 30, 2025. The total increase in the College’s net position was split between a $6.6 million increase in net investment in capital assets, a $2.2 million increase in unrestricted net position, and a $0.2 million decrease in restricted net position. Net position represents the balance in the College’s assets and deferred outflows of resources after liabilities and deferred inflows of resources are deducted.</w:t>
            </w:r>
          </w:p>
        </w:tc>
      </w:tr>
    </w:tbl>
    <w:p/>
    <w:p>
      <w:r>
        <w:t>6a</w:t>
      </w:r>
    </w:p>
    <w:tbl>
      <w:tblPr>
        <w:tblStyle w:val="TableGrid"/>
        <w:tblW w:type="auto" w:w="0"/>
        <w:tblLook w:firstColumn="1" w:firstRow="1" w:lastColumn="0" w:lastRow="0" w:noHBand="0" w:noVBand="1" w:val="04A0"/>
      </w:tblPr>
      <w:tblGrid>
        <w:gridCol w:w="8640"/>
      </w:tblGrid>
      <w:tr>
        <w:tc>
          <w:tcPr>
            <w:tcW w:type="dxa" w:w="8640"/>
          </w:tcPr>
          <w:p>
            <w:r>
              <w:rPr>
                <w:b/>
              </w:rPr>
              <w:t>JUNE 30, 2025 Financial Highlights (Concluded) Operating revenues decreased $0.7 million from fiscal year 2024 to 2025. Non-operating revenues and expenses, net, increased $1.8 million. State on-behalf revenues, which increased by $0.4 million, are included in non-operating revenues. These on-behalf revenues represent the College’s proportionate share of pension and other post-employment benefit (OPEB) contributions made on-behalf of the College by the State of Illinois to the State University Retirement System (SURS) and State of Illinois College Insurance Program (CIP). Total revenues and capital contributions, excluding State on-behalf contributions, increased $2.6 million from $48.5 million to $51.1 million in fiscal years 2024 and 2025, respectively. This increase is primarily due to an increase in capital contributions of $2.1 million, an increase in property taxes of $0.6 million, an increase in federal grants and contacts of $0.6 million, and an increase in nongovernmental gifts, grants, and bequests of $0.5 million. These increases were partially offset by a decrease in student tuition and fees, net of scholarships and allowances, of $0.9 million, and a decrease in corporate personal property replacement taxes of $0.4 million. Total College expenses increased $2.5 million from $46.9 million to $49.4 million in fiscal years 2024 and 2025, respectively. More discussion of the change in operating expenses is available on the following pages. Financial Analysis of the College as a Whole</w:t>
            </w:r>
          </w:p>
        </w:tc>
      </w:tr>
      <w:tr>
        <w:tc>
          <w:tcPr>
            <w:tcW w:type="dxa" w:w="8640"/>
          </w:tcPr>
          <w:p>
            <w:r>
              <w:t>Net Position as of June 30</w:t>
            </w:r>
          </w:p>
        </w:tc>
      </w:tr>
      <w:tr>
        <w:tc>
          <w:tcPr>
            <w:tcW w:type="dxa" w:w="8640"/>
          </w:tcPr>
          <w:p>
            <w:r>
              <w:t>(in millions) 2024 Increase Percent 2025 (as restated) (Decrease) Change Current assets $ 38.3 $ 38.2 $ 0.1 0.3 % Non-Current Restricted assets 24.2 26.6 (2.4) (9.0) Tangible and intangible capital assets, net 66.0 60.0 6.0 10.0 Total assets 128.5 124.8 3.7 3.0 Deferred Outflows of Resources 1.1 1.8 (0.7) (38.9) Current liabilities 11.3 9.6 1.7 17.7 Non-current liabilities 26.6 32.3 (5.7) (17.6) Total liabilities 37.9 41.9 (4.0) (9.5) Deferred Inflows of Resources 26.3 27.9 (1.6) (5.7) Net Position Net investment in capital assets 53.4 46.8 6.6 14.1 Restricted 23.1 23.3 (0.2) (0.9) Unrestricted (11.1) (13.3) 2.2 (16.5) Total net position $ 65.4 $ 56.8 $ 8.6 15.1</w:t>
            </w:r>
          </w:p>
        </w:tc>
      </w:tr>
    </w:tbl>
    <w:p/>
    <w:p>
      <w:r>
        <w:t>6b</w:t>
      </w:r>
    </w:p>
    <w:p>
      <w:pPr>
        <w:pStyle w:val="Heading2"/>
      </w:pPr>
      <w:r>
        <w:t>MANAGEMENT’S DISCUSSION AND ANALYSIS (CONTINUED)</w:t>
      </w:r>
    </w:p>
    <w:p>
      <w:r>
        <w:t>JUNE 30, 2025 Financial Analysis of the College as a Whole (Continued) The College’s statement of net position, as summarized in the above schedule, is presented on the accrual basis of accounting whereby assets are capitalized and depreciated or amortized and deferred outflows and inflows of resources are recognized. Current assets increased $0.1 million during the year ended June 30, 2025. Within current assets, cash and cash equivalents increased $0.3 million, prepaid expenses increased $0.1 million, and receivables decreased $0.4 million. The decrease in total receivables was driven by a decrease of $0.8 million in net tuition and fees receivable, offset partially by an increase of $0.5 million in governmental claims. Current assets account for approximately 30% of total assets. Non-current assets increased $3.6 million due to a $6.0 million increase in tangible and intangible capital assets, net of depreciation and amortization, partially offset by a $2.4 million decrease in restricted assets. The use of restricted cash for the construction of the Harrison Bruce Player Development Center, the Career and Technical Center, the C and E Wing renovations and HVAC replacement, and the elevator project is reflected in a reduction in restricted cash and cash equivalents and an increase in construction in progress within capital assets. Restricted assets account for 19% of total assets and tangible and intangible capital assets, net, account for 51% of total assets. Current liabilities increased $1.7 million, which was primarily driven by increases of $0.9 million in compensated absences due in one year (compared to the restated balance at June 30, 2024 of $0.1 million), $0.8 million in accounts payable, $0.4 million in subscription liabilities due in one year, $0.1 million in the current portion of bonds payable, offset partially by decreases of $0.3 million in accrued expenses and $0.3 million in refundable advances. Current liabilities represent 30% of total liabilities. Non-current liabilities decreased $5.7 million to $26.6 million on June 30, 2025, compared to $32.3 million on June 30, 2024, as restated. $10.7 million of the total non-current liabilities are those associated with the long-term portion of bonds payable. This debt is the result of past-year bond financing that has been assumed to take advantage of favorable market conditions and to allow the College to finance needed expansion of facilities and to maximize investment potential. Deferred outflows of resources decreased $0.7 million due to decreases in OPEB plan related amounts. Deferred inflows of resources decreased $1.6 million due to a $1.8 million decrease in OPEB plan related amounts, offset partially by a $0.3 million increase in deferred property tax revenue.</w:t>
      </w:r>
    </w:p>
    <w:p>
      <w:r>
        <w:t>6c</w:t>
      </w:r>
    </w:p>
    <w:p>
      <w:pPr>
        <w:pStyle w:val="Heading2"/>
      </w:pPr>
      <w:r>
        <w:t>MANAGEMENT’S DISCUSSION AND ANALYSIS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Operating Results for the Years Ended</w:t>
            </w:r>
          </w:p>
        </w:tc>
      </w:tr>
      <w:tr>
        <w:tc>
          <w:tcPr>
            <w:tcW w:type="dxa" w:w="8640"/>
          </w:tcPr>
          <w:p>
            <w:r>
              <w:t>(in millions) Increase Percent Operating Income (Loss) 2025 2024 (Decrease) Change Operating revenues Student tuition and fees, net $ 3.9 $ 4.8 $ (0.9) (18.8) % Auxiliary enterprises revenue 1.2 1.0 0.2 20.0 Other operating revenue 0.5 0.5 - - Total operating revenue 5.6 6.3 (0.7) (11.1) Less operating expenses 48.8 46.3 2.5 5.4 Operating income (loss) (43.2) (40.0) (3.2) (8.0) Non-Operating Revenues (Expenses) Property taxes 16.9 16.3 0.6 3.7 Corporate personal property replacement taxes 0.9 1.3 (0.4) (30.8) State grants and contracts 12.4 12.2 0.2 1.6 Federal grants and contracts 9.9 9.3 0.6 6.5 Nongovernmental gifts, grants and bequests 1.3 0.8 0.5 62.5 On-behalf revenues – SURS &amp; CIP 6.9 6.5 0.4 6.2 Investment income 1.6 1.9 (0.3) (15.8) Bond premium amortization (interest expense), net (0.5) (0.7) 0.2 28.6 Total non-operating revenues (expenses) 49.4 47.6 1.8 3.8</w:t>
            </w:r>
          </w:p>
        </w:tc>
      </w:tr>
      <w:tr>
        <w:tc>
          <w:tcPr>
            <w:tcW w:type="dxa" w:w="8640"/>
          </w:tcPr>
          <w:p>
            <w:r>
              <w:t>Capital Contributions 2.5 0.4 2.1 525.0</w:t>
            </w:r>
          </w:p>
        </w:tc>
      </w:tr>
    </w:tbl>
    <w:p/>
    <w:p>
      <w:r>
        <w:t>Financial Analysis of the College as a Whole (Continued)</w:t>
      </w:r>
    </w:p>
    <w:p>
      <w:r>
        <w:t>Change in Net Position $ 8.7 $ 8.0 $ 0.7 8.7 When reviewing the operating results, it should be noted the tuition and fees amount has been adjusted for scholarship discounts and allowances. Scholarship discounts and allowances represent the portion of tuition and fees that the College does not collect because it has granted financial aid that has been applied directly to those charges. Scholarship discounts and allowances for the fiscal years 2025 and 2024 were $6.6 million and $5.7 million, respectively. The fiscal year 2025 scholarship discounts and allowances includes $3.4 million institutional scholarships and waivers, $3.0 million federal Pell grants, and $0.2 million other federal and state grants. If tuition and fees were presented on a gross basis, a greater dependence on tuition and fees would be noted.</w:t>
      </w:r>
    </w:p>
    <w:p>
      <w:r>
        <w:t>6d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JUNE 30, 2025 Financial Analysis of the College as a Whole (Continued) The following are graphic illustrations of total revenue, including capital contributions, and operating expenses, including payments made by the State of Illinois on behalf of the College, for the year ended June 30, 2025:</w:t>
            </w:r>
          </w:p>
        </w:tc>
        <w:tc>
          <w:tcPr>
            <w:tcW w:type="dxa" w:w="2880"/>
          </w:tcPr>
          <w:p>
            <w:r>
              <w:rPr>
                <w:b/>
              </w:rPr>
            </w:r>
          </w:p>
        </w:tc>
        <w:tc>
          <w:tcPr>
            <w:tcW w:type="dxa" w:w="2880"/>
          </w:tcPr>
          <w:p>
            <w:r>
              <w:rPr>
                <w:b/>
              </w:rPr>
            </w:r>
          </w:p>
        </w:tc>
      </w:tr>
      <w:tr>
        <w:tc>
          <w:tcPr>
            <w:tcW w:type="dxa" w:w="2880"/>
          </w:tcPr>
          <w:p>
            <w:r>
              <w:t>Revenue by Source</w:t>
            </w:r>
          </w:p>
        </w:tc>
        <w:tc>
          <w:tcPr>
            <w:tcW w:type="dxa" w:w="2880"/>
          </w:tcPr>
          <w:p>
            <w:r/>
          </w:p>
        </w:tc>
        <w:tc>
          <w:tcPr>
            <w:tcW w:type="dxa" w:w="2880"/>
          </w:tcPr>
          <w:p>
            <w:r/>
          </w:p>
        </w:tc>
      </w:tr>
      <w:tr>
        <w:tc>
          <w:tcPr>
            <w:tcW w:type="dxa" w:w="2880"/>
          </w:tcPr>
          <w:p>
            <w:r>
              <w:t>Federal grants &amp;</w:t>
            </w:r>
          </w:p>
        </w:tc>
        <w:tc>
          <w:tcPr>
            <w:tcW w:type="dxa" w:w="2880"/>
          </w:tcPr>
          <w:p>
            <w:r>
              <w:t>Investment</w:t>
            </w:r>
          </w:p>
        </w:tc>
        <w:tc>
          <w:tcPr>
            <w:tcW w:type="dxa" w:w="2880"/>
          </w:tcPr>
          <w:p>
            <w:r>
              <w:t>3% Net tuition &amp; fees</w:t>
            </w:r>
          </w:p>
        </w:tc>
      </w:tr>
      <w:tr>
        <w:tc>
          <w:tcPr>
            <w:tcW w:type="dxa" w:w="2880"/>
          </w:tcPr>
          <w:p>
            <w:r>
              <w:t>contracts</w:t>
            </w:r>
          </w:p>
        </w:tc>
        <w:tc>
          <w:tcPr>
            <w:tcW w:type="dxa" w:w="2880"/>
          </w:tcPr>
          <w:p>
            <w:r>
              <w:t>17%</w:t>
            </w:r>
          </w:p>
        </w:tc>
        <w:tc>
          <w:tcPr>
            <w:tcW w:type="dxa" w:w="2880"/>
          </w:tcPr>
          <w:p>
            <w:r>
              <w:t>7%</w:t>
            </w:r>
          </w:p>
        </w:tc>
      </w:tr>
      <w:tr>
        <w:tc>
          <w:tcPr>
            <w:tcW w:type="dxa" w:w="2880"/>
          </w:tcPr>
          <w:p>
            <w:r>
              <w:t>State on-behalf</w:t>
            </w:r>
          </w:p>
        </w:tc>
        <w:tc>
          <w:tcPr>
            <w:tcW w:type="dxa" w:w="2880"/>
          </w:tcPr>
          <w:p>
            <w:r/>
          </w:p>
        </w:tc>
        <w:tc>
          <w:tcPr>
            <w:tcW w:type="dxa" w:w="2880"/>
          </w:tcPr>
          <w:p>
            <w:r/>
          </w:p>
        </w:tc>
      </w:tr>
      <w:tr>
        <w:tc>
          <w:tcPr>
            <w:tcW w:type="dxa" w:w="2880"/>
          </w:tcPr>
          <w:p>
            <w:r>
              <w:t>12%</w:t>
            </w:r>
          </w:p>
        </w:tc>
        <w:tc>
          <w:tcPr>
            <w:tcW w:type="dxa" w:w="2880"/>
          </w:tcPr>
          <w:p>
            <w:r/>
          </w:p>
        </w:tc>
        <w:tc>
          <w:tcPr>
            <w:tcW w:type="dxa" w:w="2880"/>
          </w:tcPr>
          <w:p>
            <w:r/>
          </w:p>
        </w:tc>
      </w:tr>
    </w:tbl>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Property taxes/CPPRT</w:t>
            </w:r>
          </w:p>
        </w:tc>
        <w:tc>
          <w:tcPr>
            <w:tcW w:type="dxa" w:w="2160"/>
          </w:tcPr>
          <w:p>
            <w:r>
              <w:rPr>
                <w:b/>
              </w:rPr>
            </w:r>
          </w:p>
        </w:tc>
        <w:tc>
          <w:tcPr>
            <w:tcW w:type="dxa" w:w="2160"/>
          </w:tcPr>
          <w:p>
            <w:r>
              <w:rPr>
                <w:b/>
              </w:rPr>
            </w:r>
          </w:p>
        </w:tc>
        <w:tc>
          <w:tcPr>
            <w:tcW w:type="dxa" w:w="2160"/>
          </w:tcPr>
          <w:p>
            <w:r>
              <w:rPr>
                <w:b/>
              </w:rPr>
            </w:r>
          </w:p>
        </w:tc>
      </w:tr>
      <w:tr>
        <w:tc>
          <w:tcPr>
            <w:tcW w:type="dxa" w:w="2160"/>
          </w:tcPr>
          <w:p>
            <w:r>
              <w:t>31%</w:t>
            </w:r>
          </w:p>
        </w:tc>
        <w:tc>
          <w:tcPr>
            <w:tcW w:type="dxa" w:w="2160"/>
          </w:tcPr>
          <w:p>
            <w:r/>
          </w:p>
        </w:tc>
        <w:tc>
          <w:tcPr>
            <w:tcW w:type="dxa" w:w="2160"/>
          </w:tcPr>
          <w:p>
            <w:r/>
          </w:p>
        </w:tc>
        <w:tc>
          <w:tcPr>
            <w:tcW w:type="dxa" w:w="2160"/>
          </w:tcPr>
          <w:p>
            <w:r/>
          </w:p>
        </w:tc>
      </w:tr>
      <w:tr>
        <w:tc>
          <w:tcPr>
            <w:tcW w:type="dxa" w:w="2160"/>
          </w:tcPr>
          <w:p>
            <w:r>
              <w:t>State grants &amp;</w:t>
            </w:r>
          </w:p>
        </w:tc>
        <w:tc>
          <w:tcPr>
            <w:tcW w:type="dxa" w:w="2160"/>
          </w:tcPr>
          <w:p>
            <w:r/>
          </w:p>
        </w:tc>
        <w:tc>
          <w:tcPr>
            <w:tcW w:type="dxa" w:w="2160"/>
          </w:tcPr>
          <w:p>
            <w:r/>
          </w:p>
        </w:tc>
        <w:tc>
          <w:tcPr>
            <w:tcW w:type="dxa" w:w="2160"/>
          </w:tcPr>
          <w:p>
            <w:r/>
          </w:p>
        </w:tc>
      </w:tr>
      <w:tr>
        <w:tc>
          <w:tcPr>
            <w:tcW w:type="dxa" w:w="2160"/>
          </w:tcPr>
          <w:p>
            <w:r>
              <w:t>contracts</w:t>
            </w:r>
          </w:p>
        </w:tc>
        <w:tc>
          <w:tcPr>
            <w:tcW w:type="dxa" w:w="2160"/>
          </w:tcPr>
          <w:p>
            <w:r>
              <w:t>25%</w:t>
            </w:r>
          </w:p>
        </w:tc>
        <w:tc>
          <w:tcPr>
            <w:tcW w:type="dxa" w:w="2160"/>
          </w:tcPr>
          <w:p>
            <w:r>
              <w:t>Other</w:t>
            </w:r>
          </w:p>
        </w:tc>
        <w:tc>
          <w:tcPr>
            <w:tcW w:type="dxa" w:w="2160"/>
          </w:tcPr>
          <w:p>
            <w:r/>
          </w:p>
        </w:tc>
      </w:tr>
      <w:tr>
        <w:tc>
          <w:tcPr>
            <w:tcW w:type="dxa" w:w="2160"/>
          </w:tcPr>
          <w:p>
            <w:r>
              <w:t>5%</w:t>
            </w:r>
          </w:p>
        </w:tc>
        <w:tc>
          <w:tcPr>
            <w:tcW w:type="dxa" w:w="2160"/>
          </w:tcPr>
          <w:p>
            <w:r/>
          </w:p>
        </w:tc>
        <w:tc>
          <w:tcPr>
            <w:tcW w:type="dxa" w:w="2160"/>
          </w:tcPr>
          <w:p>
            <w:r/>
          </w:p>
        </w:tc>
        <w:tc>
          <w:tcPr>
            <w:tcW w:type="dxa" w:w="2160"/>
          </w:tcPr>
          <w:p>
            <w:r/>
          </w:p>
        </w:tc>
      </w:tr>
      <w:tr>
        <w:tc>
          <w:tcPr>
            <w:tcW w:type="dxa" w:w="2160"/>
          </w:tcPr>
          <w:p>
            <w:r>
              <w:t>Operating Expenses</w:t>
            </w:r>
          </w:p>
        </w:tc>
        <w:tc>
          <w:tcPr>
            <w:tcW w:type="dxa" w:w="2160"/>
          </w:tcPr>
          <w:p>
            <w:r/>
          </w:p>
        </w:tc>
        <w:tc>
          <w:tcPr>
            <w:tcW w:type="dxa" w:w="2160"/>
          </w:tcPr>
          <w:p>
            <w:r/>
          </w:p>
        </w:tc>
        <w:tc>
          <w:tcPr>
            <w:tcW w:type="dxa" w:w="2160"/>
          </w:tcPr>
          <w:p>
            <w:r/>
          </w:p>
        </w:tc>
      </w:tr>
      <w:tr>
        <w:tc>
          <w:tcPr>
            <w:tcW w:type="dxa" w:w="2160"/>
          </w:tcPr>
          <w:p>
            <w:r>
              <w:t>Scholarships, student</w:t>
            </w:r>
          </w:p>
        </w:tc>
        <w:tc>
          <w:tcPr>
            <w:tcW w:type="dxa" w:w="2160"/>
          </w:tcPr>
          <w:p>
            <w:r>
              <w:t>Depreciation and</w:t>
            </w:r>
          </w:p>
        </w:tc>
        <w:tc>
          <w:tcPr>
            <w:tcW w:type="dxa" w:w="2160"/>
          </w:tcPr>
          <w:p>
            <w:r>
              <w:t>Public service/continuing</w:t>
            </w:r>
          </w:p>
        </w:tc>
        <w:tc>
          <w:tcPr>
            <w:tcW w:type="dxa" w:w="2160"/>
          </w:tcPr>
          <w:p>
            <w:r/>
          </w:p>
        </w:tc>
      </w:tr>
      <w:tr>
        <w:tc>
          <w:tcPr>
            <w:tcW w:type="dxa" w:w="2160"/>
          </w:tcPr>
          <w:p>
            <w:r>
              <w:t>grants, and waivers</w:t>
            </w:r>
          </w:p>
        </w:tc>
        <w:tc>
          <w:tcPr>
            <w:tcW w:type="dxa" w:w="2160"/>
          </w:tcPr>
          <w:p>
            <w:r>
              <w:t>amortizaiton</w:t>
            </w:r>
          </w:p>
        </w:tc>
        <w:tc>
          <w:tcPr>
            <w:tcW w:type="dxa" w:w="2160"/>
          </w:tcPr>
          <w:p>
            <w:r/>
          </w:p>
        </w:tc>
        <w:tc>
          <w:tcPr>
            <w:tcW w:type="dxa" w:w="2160"/>
          </w:tcPr>
          <w:p>
            <w:r/>
          </w:p>
        </w:tc>
      </w:tr>
      <w:tr>
        <w:tc>
          <w:tcPr>
            <w:tcW w:type="dxa" w:w="2160"/>
          </w:tcPr>
          <w:p>
            <w:r>
              <w:t>Auxiliary enterprise</w:t>
            </w:r>
          </w:p>
        </w:tc>
        <w:tc>
          <w:tcPr>
            <w:tcW w:type="dxa" w:w="2160"/>
          </w:tcPr>
          <w:p>
            <w:r>
              <w:t>10%</w:t>
            </w:r>
          </w:p>
        </w:tc>
        <w:tc>
          <w:tcPr>
            <w:tcW w:type="dxa" w:w="2160"/>
          </w:tcPr>
          <w:p>
            <w:r>
              <w:t>8%</w:t>
            </w:r>
          </w:p>
        </w:tc>
        <w:tc>
          <w:tcPr>
            <w:tcW w:type="dxa" w:w="2160"/>
          </w:tcPr>
          <w:p>
            <w:r>
              <w:t>education</w:t>
            </w:r>
          </w:p>
        </w:tc>
      </w:tr>
      <w:tr>
        <w:tc>
          <w:tcPr>
            <w:tcW w:type="dxa" w:w="2160"/>
          </w:tcPr>
          <w:p>
            <w:r>
              <w:t>4%</w:t>
            </w:r>
          </w:p>
        </w:tc>
        <w:tc>
          <w:tcPr>
            <w:tcW w:type="dxa" w:w="2160"/>
          </w:tcPr>
          <w:p>
            <w:r>
              <w:t>7%</w:t>
            </w:r>
          </w:p>
        </w:tc>
        <w:tc>
          <w:tcPr>
            <w:tcW w:type="dxa" w:w="2160"/>
          </w:tcPr>
          <w:p>
            <w:r/>
          </w:p>
        </w:tc>
        <w:tc>
          <w:tcPr>
            <w:tcW w:type="dxa" w:w="2160"/>
          </w:tcPr>
          <w:p>
            <w:r/>
          </w:p>
        </w:tc>
      </w:tr>
      <w:tr>
        <w:tc>
          <w:tcPr>
            <w:tcW w:type="dxa" w:w="2160"/>
          </w:tcPr>
          <w:p>
            <w:r>
              <w:t>Operation and</w:t>
            </w:r>
          </w:p>
        </w:tc>
        <w:tc>
          <w:tcPr>
            <w:tcW w:type="dxa" w:w="2160"/>
          </w:tcPr>
          <w:p>
            <w:r>
              <w:t>maintenance</w:t>
            </w:r>
          </w:p>
        </w:tc>
        <w:tc>
          <w:tcPr>
            <w:tcW w:type="dxa" w:w="2160"/>
          </w:tcPr>
          <w:p>
            <w:r>
              <w:t>Academic support</w:t>
            </w:r>
          </w:p>
        </w:tc>
        <w:tc>
          <w:tcPr>
            <w:tcW w:type="dxa" w:w="2160"/>
          </w:tcPr>
          <w:p>
            <w:r/>
          </w:p>
        </w:tc>
      </w:tr>
      <w:tr>
        <w:tc>
          <w:tcPr>
            <w:tcW w:type="dxa" w:w="2160"/>
          </w:tcPr>
          <w:p>
            <w:r>
              <w:t>of plant</w:t>
            </w:r>
          </w:p>
        </w:tc>
        <w:tc>
          <w:tcPr>
            <w:tcW w:type="dxa" w:w="2160"/>
          </w:tcPr>
          <w:p>
            <w:r>
              <w:t>7%</w:t>
            </w:r>
          </w:p>
        </w:tc>
        <w:tc>
          <w:tcPr>
            <w:tcW w:type="dxa" w:w="2160"/>
          </w:tcPr>
          <w:p>
            <w:r/>
          </w:p>
        </w:tc>
        <w:tc>
          <w:tcPr>
            <w:tcW w:type="dxa" w:w="2160"/>
          </w:tcPr>
          <w:p>
            <w:r/>
          </w:p>
        </w:tc>
      </w:tr>
      <w:tr>
        <w:tc>
          <w:tcPr>
            <w:tcW w:type="dxa" w:w="2160"/>
          </w:tcPr>
          <w:p>
            <w:r>
              <w:t>12%</w:t>
            </w:r>
          </w:p>
        </w:tc>
        <w:tc>
          <w:tcPr>
            <w:tcW w:type="dxa" w:w="2160"/>
          </w:tcPr>
          <w:p>
            <w:r/>
          </w:p>
        </w:tc>
        <w:tc>
          <w:tcPr>
            <w:tcW w:type="dxa" w:w="2160"/>
          </w:tcPr>
          <w:p>
            <w:r/>
          </w:p>
        </w:tc>
        <w:tc>
          <w:tcPr>
            <w:tcW w:type="dxa" w:w="2160"/>
          </w:tcPr>
          <w:p>
            <w:r/>
          </w:p>
        </w:tc>
      </w:tr>
      <w:tr>
        <w:tc>
          <w:tcPr>
            <w:tcW w:type="dxa" w:w="2160"/>
          </w:tcPr>
          <w:p>
            <w:r>
              <w:t>Student services</w:t>
            </w:r>
          </w:p>
        </w:tc>
        <w:tc>
          <w:tcPr>
            <w:tcW w:type="dxa" w:w="2160"/>
          </w:tcPr>
          <w:p>
            <w:r/>
          </w:p>
        </w:tc>
        <w:tc>
          <w:tcPr>
            <w:tcW w:type="dxa" w:w="2160"/>
          </w:tcPr>
          <w:p>
            <w:r/>
          </w:p>
        </w:tc>
        <w:tc>
          <w:tcPr>
            <w:tcW w:type="dxa" w:w="2160"/>
          </w:tcPr>
          <w:p>
            <w:r/>
          </w:p>
        </w:tc>
      </w:tr>
      <w:tr>
        <w:tc>
          <w:tcPr>
            <w:tcW w:type="dxa" w:w="2160"/>
          </w:tcPr>
          <w:p>
            <w:r>
              <w:t>8%</w:t>
            </w:r>
          </w:p>
        </w:tc>
        <w:tc>
          <w:tcPr>
            <w:tcW w:type="dxa" w:w="2160"/>
          </w:tcPr>
          <w:p>
            <w:r/>
          </w:p>
        </w:tc>
        <w:tc>
          <w:tcPr>
            <w:tcW w:type="dxa" w:w="2160"/>
          </w:tcPr>
          <w:p>
            <w:r/>
          </w:p>
        </w:tc>
        <w:tc>
          <w:tcPr>
            <w:tcW w:type="dxa" w:w="2160"/>
          </w:tcPr>
          <w:p>
            <w:r/>
          </w:p>
        </w:tc>
      </w:tr>
      <w:tr>
        <w:tc>
          <w:tcPr>
            <w:tcW w:type="dxa" w:w="2160"/>
          </w:tcPr>
          <w:p>
            <w:r>
              <w:t>Institutional support</w:t>
            </w:r>
          </w:p>
        </w:tc>
        <w:tc>
          <w:tcPr>
            <w:tcW w:type="dxa" w:w="2160"/>
          </w:tcPr>
          <w:p>
            <w:r/>
          </w:p>
        </w:tc>
        <w:tc>
          <w:tcPr>
            <w:tcW w:type="dxa" w:w="2160"/>
          </w:tcPr>
          <w:p>
            <w:r/>
          </w:p>
        </w:tc>
        <w:tc>
          <w:tcPr>
            <w:tcW w:type="dxa" w:w="2160"/>
          </w:tcPr>
          <w:p>
            <w:r/>
          </w:p>
        </w:tc>
      </w:tr>
      <w:tr>
        <w:tc>
          <w:tcPr>
            <w:tcW w:type="dxa" w:w="2160"/>
          </w:tcPr>
          <w:p>
            <w:r>
              <w:t>20%</w:t>
            </w:r>
          </w:p>
        </w:tc>
        <w:tc>
          <w:tcPr>
            <w:tcW w:type="dxa" w:w="2160"/>
          </w:tcPr>
          <w:p>
            <w:r>
              <w:t>Instruction</w:t>
            </w:r>
          </w:p>
        </w:tc>
        <w:tc>
          <w:tcPr>
            <w:tcW w:type="dxa" w:w="2160"/>
          </w:tcPr>
          <w:p>
            <w:r/>
          </w:p>
        </w:tc>
        <w:tc>
          <w:tcPr>
            <w:tcW w:type="dxa" w:w="2160"/>
          </w:tcPr>
          <w:p>
            <w:r/>
          </w:p>
        </w:tc>
      </w:tr>
      <w:tr>
        <w:tc>
          <w:tcPr>
            <w:tcW w:type="dxa" w:w="2160"/>
          </w:tcPr>
          <w:p>
            <w:r>
              <w:t>24%</w:t>
            </w:r>
          </w:p>
        </w:tc>
        <w:tc>
          <w:tcPr>
            <w:tcW w:type="dxa" w:w="2160"/>
          </w:tcPr>
          <w:p>
            <w:r/>
          </w:p>
        </w:tc>
        <w:tc>
          <w:tcPr>
            <w:tcW w:type="dxa" w:w="2160"/>
          </w:tcPr>
          <w:p>
            <w:r/>
          </w:p>
        </w:tc>
        <w:tc>
          <w:tcPr>
            <w:tcW w:type="dxa" w:w="2160"/>
          </w:tcPr>
          <w:p>
            <w:r/>
          </w:p>
        </w:tc>
      </w:tr>
    </w:tbl>
    <w:p/>
    <w:p>
      <w:r>
        <w:t>6e</w:t>
      </w:r>
    </w:p>
    <w:p>
      <w:pPr>
        <w:pStyle w:val="Heading2"/>
      </w:pPr>
      <w:r>
        <w:t>MANAGEMENT’S DISCUSSION AND ANALYSIS (CONTINUED)</w:t>
      </w:r>
    </w:p>
    <w:tbl>
      <w:tblPr>
        <w:tblStyle w:val="TableGrid"/>
        <w:tblW w:type="auto" w:w="0"/>
        <w:tblLook w:firstColumn="1" w:firstRow="1" w:lastColumn="0" w:lastRow="0" w:noHBand="0" w:noVBand="1" w:val="04A0"/>
      </w:tblPr>
      <w:tblGrid>
        <w:gridCol w:w="8640"/>
      </w:tblGrid>
      <w:tr>
        <w:tc>
          <w:tcPr>
            <w:tcW w:type="dxa" w:w="8640"/>
          </w:tcPr>
          <w:p>
            <w:r>
              <w:rPr>
                <w:b/>
              </w:rPr>
              <w:t>JUNE 30, 2025 Financial Analysis of the College as a Whole (Continued)</w:t>
            </w:r>
          </w:p>
        </w:tc>
      </w:tr>
      <w:tr>
        <w:tc>
          <w:tcPr>
            <w:tcW w:type="dxa" w:w="8640"/>
          </w:tcPr>
          <w:p>
            <w:r>
              <w:t>Operating Expenses for the Years Ended</w:t>
            </w:r>
          </w:p>
        </w:tc>
      </w:tr>
      <w:tr>
        <w:tc>
          <w:tcPr>
            <w:tcW w:type="dxa" w:w="8640"/>
          </w:tcPr>
          <w:p>
            <w:r>
              <w:t>(in millions) Increase Percent 2025 2024 (Decrease) Change Instruction $ 11.9 $ 10.8 $ 1.1 10.2 % Academic support 3.4 3.1 0.3 9.7 Student services 4.0 4.1 (0.1) (2.4) Public service/continuing education 3.5 3.6 (0.1) (2.8) Operation and maintenance of plant 5.8 5.6 0.2 3.6 Institutional support 9.5 9.2 0.3 3.3 Auxiliary enterprise 1.8 1.6 0.2 12.5 Scholarships, student grants, and waivers 5.0 4.6 0.4 8.7 Depreciation and amortization 3.9 3.7 0.2 5.4 Total operating expenses $ 48.8 $ 46.3 $ 2.5 5.4</w:t>
            </w:r>
          </w:p>
        </w:tc>
      </w:tr>
      <w:tr>
        <w:tc>
          <w:tcPr>
            <w:tcW w:type="dxa" w:w="8640"/>
          </w:tcPr>
          <w:p>
            <w:r>
              <w:t>(in millions) Increase Percent Excluding On-Behalf Payments 2025 2024 (Decrease) Change Instruction $ 9.3 $ 8.5 $ 0.8 9.4 % Academic support 2.9 2.5 0.4 16.0 Student services 3.2 3.3 (0.1) (3.0) Public service/continuing education 3.0 3.0 - - Operation and maintenance of plant 4.8 4.7 0.1 2.1 Institutional support 8.2 8.1 0.1 1.2 Auxiliary enterprise 1.6 1.4 0.2 14.3 Scholarships, student grants, and waivers 5.0 4.6 0.4 8.7 Depreciation and amortization 3.9 3.7 0.2 5.4 Total operating expenses $ 41.9 $ 39.8 $ 2.1 5.3 Total operating expenses for the year ended June 30, 2025 increased $2.5 million compared to the year ended June 30, 2024. Included in total operating expenses are $6.9 million of combined pension and OPEB expenses paid on-behalf of the College by the State of Illinois, which are allocated pro-rata across operating expense programs based on salary expenses. These on-behalf expenses represent the College’s portion of the SURS pension and CIP OPEB contributions. The State of Illinois has the legal obligation to make contributions directly to the SURS pension plan. The College recognizes revenue and a corresponding employee benefit expense for the College’s proportionate share of the State’s payments. The revenues and expenses recorded for these payments do not pass through the College. These on-behalf payments occur annually, and amounts may fluctuate significantly year to year. The CIP on-behalf amounts for both fiscal years 2024 and 2025 were net OPEB benefits, which reduce the total on-behalf expense. For the year ended June 30, 2025, the College recognized revenue and expense of $9.2 million for on-behalf SURS pension contributions, offset by $2.3 million on-behalf CIP OPEB benefits.</w:t>
            </w:r>
          </w:p>
        </w:tc>
      </w:tr>
    </w:tbl>
    <w:p/>
    <w:p>
      <w:r>
        <w:t>Operating Expenses, Excluding State On-behalf Payments, for the Years Ended</w:t>
      </w:r>
    </w:p>
    <w:p>
      <w:r>
        <w:t>6f</w:t>
      </w:r>
    </w:p>
    <w:p>
      <w:pPr>
        <w:pStyle w:val="Heading2"/>
      </w:pPr>
      <w:r>
        <w:t>MANAGEMENT’S DISCUSSION AND ANALYSIS (CONTINUED)</w:t>
      </w:r>
    </w:p>
    <w:tbl>
      <w:tblPr>
        <w:tblStyle w:val="TableGrid"/>
        <w:tblW w:type="auto" w:w="0"/>
        <w:tblLook w:firstColumn="1" w:firstRow="1" w:lastColumn="0" w:lastRow="0" w:noHBand="0" w:noVBand="1" w:val="04A0"/>
      </w:tblPr>
      <w:tblGrid>
        <w:gridCol w:w="8640"/>
      </w:tblGrid>
      <w:tr>
        <w:tc>
          <w:tcPr>
            <w:tcW w:type="dxa" w:w="8640"/>
          </w:tcPr>
          <w:p>
            <w:r>
              <w:rPr>
                <w:b/>
              </w:rPr>
              <w:t>JUNE 30, 2025 Financial Analysis of the College as a Whole (Concluded) Excluding these on-behalf expense allocations, operating expenses increased $2.1 million compared to the year ended June 30, 2024. The largest increase was in instructional expenses, which increased $0.8 million largely due to a $0.6 million increase in combined salaries and benefits and a $0.4 million increase in materials and supplies, offset partially by a $0.2 million decrease in other expenses. The increase in materials and supplies occurred in the restricted purposes fund and was supported by grants and donations, primarily for the allied health and career and technical education programs.</w:t>
            </w:r>
          </w:p>
        </w:tc>
      </w:tr>
      <w:tr>
        <w:tc>
          <w:tcPr>
            <w:tcW w:type="dxa" w:w="8640"/>
          </w:tcPr>
          <w:p>
            <w:r>
              <w:t>Across all programs, total salaries increased $0.1 million and the cost of employee benefits decreased $0.2 million. Contractual services increased $0.3 million, depreciation increased $0.2 million, utilities increased $0.1 million, general materials and supplies increased $0.4 million, fixed charges decreased $0.4 million, and conference and meeting expenses remained flat. The effect of pensions and other post-employment benefit plans, excluding state on-behalf payments, remained consistent from fiscal year 2024 to fiscal year 2025.</w:t>
            </w:r>
          </w:p>
        </w:tc>
      </w:tr>
      <w:tr>
        <w:tc>
          <w:tcPr>
            <w:tcW w:type="dxa" w:w="8640"/>
          </w:tcPr>
          <w:p>
            <w:r>
              <w:t>Capital and Debt Activities</w:t>
            </w:r>
          </w:p>
        </w:tc>
      </w:tr>
      <w:tr>
        <w:tc>
          <w:tcPr>
            <w:tcW w:type="dxa" w:w="8640"/>
          </w:tcPr>
          <w:p>
            <w:r>
              <w:t>Capital Assets, Net, as of June 30</w:t>
            </w:r>
          </w:p>
        </w:tc>
      </w:tr>
      <w:tr>
        <w:tc>
          <w:tcPr>
            <w:tcW w:type="dxa" w:w="8640"/>
          </w:tcPr>
          <w:p>
            <w:r>
              <w:t>(in millions) Increase Percent Capital Assets 2025 2024 (Decrease) Change Site and site improvements $ 6.6 $ 6.6 $ - - % Buildings and improvements 95.8 95.4 0.4 0.4 Equipment and other 12.5 11.3 1.2 10.6 Intangible assets 2.9 0.8 1.4 175.0 Construction in progress 6.9 1.1 5.8 527.3 Total historical cost 124.7 115.2 9.5 8.2 Less accumulated depreciation and amortization 58.7 55.2 3.5 6.3 Net capital assets $ 66.0 $ 60.0 $ 6.0 10.0 %</w:t>
            </w:r>
          </w:p>
        </w:tc>
      </w:tr>
      <w:tr>
        <w:tc>
          <w:tcPr>
            <w:tcW w:type="dxa" w:w="8640"/>
          </w:tcPr>
          <w:p>
            <w:r>
              <w:t>Net capital assets increased by $6.0 million, or 10.0%. Depreciation expense increased by $0.2 million. During the year ended June 30, 2025, the College completed the B-Wing basement level renovations for the allied health program. Construction in progress, with an increase of $5.8 million from June 30, 2024, contains several other significant construction projects, including the Harrison Bruce Player Development Center, the Career and Technical Center project, C- and E-Wing renovations, C-Wing HVAC upgrades, the west entry elevator, the Logan Hall expansion, electrical system and transformer upgrades, and several other smaller projects. See Note 15 of the notes to the financial statements for a list of these projects and the estimated remaining project commitments as of June 30, 2025. Instructional, office, and service equipment of $1.5 million was placed into service during the year. The net book value of asset disposals during the fiscal year was not significant. Intangible capital assets increased by $1.4 million. The College’s intangible capital assets are comprised of right-to-use leased equipment and subscription-based information technology arrangements (SBITAs).</w:t>
            </w:r>
          </w:p>
        </w:tc>
      </w:tr>
    </w:tbl>
    <w:p/>
    <w:p>
      <w:r>
        <w:t>6g</w:t>
      </w:r>
    </w:p>
    <w:p>
      <w:pPr>
        <w:pStyle w:val="Heading2"/>
      </w:pPr>
      <w:r>
        <w:t>MANAGEMENT’S DISCUSSION AND ANALYSIS (CONCLUDED)</w:t>
      </w:r>
    </w:p>
    <w:tbl>
      <w:tblPr>
        <w:tblStyle w:val="TableGrid"/>
        <w:tblW w:type="auto" w:w="0"/>
        <w:tblLook w:firstColumn="1" w:firstRow="1" w:lastColumn="0" w:lastRow="0" w:noHBand="0" w:noVBand="1" w:val="04A0"/>
      </w:tblPr>
      <w:tblGrid>
        <w:gridCol w:w="8640"/>
      </w:tblGrid>
      <w:tr>
        <w:tc>
          <w:tcPr>
            <w:tcW w:type="dxa" w:w="8640"/>
          </w:tcPr>
          <w:p>
            <w:r>
              <w:rPr>
                <w:b/>
              </w:rPr>
              <w:t>JUNE 30, 2025 Capital and Debt Activities (Concluded) The College’s debt activity for the year consisted of: Bonds payable, July 1, 2024 $ 18,890,000 Bonds issued - Bonds retired (4,360,000) Bonds payable, June 30, 2025 $ 14,530,000 Bond retirements of $4.4 million occurred during the year in accordance with the original debt retirement schedules of previously issued bonds. Lease liability, July 1, 2024 $ 142,765 Increases - Decreases (41,633) Lease liability, June 30, 2025 $ 101,132 Subscription liability, July 1, 2024 $ 316,664 Increases 1,645,796 Decreases (124,746) Subscription liability, June 30, 2025 $ 1,837,714 See Note 5 in the notes to the financial statements for a list of additional changes in general long-term debt.</w:t>
            </w:r>
          </w:p>
        </w:tc>
      </w:tr>
    </w:tbl>
    <w:p/>
    <w:p>
      <w:r>
        <w:t>6h</w:t>
      </w:r>
    </w:p>
    <w:p>
      <w:pPr>
        <w:pStyle w:val="Heading2"/>
      </w:pPr>
      <w:r>
        <w:t>BASIC FINANCIAL STATEMENTS</w:t>
      </w:r>
    </w:p>
    <w:tbl>
      <w:tblPr>
        <w:tblStyle w:val="TableGrid"/>
        <w:tblW w:type="auto" w:w="0"/>
        <w:tblLook w:firstColumn="1" w:firstRow="1" w:lastColumn="0" w:lastRow="0" w:noHBand="0" w:noVBand="1" w:val="04A0"/>
      </w:tblPr>
      <w:tblGrid>
        <w:gridCol w:w="4320"/>
        <w:gridCol w:w="4320"/>
      </w:tblGrid>
      <w:tr>
        <w:tc>
          <w:tcPr>
            <w:tcW w:type="dxa" w:w="4320"/>
          </w:tcPr>
          <w:p>
            <w:r>
              <w:rPr>
                <w:b/>
              </w:rPr>
              <w:t>STATEMENT OF NET POSITION</w:t>
            </w:r>
          </w:p>
        </w:tc>
        <w:tc>
          <w:tcPr>
            <w:tcW w:type="dxa" w:w="4320"/>
          </w:tcPr>
          <w:p>
            <w:r>
              <w:rPr>
                <w:b/>
              </w:rPr>
            </w:r>
          </w:p>
        </w:tc>
      </w:tr>
      <w:tr>
        <w:tc>
          <w:tcPr>
            <w:tcW w:type="dxa" w:w="4320"/>
          </w:tcPr>
          <w:p>
            <w:r>
              <w:t>JUNE 30, 2025</w:t>
            </w:r>
          </w:p>
        </w:tc>
        <w:tc>
          <w:tcPr>
            <w:tcW w:type="dxa" w:w="4320"/>
          </w:tcPr>
          <w:p>
            <w:r/>
          </w:p>
        </w:tc>
      </w:tr>
      <w:tr>
        <w:tc>
          <w:tcPr>
            <w:tcW w:type="dxa" w:w="4320"/>
          </w:tcPr>
          <w:p>
            <w:r>
              <w:t>Component Unit</w:t>
            </w:r>
          </w:p>
        </w:tc>
        <w:tc>
          <w:tcPr>
            <w:tcW w:type="dxa" w:w="4320"/>
          </w:tcPr>
          <w:p>
            <w:r/>
          </w:p>
        </w:tc>
      </w:tr>
      <w:tr>
        <w:tc>
          <w:tcPr>
            <w:tcW w:type="dxa" w:w="4320"/>
          </w:tcPr>
          <w:p>
            <w:r>
              <w:t>John A. Logan College</w:t>
            </w:r>
          </w:p>
        </w:tc>
        <w:tc>
          <w:tcPr>
            <w:tcW w:type="dxa" w:w="4320"/>
          </w:tcPr>
          <w:p>
            <w:r>
              <w:t>John A. Logan College Foundation</w:t>
            </w:r>
          </w:p>
        </w:tc>
      </w:tr>
      <w:tr>
        <w:tc>
          <w:tcPr>
            <w:tcW w:type="dxa" w:w="4320"/>
          </w:tcPr>
          <w:p>
            <w:r>
              <w:t>Assets</w:t>
            </w:r>
          </w:p>
        </w:tc>
        <w:tc>
          <w:tcPr>
            <w:tcW w:type="dxa" w:w="4320"/>
          </w:tcPr>
          <w:p>
            <w:r/>
          </w:p>
        </w:tc>
      </w:tr>
      <w:tr>
        <w:tc>
          <w:tcPr>
            <w:tcW w:type="dxa" w:w="4320"/>
          </w:tcPr>
          <w:p>
            <w:r>
              <w:t>Current Assets</w:t>
            </w:r>
          </w:p>
        </w:tc>
        <w:tc>
          <w:tcPr>
            <w:tcW w:type="dxa" w:w="4320"/>
          </w:tcPr>
          <w:p>
            <w:r/>
          </w:p>
        </w:tc>
      </w:tr>
      <w:tr>
        <w:tc>
          <w:tcPr>
            <w:tcW w:type="dxa" w:w="4320"/>
          </w:tcPr>
          <w:p>
            <w:r>
              <w:t>Cash and Cash Equivalents $ 16,125,463 $ 583,538 Receivables</w:t>
            </w:r>
          </w:p>
        </w:tc>
        <w:tc>
          <w:tcPr>
            <w:tcW w:type="dxa" w:w="4320"/>
          </w:tcPr>
          <w:p>
            <w:r/>
          </w:p>
        </w:tc>
      </w:tr>
      <w:tr>
        <w:tc>
          <w:tcPr>
            <w:tcW w:type="dxa" w:w="4320"/>
          </w:tcPr>
          <w:p>
            <w:r>
              <w:t>Property Taxes 17,415,783 - Governmental Claims 1,739,363 - Tuition and Fees, Net of Allowance for</w:t>
            </w:r>
          </w:p>
        </w:tc>
        <w:tc>
          <w:tcPr>
            <w:tcW w:type="dxa" w:w="4320"/>
          </w:tcPr>
          <w:p>
            <w:r/>
          </w:p>
        </w:tc>
      </w:tr>
      <w:tr>
        <w:tc>
          <w:tcPr>
            <w:tcW w:type="dxa" w:w="4320"/>
          </w:tcPr>
          <w:p>
            <w:r>
              <w:t>Doubtful Accounts of $823,253 1,058,722 - Other 1,042,293 1,728 Inventories 48,277 - Prepaid Expenses 866,007 3,250 Total Current Assets 38,295,908 588,516</w:t>
            </w:r>
          </w:p>
        </w:tc>
        <w:tc>
          <w:tcPr>
            <w:tcW w:type="dxa" w:w="4320"/>
          </w:tcPr>
          <w:p>
            <w:r/>
          </w:p>
        </w:tc>
      </w:tr>
      <w:tr>
        <w:tc>
          <w:tcPr>
            <w:tcW w:type="dxa" w:w="4320"/>
          </w:tcPr>
          <w:p>
            <w:r>
              <w:t>Non-Current Assets</w:t>
            </w:r>
          </w:p>
        </w:tc>
        <w:tc>
          <w:tcPr>
            <w:tcW w:type="dxa" w:w="4320"/>
          </w:tcPr>
          <w:p>
            <w:r/>
          </w:p>
        </w:tc>
      </w:tr>
      <w:tr>
        <w:tc>
          <w:tcPr>
            <w:tcW w:type="dxa" w:w="4320"/>
          </w:tcPr>
          <w:p>
            <w:r>
              <w:t>Restricted Cash and Cash Equivalents 24,165,982 - Investments - 11,300,455 Tangible and Intangible Capital Assets, Net 65,993,566 - Total Non-Current Assets 90,159,548 11,300,455</w:t>
            </w:r>
          </w:p>
        </w:tc>
        <w:tc>
          <w:tcPr>
            <w:tcW w:type="dxa" w:w="4320"/>
          </w:tcPr>
          <w:p>
            <w:r/>
          </w:p>
        </w:tc>
      </w:tr>
      <w:tr>
        <w:tc>
          <w:tcPr>
            <w:tcW w:type="dxa" w:w="4320"/>
          </w:tcPr>
          <w:p>
            <w:r>
              <w:t>Total Assets 128,455,456 11,888,971</w:t>
            </w:r>
          </w:p>
        </w:tc>
        <w:tc>
          <w:tcPr>
            <w:tcW w:type="dxa" w:w="4320"/>
          </w:tcPr>
          <w:p>
            <w:r/>
          </w:p>
        </w:tc>
      </w:tr>
      <w:tr>
        <w:tc>
          <w:tcPr>
            <w:tcW w:type="dxa" w:w="4320"/>
          </w:tcPr>
          <w:p>
            <w:r>
              <w:t>Deferred Outflows of Resources</w:t>
            </w:r>
          </w:p>
        </w:tc>
        <w:tc>
          <w:tcPr>
            <w:tcW w:type="dxa" w:w="4320"/>
          </w:tcPr>
          <w:p>
            <w:r/>
          </w:p>
        </w:tc>
      </w:tr>
      <w:tr>
        <w:tc>
          <w:tcPr>
            <w:tcW w:type="dxa" w:w="4320"/>
          </w:tcPr>
          <w:p>
            <w:r>
              <w:t>College OPEB Plan Related Amounts 269,522 - CIP OPEB Plan Related Amounts 446,963 - Pension Related Amounts 193,240 - Deferred Loss on Refunded Bonds Payable 205,730 - Total Deferred Outflows of Resources 1,115,455 -</w:t>
            </w:r>
          </w:p>
        </w:tc>
        <w:tc>
          <w:tcPr>
            <w:tcW w:type="dxa" w:w="4320"/>
          </w:tcPr>
          <w:p>
            <w:r/>
          </w:p>
        </w:tc>
      </w:tr>
      <w:tr>
        <w:tc>
          <w:tcPr>
            <w:tcW w:type="dxa" w:w="4320"/>
          </w:tcPr>
          <w:p>
            <w:r>
              <w:t>Liabilities</w:t>
            </w:r>
          </w:p>
        </w:tc>
        <w:tc>
          <w:tcPr>
            <w:tcW w:type="dxa" w:w="4320"/>
          </w:tcPr>
          <w:p>
            <w:r/>
          </w:p>
        </w:tc>
      </w:tr>
      <w:tr>
        <w:tc>
          <w:tcPr>
            <w:tcW w:type="dxa" w:w="4320"/>
          </w:tcPr>
          <w:p>
            <w:r>
              <w:t>Current Liabilities</w:t>
            </w:r>
          </w:p>
        </w:tc>
        <w:tc>
          <w:tcPr>
            <w:tcW w:type="dxa" w:w="4320"/>
          </w:tcPr>
          <w:p>
            <w:r/>
          </w:p>
        </w:tc>
      </w:tr>
      <w:tr>
        <w:tc>
          <w:tcPr>
            <w:tcW w:type="dxa" w:w="4320"/>
          </w:tcPr>
          <w:p>
            <w:r>
              <w:t>Accounts Payable 2,328,042 247,673 Accrued Expenses 1,711,596 - Refundable Advances 1,032,464 3,400 Accrued Bond Interest 46,824 - Accrued Compensated Absences, Due in One Year 1,019,366 - Lease Liability, Due in One Year 47,362 - Subscription Liability, Due in One Year 574,430 - Bonds Payable, Due in One Year 4,495,000 - Total Current Liabilities 11,255,084 251,073</w:t>
            </w:r>
          </w:p>
        </w:tc>
        <w:tc>
          <w:tcPr>
            <w:tcW w:type="dxa" w:w="4320"/>
          </w:tcPr>
          <w:p>
            <w:r/>
          </w:p>
        </w:tc>
      </w:tr>
    </w:tbl>
    <w:p/>
    <w:p>
      <w:pPr>
        <w:pStyle w:val="ListNumber"/>
      </w:pPr>
      <w:r>
        <w:t>7</w:t>
      </w:r>
    </w:p>
    <w:tbl>
      <w:tblPr>
        <w:tblStyle w:val="TableGrid"/>
        <w:tblW w:type="auto" w:w="0"/>
        <w:tblLook w:firstColumn="1" w:firstRow="1" w:lastColumn="0" w:lastRow="0" w:noHBand="0" w:noVBand="1" w:val="04A0"/>
      </w:tblPr>
      <w:tblGrid>
        <w:gridCol w:w="8640"/>
      </w:tblGrid>
      <w:tr>
        <w:tc>
          <w:tcPr>
            <w:tcW w:type="dxa" w:w="8640"/>
          </w:tcPr>
          <w:p>
            <w:r>
              <w:rPr>
                <w:b/>
              </w:rPr>
              <w:t>STATEMENT OF NET POSITION (Concluded)</w:t>
            </w:r>
          </w:p>
        </w:tc>
      </w:tr>
      <w:tr>
        <w:tc>
          <w:tcPr>
            <w:tcW w:type="dxa" w:w="8640"/>
          </w:tcPr>
          <w:p>
            <w:r>
              <w:t>JUNE 30, 2025</w:t>
            </w:r>
          </w:p>
        </w:tc>
      </w:tr>
      <w:tr>
        <w:tc>
          <w:tcPr>
            <w:tcW w:type="dxa" w:w="8640"/>
          </w:tcPr>
          <w:p>
            <w:r>
              <w:t>Component Unit John A. Logan College</w:t>
            </w:r>
          </w:p>
        </w:tc>
      </w:tr>
      <w:tr>
        <w:tc>
          <w:tcPr>
            <w:tcW w:type="dxa" w:w="8640"/>
          </w:tcPr>
          <w:p>
            <w:r>
              <w:t>John A. Logan College Foundation</w:t>
            </w:r>
          </w:p>
        </w:tc>
      </w:tr>
      <w:tr>
        <w:tc>
          <w:tcPr>
            <w:tcW w:type="dxa" w:w="8640"/>
          </w:tcPr>
          <w:p>
            <w:r>
              <w:t>Non-Current Liabilities</w:t>
            </w:r>
          </w:p>
        </w:tc>
      </w:tr>
      <w:tr>
        <w:tc>
          <w:tcPr>
            <w:tcW w:type="dxa" w:w="8640"/>
          </w:tcPr>
          <w:p>
            <w:r>
              <w:t>Accrued Compensated Absences $ 2,659,880 $ - Net OPEB Liability 11,845,443 - Lease Liability 53,770 - Subscription Liability 1,263,284 - Bonds Payable, Net of Unamortized Premium of $696,534 10,731,534 - Total Non-Current Liabilities 26,553,911 -</w:t>
            </w:r>
          </w:p>
        </w:tc>
      </w:tr>
      <w:tr>
        <w:tc>
          <w:tcPr>
            <w:tcW w:type="dxa" w:w="8640"/>
          </w:tcPr>
          <w:p>
            <w:r>
              <w:t>Total Liabilities 37,808,995 251,073</w:t>
            </w:r>
          </w:p>
        </w:tc>
      </w:tr>
      <w:tr>
        <w:tc>
          <w:tcPr>
            <w:tcW w:type="dxa" w:w="8640"/>
          </w:tcPr>
          <w:p>
            <w:r>
              <w:t>Deferred Inflows of Resources</w:t>
            </w:r>
          </w:p>
        </w:tc>
      </w:tr>
      <w:tr>
        <w:tc>
          <w:tcPr>
            <w:tcW w:type="dxa" w:w="8640"/>
          </w:tcPr>
          <w:p>
            <w:r>
              <w:t>College OPEB Plan Related Amounts 275,796 - CIP OPEB Plan Related Amounts 7,475,228 - Deferred Property Tax Revenue 17,268,114 - Deferred Tuition and Fees 463,961 - Deferred Pepsi Agreement 845,000 - Total Deferred Inflows of Resources 26,328,099 -</w:t>
            </w:r>
          </w:p>
        </w:tc>
      </w:tr>
      <w:tr>
        <w:tc>
          <w:tcPr>
            <w:tcW w:type="dxa" w:w="8640"/>
          </w:tcPr>
          <w:p>
            <w:r>
              <w:t>Net Position</w:t>
            </w:r>
          </w:p>
        </w:tc>
      </w:tr>
      <w:tr>
        <w:tc>
          <w:tcPr>
            <w:tcW w:type="dxa" w:w="8640"/>
          </w:tcPr>
          <w:p>
            <w:r>
              <w:t>Net Investment in Capital Assets 53,438,916 - Restricted for</w:t>
            </w:r>
          </w:p>
        </w:tc>
      </w:tr>
      <w:tr>
        <w:tc>
          <w:tcPr>
            <w:tcW w:type="dxa" w:w="8640"/>
          </w:tcPr>
          <w:p>
            <w:r>
              <w:t>Debt Service 376,557 - Capital Projects 11,804,391 - Employee Benefits 1,569,818 - Liability Protection 1,773,377 - Working Cash 7,535,685 - Other 54,173 - Without Donor Restrictions - 1,717,295 With Donor Restrictions - 9,920,603 Unrestricted (11,119,100) -</w:t>
            </w:r>
          </w:p>
        </w:tc>
      </w:tr>
      <w:tr>
        <w:tc>
          <w:tcPr>
            <w:tcW w:type="dxa" w:w="8640"/>
          </w:tcPr>
          <w:p>
            <w:r>
              <w:t>Total Net Position $ 65,433,817 $ 11,637,898</w:t>
            </w:r>
          </w:p>
        </w:tc>
      </w:tr>
    </w:tbl>
    <w:p/>
    <w:p>
      <w:pPr>
        <w:pStyle w:val="ListNumber"/>
      </w:pPr>
      <w:r>
        <w:t>8</w:t>
      </w:r>
    </w:p>
    <w:p>
      <w:pPr>
        <w:pStyle w:val="Heading2"/>
      </w:pPr>
      <w:r>
        <w:t>STATEMENT OF REVENUES, EXPENSES, AND CHANGES IN NET POSITION</w:t>
      </w:r>
    </w:p>
    <w:tbl>
      <w:tblPr>
        <w:tblStyle w:val="TableGrid"/>
        <w:tblW w:type="auto" w:w="0"/>
        <w:tblLook w:firstColumn="1" w:firstRow="1" w:lastColumn="0" w:lastRow="0" w:noHBand="0" w:noVBand="1" w:val="04A0"/>
      </w:tblPr>
      <w:tblGrid>
        <w:gridCol w:w="4320"/>
        <w:gridCol w:w="4320"/>
      </w:tblGrid>
      <w:tr>
        <w:tc>
          <w:tcPr>
            <w:tcW w:type="dxa" w:w="4320"/>
          </w:tcPr>
          <w:p>
            <w:r>
              <w:rPr>
                <w:b/>
              </w:rPr>
              <w:t>FOR THE YEAR ENDED JUNE 30, 2025</w:t>
            </w:r>
          </w:p>
        </w:tc>
        <w:tc>
          <w:tcPr>
            <w:tcW w:type="dxa" w:w="4320"/>
          </w:tcPr>
          <w:p>
            <w:r>
              <w:rPr>
                <w:b/>
              </w:rPr>
            </w:r>
          </w:p>
        </w:tc>
      </w:tr>
      <w:tr>
        <w:tc>
          <w:tcPr>
            <w:tcW w:type="dxa" w:w="4320"/>
          </w:tcPr>
          <w:p>
            <w:r>
              <w:t>Component Unit</w:t>
            </w:r>
          </w:p>
        </w:tc>
        <w:tc>
          <w:tcPr>
            <w:tcW w:type="dxa" w:w="4320"/>
          </w:tcPr>
          <w:p>
            <w:r/>
          </w:p>
        </w:tc>
      </w:tr>
      <w:tr>
        <w:tc>
          <w:tcPr>
            <w:tcW w:type="dxa" w:w="4320"/>
          </w:tcPr>
          <w:p>
            <w:r>
              <w:t>John A. Logan College</w:t>
            </w:r>
          </w:p>
        </w:tc>
        <w:tc>
          <w:tcPr>
            <w:tcW w:type="dxa" w:w="4320"/>
          </w:tcPr>
          <w:p>
            <w:r>
              <w:t>John A. Logan College Foundation</w:t>
            </w:r>
          </w:p>
        </w:tc>
      </w:tr>
      <w:tr>
        <w:tc>
          <w:tcPr>
            <w:tcW w:type="dxa" w:w="4320"/>
          </w:tcPr>
          <w:p>
            <w:r>
              <w:t>Revenues</w:t>
            </w:r>
          </w:p>
        </w:tc>
        <w:tc>
          <w:tcPr>
            <w:tcW w:type="dxa" w:w="4320"/>
          </w:tcPr>
          <w:p>
            <w:r/>
          </w:p>
        </w:tc>
      </w:tr>
      <w:tr>
        <w:tc>
          <w:tcPr>
            <w:tcW w:type="dxa" w:w="4320"/>
          </w:tcPr>
          <w:p>
            <w:r>
              <w:t>Operating Revenues:</w:t>
            </w:r>
          </w:p>
        </w:tc>
        <w:tc>
          <w:tcPr>
            <w:tcW w:type="dxa" w:w="4320"/>
          </w:tcPr>
          <w:p>
            <w:r/>
          </w:p>
        </w:tc>
      </w:tr>
      <w:tr>
        <w:tc>
          <w:tcPr>
            <w:tcW w:type="dxa" w:w="4320"/>
          </w:tcPr>
          <w:p>
            <w:r>
              <w:t>Student Tuition and Fees, Net of Scholarships and</w:t>
            </w:r>
          </w:p>
        </w:tc>
        <w:tc>
          <w:tcPr>
            <w:tcW w:type="dxa" w:w="4320"/>
          </w:tcPr>
          <w:p>
            <w:r/>
          </w:p>
        </w:tc>
      </w:tr>
      <w:tr>
        <w:tc>
          <w:tcPr>
            <w:tcW w:type="dxa" w:w="4320"/>
          </w:tcPr>
          <w:p>
            <w:r>
              <w:t>Allowances of $6,619,514 $ 3,923,330 $ - Contributions of Financial Assets - 972,828 Contributions of Nonfinancial Assets - 441,521 Auxiliary Enterprise Revenue 1,247,069 - Other 465,826 61,863 Total Operating Revenues 5,636,225 1,476,212</w:t>
            </w:r>
          </w:p>
        </w:tc>
        <w:tc>
          <w:tcPr>
            <w:tcW w:type="dxa" w:w="4320"/>
          </w:tcPr>
          <w:p>
            <w:r/>
          </w:p>
        </w:tc>
      </w:tr>
      <w:tr>
        <w:tc>
          <w:tcPr>
            <w:tcW w:type="dxa" w:w="4320"/>
          </w:tcPr>
          <w:p>
            <w:r>
              <w:t>Expenses</w:t>
            </w:r>
          </w:p>
        </w:tc>
        <w:tc>
          <w:tcPr>
            <w:tcW w:type="dxa" w:w="4320"/>
          </w:tcPr>
          <w:p>
            <w:r/>
          </w:p>
        </w:tc>
      </w:tr>
      <w:tr>
        <w:tc>
          <w:tcPr>
            <w:tcW w:type="dxa" w:w="4320"/>
          </w:tcPr>
          <w:p>
            <w:r>
              <w:t>Operating Expenses:</w:t>
            </w:r>
          </w:p>
        </w:tc>
        <w:tc>
          <w:tcPr>
            <w:tcW w:type="dxa" w:w="4320"/>
          </w:tcPr>
          <w:p>
            <w:r/>
          </w:p>
        </w:tc>
      </w:tr>
      <w:tr>
        <w:tc>
          <w:tcPr>
            <w:tcW w:type="dxa" w:w="4320"/>
          </w:tcPr>
          <w:p>
            <w:r>
              <w:t>Instruction 11,860,486 105,000 Academic Support 3,434,277 - Student Services 4,003,982 1,545,616 Public Service/Continuing Education 3,524,087 - Operation and Maintenance of Plant 5,762,250 - Institutional Support 9,497,182 191,168 Auxiliary Enterprise 1,838,859 - Scholarships, Student Grants, and Waivers 5,017,935 - Depreciation and amortization 3,872,793 - Total Operating Expenses 48,811,851 1,841,784</w:t>
            </w:r>
          </w:p>
        </w:tc>
        <w:tc>
          <w:tcPr>
            <w:tcW w:type="dxa" w:w="4320"/>
          </w:tcPr>
          <w:p>
            <w:r/>
          </w:p>
        </w:tc>
      </w:tr>
      <w:tr>
        <w:tc>
          <w:tcPr>
            <w:tcW w:type="dxa" w:w="4320"/>
          </w:tcPr>
          <w:p>
            <w:r>
              <w:t>Operating Income (Loss) (43,175,626) (365,572)</w:t>
            </w:r>
          </w:p>
        </w:tc>
        <w:tc>
          <w:tcPr>
            <w:tcW w:type="dxa" w:w="4320"/>
          </w:tcPr>
          <w:p>
            <w:r/>
          </w:p>
        </w:tc>
      </w:tr>
      <w:tr>
        <w:tc>
          <w:tcPr>
            <w:tcW w:type="dxa" w:w="4320"/>
          </w:tcPr>
          <w:p>
            <w:r>
              <w:t>Non-Operating Revenues (Expenses)</w:t>
            </w:r>
          </w:p>
        </w:tc>
        <w:tc>
          <w:tcPr>
            <w:tcW w:type="dxa" w:w="4320"/>
          </w:tcPr>
          <w:p>
            <w:r/>
          </w:p>
        </w:tc>
      </w:tr>
      <w:tr>
        <w:tc>
          <w:tcPr>
            <w:tcW w:type="dxa" w:w="4320"/>
          </w:tcPr>
          <w:p>
            <w:r>
              <w:t>Property Taxes 16,912,602 - Corporate Personal Property Replacement Taxes 856,341 - State Grants and Contracts 12,381,740 - Federal Grants and Contracts 9,905,727 - Nongovernmental Gifts, Grants, and Bequests 1,332,583 - On-Behalf Revenues - SURS &amp; CIP 6,929,451 - Investment Income 1,621,895 361,335 Bond Premium Amortization (Interest Expense), Net (552,122) - Realized Capital Gains (Losses) - (21,249) Unrealized Capital Gains (Losses) - 840,580 Total Non-Operating Revenues (Expenses) 49,388,217 1,180,666</w:t>
            </w:r>
          </w:p>
        </w:tc>
        <w:tc>
          <w:tcPr>
            <w:tcW w:type="dxa" w:w="4320"/>
          </w:tcPr>
          <w:p>
            <w:r/>
          </w:p>
        </w:tc>
      </w:tr>
      <w:tr>
        <w:tc>
          <w:tcPr>
            <w:tcW w:type="dxa" w:w="4320"/>
          </w:tcPr>
          <w:p>
            <w:r>
              <w:t>Income before Capital Contributions 6,212,591 815,094</w:t>
            </w:r>
          </w:p>
        </w:tc>
        <w:tc>
          <w:tcPr>
            <w:tcW w:type="dxa" w:w="4320"/>
          </w:tcPr>
          <w:p>
            <w:r/>
          </w:p>
        </w:tc>
      </w:tr>
      <w:tr>
        <w:tc>
          <w:tcPr>
            <w:tcW w:type="dxa" w:w="4320"/>
          </w:tcPr>
          <w:p>
            <w:r>
              <w:t>Capital Contributions 2,464,608 -</w:t>
            </w:r>
          </w:p>
        </w:tc>
        <w:tc>
          <w:tcPr>
            <w:tcW w:type="dxa" w:w="4320"/>
          </w:tcPr>
          <w:p>
            <w:r/>
          </w:p>
        </w:tc>
      </w:tr>
      <w:tr>
        <w:tc>
          <w:tcPr>
            <w:tcW w:type="dxa" w:w="4320"/>
          </w:tcPr>
          <w:p>
            <w:r>
              <w:t>Change in Net Position 8,677,199 815,094</w:t>
            </w:r>
          </w:p>
        </w:tc>
        <w:tc>
          <w:tcPr>
            <w:tcW w:type="dxa" w:w="4320"/>
          </w:tcPr>
          <w:p>
            <w:r/>
          </w:p>
        </w:tc>
      </w:tr>
      <w:tr>
        <w:tc>
          <w:tcPr>
            <w:tcW w:type="dxa" w:w="4320"/>
          </w:tcPr>
          <w:p>
            <w:r>
              <w:t>Net Position, July 1, 2024 (as restated) 56,756,618 10,822,804</w:t>
            </w:r>
          </w:p>
        </w:tc>
        <w:tc>
          <w:tcPr>
            <w:tcW w:type="dxa" w:w="4320"/>
          </w:tcPr>
          <w:p>
            <w:r/>
          </w:p>
        </w:tc>
      </w:tr>
      <w:tr>
        <w:tc>
          <w:tcPr>
            <w:tcW w:type="dxa" w:w="4320"/>
          </w:tcPr>
          <w:p>
            <w:r>
              <w:t>Net Position, June 30, 2025 $ 65,433,817 $ 11,637,898</w:t>
            </w:r>
          </w:p>
        </w:tc>
        <w:tc>
          <w:tcPr>
            <w:tcW w:type="dxa" w:w="4320"/>
          </w:tcPr>
          <w:p>
            <w:r/>
          </w:p>
        </w:tc>
      </w:tr>
    </w:tbl>
    <w:p/>
    <w:p>
      <w:pPr>
        <w:pStyle w:val="ListNumber"/>
      </w:pPr>
      <w:r>
        <w:t>9</w:t>
      </w:r>
    </w:p>
    <w:tbl>
      <w:tblPr>
        <w:tblStyle w:val="TableGrid"/>
        <w:tblW w:type="auto" w:w="0"/>
        <w:tblLook w:firstColumn="1" w:firstRow="1" w:lastColumn="0" w:lastRow="0" w:noHBand="0" w:noVBand="1" w:val="04A0"/>
      </w:tblPr>
      <w:tblGrid>
        <w:gridCol w:w="8640"/>
      </w:tblGrid>
      <w:tr>
        <w:tc>
          <w:tcPr>
            <w:tcW w:type="dxa" w:w="8640"/>
          </w:tcPr>
          <w:p>
            <w:r>
              <w:rPr>
                <w:b/>
              </w:rPr>
              <w:t>STATEMENT OF CASH FLOWS FOR THE YEAR ENDED JUNE 30, 2025</w:t>
            </w:r>
          </w:p>
        </w:tc>
      </w:tr>
      <w:tr>
        <w:tc>
          <w:tcPr>
            <w:tcW w:type="dxa" w:w="8640"/>
          </w:tcPr>
          <w:p>
            <w:r>
              <w:t>Cash Flows from Operating Activities</w:t>
            </w:r>
          </w:p>
        </w:tc>
      </w:tr>
      <w:tr>
        <w:tc>
          <w:tcPr>
            <w:tcW w:type="dxa" w:w="8640"/>
          </w:tcPr>
          <w:p>
            <w:r>
              <w:t>Tuition and Fees $ 4,728,949 Payments to Suppliers (10,514,471) Payments to and Benefits for Employees (29,508,435) Auxiliary Enterprise Charges 1,247,069 Other Receipts 319,735 Net Cash Provided (Used) by Operating Activities (33,727,153)</w:t>
            </w:r>
          </w:p>
        </w:tc>
      </w:tr>
      <w:tr>
        <w:tc>
          <w:tcPr>
            <w:tcW w:type="dxa" w:w="8640"/>
          </w:tcPr>
          <w:p>
            <w:r>
              <w:t>Cash Flows from Noncapital Financing Activities</w:t>
            </w:r>
          </w:p>
        </w:tc>
      </w:tr>
      <w:tr>
        <w:tc>
          <w:tcPr>
            <w:tcW w:type="dxa" w:w="8640"/>
          </w:tcPr>
          <w:p>
            <w:r>
              <w:t>Property Taxes 16,964,431 Corporate Personal Property Replacement Taxes 924,956 Grants, Contracts, Gifts, and Bequests 20,858,361 Net Cash Provided (Used) by Noncapital Financing Activities 38,747,748</w:t>
            </w:r>
          </w:p>
        </w:tc>
      </w:tr>
      <w:tr>
        <w:tc>
          <w:tcPr>
            <w:tcW w:type="dxa" w:w="8640"/>
          </w:tcPr>
          <w:p>
            <w:r>
              <w:t>Cash Flows from Capital and Related Financing Activities</w:t>
            </w:r>
          </w:p>
        </w:tc>
      </w:tr>
      <w:tr>
        <w:tc>
          <w:tcPr>
            <w:tcW w:type="dxa" w:w="8640"/>
          </w:tcPr>
          <w:p>
            <w:r>
              <w:t>Capital Grants, Contracts, Gifts, and Bequests 4,762,442 Principal Paid on Bonds (4,360,000) Principal Paid on Lease Liabilities (41,633) Principal Paid on SBITAs (124,746) Interest Paid on Debt (676,347) Purchases of Capital Assets (8,291,523) Net Cash Provided (Used) by Capital and Related Financing Activities (8,731,807)</w:t>
            </w:r>
          </w:p>
        </w:tc>
      </w:tr>
      <w:tr>
        <w:tc>
          <w:tcPr>
            <w:tcW w:type="dxa" w:w="8640"/>
          </w:tcPr>
          <w:p>
            <w:r>
              <w:t>Cash Flows from Investing Activities</w:t>
            </w:r>
          </w:p>
        </w:tc>
      </w:tr>
      <w:tr>
        <w:tc>
          <w:tcPr>
            <w:tcW w:type="dxa" w:w="8640"/>
          </w:tcPr>
          <w:p>
            <w:r>
              <w:t>Interest Income 1,621,895 Net Cash Provided (Used) by Investing Activities 1,621,895</w:t>
            </w:r>
          </w:p>
        </w:tc>
      </w:tr>
      <w:tr>
        <w:tc>
          <w:tcPr>
            <w:tcW w:type="dxa" w:w="8640"/>
          </w:tcPr>
          <w:p>
            <w:r>
              <w:t>Net Increase (Decrease) in Cash and Cash Equivalents (2,089,317)</w:t>
            </w:r>
          </w:p>
        </w:tc>
      </w:tr>
      <w:tr>
        <w:tc>
          <w:tcPr>
            <w:tcW w:type="dxa" w:w="8640"/>
          </w:tcPr>
          <w:p>
            <w:r>
              <w:t>Cash and Cash Equivalents, July 1, 2024 42,380,762</w:t>
            </w:r>
          </w:p>
        </w:tc>
      </w:tr>
      <w:tr>
        <w:tc>
          <w:tcPr>
            <w:tcW w:type="dxa" w:w="8640"/>
          </w:tcPr>
          <w:p>
            <w:r>
              <w:t>Cash and Cash Equivalents, June 30, 2025 $ 40,291,445</w:t>
            </w:r>
          </w:p>
        </w:tc>
      </w:tr>
      <w:tr>
        <w:tc>
          <w:tcPr>
            <w:tcW w:type="dxa" w:w="8640"/>
          </w:tcPr>
          <w:p>
            <w:r>
              <w:t>Reconciliation of Operating Income (Loss) to Net</w:t>
            </w:r>
          </w:p>
        </w:tc>
      </w:tr>
      <w:tr>
        <w:tc>
          <w:tcPr>
            <w:tcW w:type="dxa" w:w="8640"/>
          </w:tcPr>
          <w:p>
            <w:r>
              <w:t>Cash Provided (Used) by Operating Activities:</w:t>
            </w:r>
          </w:p>
        </w:tc>
      </w:tr>
      <w:tr>
        <w:tc>
          <w:tcPr>
            <w:tcW w:type="dxa" w:w="8640"/>
          </w:tcPr>
          <w:p>
            <w:r>
              <w:t>Operating Income (Loss) $ (43,175,626) Adjustments to Reconcile Operating Income (Loss) to</w:t>
            </w:r>
          </w:p>
        </w:tc>
      </w:tr>
      <w:tr>
        <w:tc>
          <w:tcPr>
            <w:tcW w:type="dxa" w:w="8640"/>
          </w:tcPr>
          <w:p>
            <w:r>
              <w:t>Net Cash Provided (Used) by Operating Activities:</w:t>
            </w:r>
          </w:p>
        </w:tc>
      </w:tr>
      <w:tr>
        <w:tc>
          <w:tcPr>
            <w:tcW w:type="dxa" w:w="8640"/>
          </w:tcPr>
          <w:p>
            <w:r>
              <w:t>On-Behalf - SURS &amp; CIP 6,929,451 Depreciation Expense 3,872,793 Loss on Disposed Capital Assets 21,347 Change in Assets, Liabilities, and Deferred Outflows (Inflows):</w:t>
            </w:r>
          </w:p>
        </w:tc>
      </w:tr>
      <w:tr>
        <w:tc>
          <w:tcPr>
            <w:tcW w:type="dxa" w:w="8640"/>
          </w:tcPr>
          <w:p>
            <w:r>
              <w:t>Tuition and Fees Receivables (net) 767,771 Other Receivables 179,921 Inventories (9,495) Prepaid Expenses (141,737) Net College OPEB-Related Deferred Outflows/Inflows 795,899 Net CIP OPEB-Related Deferred Outflows/Inflows (1,922,191) Pension Related Deferred Outflows 19,208 Net OPEB Liability (1,258,342) Accounts Payable 791,988 Accrued Expenses (309,976) Deferred Tuition and Fees (17,958) Refundable Advances (270,206) Net Cash Provided (Used) by Operating Activities $ (33,727,153)</w:t>
            </w:r>
          </w:p>
        </w:tc>
      </w:tr>
      <w:tr>
        <w:tc>
          <w:tcPr>
            <w:tcW w:type="dxa" w:w="8640"/>
          </w:tcPr>
          <w:p>
            <w:r>
              <w:t>Noncash Capital and Related Financing Activities</w:t>
            </w:r>
          </w:p>
        </w:tc>
      </w:tr>
      <w:tr>
        <w:tc>
          <w:tcPr>
            <w:tcW w:type="dxa" w:w="8640"/>
          </w:tcPr>
          <w:p>
            <w:r>
              <w:t>During the year ended June 30, 2025, the College entered into three new subscription-based information technology arrangements (SBITAs) as detailed in Note 12. The total cost of these SBITAs was $2,155,269, with a related subscription liability of $1,645,796 recorded at commencement of these SBITAs. A cash downpayment of $509,473 was made on these SBITAs.</w:t>
            </w:r>
          </w:p>
        </w:tc>
      </w:tr>
    </w:tbl>
    <w:p/>
    <w:p>
      <w:pPr>
        <w:pStyle w:val="ListNumber"/>
      </w:pPr>
      <w:r>
        <w:t>10</w:t>
      </w:r>
    </w:p>
    <w:tbl>
      <w:tblPr>
        <w:tblStyle w:val="TableGrid"/>
        <w:tblW w:type="auto" w:w="0"/>
        <w:tblLook w:firstColumn="1" w:firstRow="1" w:lastColumn="0" w:lastRow="0" w:noHBand="0" w:noVBand="1" w:val="04A0"/>
      </w:tblPr>
      <w:tblGrid>
        <w:gridCol w:w="8640"/>
      </w:tblGrid>
      <w:tr>
        <w:tc>
          <w:tcPr>
            <w:tcW w:type="dxa" w:w="8640"/>
          </w:tcPr>
          <w:p>
            <w:r>
              <w:rPr>
                <w:b/>
              </w:rPr>
              <w:t>NOTES TO FINANCIAL STATEMENTS</w:t>
            </w:r>
          </w:p>
        </w:tc>
      </w:tr>
    </w:tbl>
    <w:p/>
    <w:p>
      <w:r>
        <w:t>JUNE 30, 2025 NOTE 1: SUMMARY OF SIGNIFICANT ACCOUNTING POLICIES John A. Logan College, Community College District No. 530 (the College) is organized under the Illinois Public Community College Act with partial funding by the Illinois Community College Board. The College encompasses parts of five counties in Southern Illinois. The accounting policies of the College conform to accounting principles generally accepted in the United States of America (GAAP) as applicable to colleges and universities as well as those prescribed by the Illinois Community College Board (ICCB). The College reports are based on all applicable Government Accounting Standards Board (GASB) pronouncements. The following is a summary of the more significant accounting policies followed by the College. A. Reporting Entity The accompanying financial statements include all entities for which the elected, eight-member Board of Trustees of the College has financial accountability. The College has developed criteria to determine whether other entities are component units of the College. Component units are legally separate organizations for which the elected officials of the College are financially accountable. The College would be considered financially accountable if it appoints a voting majority of the organization’s governing body and (1) it is able to impose its will (significantly influence the programs, projects, activities, or level of services performed or provided by the organization) on the organization or (2) there is a potential for the organization to provide specific financial benefits to, or impose specific financial burdens on, the College (i.e., entitled to or can access the organization’s resources, is legally obligated or has otherwise assumed the obligation to finance deficits of, or provide financial support to the organization, or is obligated in some manner for the debt of the organization). If an organization is fiscally dependent on the College, the College is considered financially accountable regardless of whether the organization has (1) a separately elected governing board, (2) a governing board appointed by a higher level of government, or (3) a jointly appointed board. Additionally, organizations that raise and hold economic resources for the direct benefit of the College are considered to be component units. Based on the foregoing criteria, the following organization is considered to be a component unit and is discretely presented in the basic financial statements. The John A. Logan College Foundation (the Foundation) is a legally separate, tax-exempt component unit of the College. The Foundation acts primarily as a fundraising organization to supplement the resources that are available to the College. The Foundation is governed by a separate board of directors and consists of graduates and friends of the College. Although the College does not control the timing or amount of receipts from the Foundation, the resources, or income thereon, which the Foundation holds and invests are restricted for the benefit of the College, its students, and its programs. Because the restricted resources held by the Foundation can only be used by, or for the benefit of, the College, the Foundation is considered to be a component unit of the College.</w:t>
      </w:r>
    </w:p>
    <w:p>
      <w:pPr>
        <w:pStyle w:val="ListNumber"/>
      </w:pPr>
      <w:r>
        <w:t>11</w:t>
      </w:r>
    </w:p>
    <w:p>
      <w:pPr>
        <w:pStyle w:val="Heading2"/>
      </w:pPr>
      <w:r>
        <w:t>NOTES TO FINANCIAL STATEMENTS (CONTINUED)</w:t>
      </w:r>
    </w:p>
    <w:p>
      <w:r>
        <w:t>JUNE 30, 2025 NOTE 1: SUMMARY OF SIGNIFICANT ACCOUNTING POLICIES (CONTINUED) A. Reporting Entity (Concluded) The Foundation is a private nonprofit organization that reports its financial results under Financial Accounting Standards Board (FASB) Statements. Most significant to the Foundation’s operations and reporting model is FASB Accounting Standards Codification 958-205, Presentation of Financial Statements for Not-For-Profit Entities. As such, certain revenue recognition criteria and presentation differ from GASB revenue recognition criteria and presentation. No modifications have been made to the Foundation’s financial information in the College’s financial reporting entity for these differences; however, significant note disclosures (see Component Unit Notes 1W &amp; 18) to the Foundation’s financial statements have been incorporated into the College’s notes to the financial statements. Separate financial statements for the Foundation can be obtained from the Foundation office at 700 Logan College Drive, Carterville, IL 62918. B. Measurement Focus, Basis of Accounting, and Financial Statement Presentation As a public institution, the College is considered a special-purpose government under the provisions of GASB Statement No. 35, Basic Financial Statements – and Management’s Discussion and Analysis – for Public Colleges and Universities – An Amendment of GASB Statement No. 34 . The College records revenue in part from tuition, fees, and other charges for services to external users, and, accordingly, has chosen to present its financial statements using the reporting model for special-purpose governments engaged in business-type activities. This model allows for all financial information of the College to be reported in a single column in each of the financial statements, accompanied by a separate column for its discretely presented component unit. All significant internal activity between funds has been eliminated from these financial statements. The accompanying financial statements have been prepared using the economic resources measurement focus and the accrual basis of accounting in accordance with accounting principles generally accepted in the United States of America. Revenues from exchange transactions are recorded when earned and expenses are recorded when a liability is incurred, regardless of the timing of related cash flows. Intergovernmental revenues, such as federal, state, and local grants, and state shared revenues generally meet the definition of non-exchange transactions and are accounted for as non-operating revenues, with the exception of intergovernmental revenues used for capital assets which are accounted for as capital contributions. Revenue from these sources is recognized when all applicable eligibility requirements have been met. Eligibility requirements include timing requirements, which specify the year when the resources are required to be used or the fiscal year when use is first permitted; matching requirements, in which the College must provide local resources to be used for a specific purpose; and expenditure requirements, in which the resources are provided to the College on a reimbursement basis. Receivables are reported for these amounts for which revenue has been recognized but the related payments have not been received.</w:t>
      </w:r>
    </w:p>
    <w:p>
      <w:pPr>
        <w:pStyle w:val="ListNumber"/>
      </w:pPr>
      <w:r>
        <w:t>12</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1: SUMMARY OF SIGNIFICANT ACCOUNTING POLICIES (CONTINUED) B. Measurement Focus, Basis of Accounting, and Financial Statement Presentation (Concluded) Property tax revenues are reported in accordance with National Council on Governmental Accounting (NCGA) Interpretation No. 3, Revenue Recognition – Property Taxes, GASB Statement No. 33, Accounting and Financial Reporting for Nonexchange Transactions, and GASB Interpretation No. 5, Property Tax Revenue Recognition in Governmental Funds. Consequently, under the accrual basis of accounting, property tax revenue is recognized in the period for which the taxes are levied. Property tax receivables are reported when the College has an enforceable legal claim to the taxes, which is considered to be the lien date. The accounting and reporting policies of the College conform to generally accepted accounting principles applicable to government units and Illinois community colleges. The GASB is the accepted standard setting body for establishing accounting and financial reporting principles. These authoritative pronouncements are consistent with the accounting practices prescribed or permitted by the Illinois Community College Board (ICCB), as set forth in the ICCB Fiscal Management Manual. The following is a summary of the more significant policies. C. Budgets Although the College adopts an expanded operational budget, the budget legally required by the Illinois Community College Board contains only a statement of cash on hand at the beginning of the fiscal year, an estimate of the cash expected to be received during such fiscal year from all sources, an estimate of the expenditures contemplated for such fiscal year, and a statement of the estimated cash expected to be on hand at the end of such year.</w:t>
            </w:r>
          </w:p>
        </w:tc>
      </w:tr>
    </w:tbl>
    <w:p/>
    <w:p>
      <w:r>
        <w:t>D. Estimates The preparation of financial statements in conformity with accounting principles generally accepted in the United States of America requires the use of management’s estimates and assumptions that affect certain reported amounts and disclosures. Accordingly, actual results may differ from those estimates.</w:t>
      </w:r>
    </w:p>
    <w:p>
      <w:pPr>
        <w:pStyle w:val="ListNumber"/>
      </w:pPr>
      <w:r>
        <w:t>13</w:t>
      </w:r>
    </w:p>
    <w:p>
      <w:pPr>
        <w:pStyle w:val="Heading2"/>
      </w:pPr>
      <w:r>
        <w:t>NOTES TO FINANCIAL STATEMENTS (CONTINUED)</w:t>
      </w:r>
    </w:p>
    <w:p>
      <w:r>
        <w:t>JUNE 30, 2025 NOTE 1: SUMMARY OF SIGNIFICANT ACCOUNTING POLICIES (CONTINUED) E. Cash and Cash Equivalents Cash includes deposits held at banks and small amounts of cash held for change funds. Cash equivalents include deposits held in the Illinois Funds Money Market Fund due to its liquidity and/or short-term nature. The College’s investment policy allows for cash deposits to be invested in accordance with those securities allowed for by statute. Chapter 122, Section 103.47 of the Illinois Public Community College Act and Chapter 85, Sections 901-907 of the Investment of the Public Funds Act allow current operating funds, special funds, interest and sinking funds, and other funds belonging to or in the custody of a community college, including restricted and non-restricted funds, to be invested in U.S. Treasury and U.S. Agencies, repurchase agreements, certificates of deposit, the Illinois School District Liquid Asset Fund Plus, and the Illinois Treasurers’ Investment Pool (Illinois Funds). The Illinois Funds is an investment pool managed by the State of Illinois, Office of the Treasurer, which allows governments in the State to pool their funds for investment purposes. Illinois Funds is not registered with the Securities and Exchange Commission (SEC) as an investment company. Illinois Funds does meet all the criteria in GASB Statement No. 79, paragraph 4, which allows the reporting of its investments at amortized cost. Investments in Illinois Funds are valued at share price, which is the price the investment could be sold for. The College’s investment policy reduces the risk related to cash deposits through requiring deposits in excess of the federally insured amount to be appropriately collateralized to the extent of 110% and such collateralization shall be evidenced by an approved written agreement. F. Restricted Cash and Cash Equivalents Cash that is externally restricted to make debt service payments, or to purchase or construct capital or other noncurrent assets, is classified as noncurrent assets in the Statement of Net Position. G. Receivables Receivables consist of tuition and fee charges to students, auxiliary enterprise fees for services provided to students, faculty, and staff, the majority of each residing in Illinois, and property tax receivables. These receivables are recorded net of estimated uncollectible amounts, which is based on management’s assessment of collectability of specific students’ accounts and the aging of the accounts receivable. If the actual defaults are higher than the historical experience, management’s estimates of the recoverability of amounts due could be adversely affected. All accounts, or portions thereof, deemed to be uncollectible or to require an excessive collection cost are written-off to the allowance for doubtful accounts. Receivables also include amounts due from various state and federal granting agencies. These amounts are considered to be 100% collectible.</w:t>
      </w:r>
    </w:p>
    <w:p>
      <w:pPr>
        <w:pStyle w:val="ListNumber"/>
      </w:pPr>
      <w:r>
        <w:t>14</w:t>
      </w:r>
    </w:p>
    <w:p>
      <w:pPr>
        <w:pStyle w:val="Heading2"/>
      </w:pPr>
      <w:r>
        <w:t>NOTES TO FINANCIAL STATEMENTS (CONTINUED)</w:t>
      </w:r>
    </w:p>
    <w:p>
      <w:r>
        <w:t>JUNE 30, 2025 NOTE 1: SUMMARY OF SIGNIFICANT ACCOUNTING POLICIES (CONTINUED) H. Inventories Inventories are stated at the lower of cost or net realizable value on the first in, first out (FIFO) basis. Inventories represent items held for resale by the College’s auxiliary enterprises. I. Prepaid Expenses Prepaid expenses represent current expenditures which benefit future periods. J. Capital Assets Capital assets include property, improvements to property, vehicles, and equipment. Capital assets are defined by the College as assets with an initial cost of $5,000 or more and an estimated useful life in excess of one year. Certain assets have higher capitalization thresholds, including leasehold improvements of $20,000, site of $25,000, building improvements and site improvements of $50,000, and buildings of $100,000. Such assets are recorded at historical cost or estimated historical cost if purchased or constructed. Donated capital assets are recorded at estimated fair market value at the date of donation. The costs of normal maintenance and repairs that do not add to the value of an asset or materially extend the asset’s life are not capitalized. Major outlays for capital assets and improvements are capitalized as projects are constructed. Depreciation is computed by the straight-line method over the estimated useful lives as follows: Buildings and Improvements 50 Years Leasehold Improvements 15 Years Site Improvements 10 Years Equipment 8 Years Vehicles 5 Years Computer Software 3 Years K. Leases The College is a lessee for a noncancelable lease of copiers. The College recognizes a lease liability and an intangible right-to-use lease asset in the government-wide financial statements. At the commencement of a lease, the College initially measure the lease liability at the present value of payments expected to be made during the lease term. Subsequently, the lease liability is reduced by the principal portion of the lease payments made. The right-to-use asset is initially measured as the initial amount of the lease liability adjusted for lease payments made at or before the lease commencement date, plus certain initial direct costs. Right-to-use lease assets useful lives are determined by the length of the lease period and are amortized using the straight-line method. The College has elected to use a capitalization threshold for leased assets of $25,000.</w:t>
      </w:r>
    </w:p>
    <w:p>
      <w:pPr>
        <w:pStyle w:val="ListNumber"/>
      </w:pPr>
      <w:r>
        <w:t>15</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bl>
    <w:p/>
    <w:p>
      <w:r>
        <w:t>NOTE 1: SUMMARY OF SIGNIFICANT ACCOUNTING POLICIES (CONTINUED) K. Leases (Concluded) Key estimates and judgments include how the College determines the discount rate and lease term it uses to discount the expected lease payments to present value. The College uses the market rate of interest at lease inception as the discount rate for leases. Lease term includes the noncancelable period of the lease. Lease payments included in the measurement of the lease payable are composed of fixed payments as outlined in the lease agreements. L. Subscription-Based Information Technology Agreements (SBITAs) The College obtains the right to use vendor’s information technology software through various long-term contracts. The College recognizes a subscription liability and an intangible right-to-use subscription asset in the government-wide financial statements. At the commencement of a subscription, the College initially measures the subscription liability at the present value of payments expected to be made during the subscription term. Subsequently, the subscription liability is reduced by the principal portion of the subscription payments made. The right-to- use asset is initially measured as the initial amount of the subscription liability adjusted for subscription payments made at or before the subscription commencement date, plus certain initial implementation costs. Right-to-use subscription assets’ useful lives are determined by the length of the subscription period and are amortized using the straight-line method. The College has elected to use a capitalization threshold for subscription assets of $25,000. Key estimates and judgments include how the College determines the discount rate and subscription term it uses to discount the expected subscription payments to present value. The College uses the market rate of interest at the subscription’s inception as the discount rate. The subscription’s term includes the noncancelable period of the subscription. Subscription payments included in the measurement of the subscription payable are composed of fixed payments as outlined in the subscription. M. Amortization of Debt Issuance Premiums The College amortizes debt issuance premiums by the straight-line method over the period the related debt issue is outstanding. The debt premium is amortized by using the same interest rate as the related debt issue, and the current period amortization is shown as a decrease to current period interest expense. Bond issuance costs are expensed at the time debt is issued.</w:t>
      </w:r>
    </w:p>
    <w:p>
      <w:pPr>
        <w:pStyle w:val="ListNumber"/>
      </w:pPr>
      <w:r>
        <w:t>16</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1: SUMMARY OF SIGNIFICANT ACCOUNTING POLICIES (CONTINUED)</w:t>
            </w:r>
          </w:p>
        </w:tc>
      </w:tr>
    </w:tbl>
    <w:p/>
    <w:p>
      <w:r>
        <w:t>N. Deferred Outflows (Inflows) of Resources Deferred outflows are defined under GASB Statement No. 63 as a consumption of net assets by the College that is applicable to a future reporting period and should be reported as having a similar impact on net position as assets. For the College, pension payments related to employees with federally funded positions and made subsequent to the pension liability measurement date are considered to be deferred outflows in accordance with GASB Statement No. 71, Pension Transition for Contributions Made Subsequent to the Measurement Date – An Amendment of GASB Statement No. 68. Changes in assumptions and differences between expected and actual experience of the College’s other postemployment benefit (OPEB) plans are considered to be deferred outflows. Changes in proportion and differences between employer contributions and actual contributions and its proportionate share of contributions to the plan relative to all employers is also considered to be a deferred outflow. Deferred outflows also include losses on debt refundings, which are amortized over the remaining life of the new debt, or refunded debt, whichever is shorter. Deferred inflows of resources are defined under GASB Statement No. 63 as acquisitions of net assets that are applicable to a future reporting period and should be reported as having a similar impact on net position as liabilities. At June 30, 2025, deferred inflows of resources included tax levies accrued that are levied for use in the next fiscal year, student tuition and fees that were collected or accrued for the next academic year, the unamortized portion of the net difference between projected and actual earnings on OPEB investments, and the unrecognized portion of revenues from a long-term vendor contract. O. Net Position The College’s net position is classified as follows: Net Investment in Capital Assets – This represents the College’s total investment in capital assets, net of accumulated depreciation and reduced by the outstanding balances of any bonds, mortgages, notes, or other borrowings that are attributable to the acquisition, construction, or improvement of those assets. Restricted – This represents assets/resources that are legally or contractually obligated to be spent in accordance with restrictions imposed by external third parties, reduced by liabilities and deferred inflow resources related to those assets. Sources of restricted revenue include federal, state, and private grants and contracts. Externally restricted funds may be utilized only in accordance with the purpose established by the source of such funds and are in contrast with unrestricted funds over which the Board of Trustees retains full control to use in achieving any of its institutional purposes. When both restricted and unrestricted resources are available for use, it is the College’s policy to use restricted resources first, then unrestricted resources when they are needed. Unrestricted – This represents unrestricted assets/resources derived from student tuition and fees, state appropriations, and sales and services of educational departments and auxiliary enterprises. These resources are used for transactions relating to the educational and general operations of the College and may be used at the discretion of the Board of Trustees to meet current expenses for any lawful purpose.</w:t>
      </w:r>
    </w:p>
    <w:p>
      <w:pPr>
        <w:pStyle w:val="ListNumber"/>
      </w:pPr>
      <w:r>
        <w:t>17</w:t>
      </w:r>
    </w:p>
    <w:p>
      <w:pPr>
        <w:pStyle w:val="Heading2"/>
      </w:pPr>
      <w:r>
        <w:t>NOTES TO FINANCIAL STATEMENTS (CONTINUED)</w:t>
      </w:r>
    </w:p>
    <w:p>
      <w:r>
        <w:t>JUNE 30, 2025 NOTE 1: SUMMARY OF SIGNIFICANT ACCOUNTING POLICIES (CONTINUED) P. Classification of Revenues and Expenses Operating revenue includes activities that have the characteristics of exchange transactions such as (1) student tuition and fees, net of scholarship allowances, and (2) sales and services of auxiliary enterprises. Non-operating revenue includes activities that have the characteristics of non-exchange transactions, such as (1) local property taxes, (2) state appropriations, (3) most federal, state, and local grants and contracts and federal appropriations, and (4) gifts and contributions. Operating expenses are those expenses directly attributable to the operations of the College. Incidental expenses are classified as non-operating expenses. Q. Scholarship Discounts and Allowances Student tuition and fee revenues, and certain other revenues from students, are reported net of scholarship discounts and allowances in the Statement of Revenues, Expenses, and Changes in Net Position. Scholarship discounts and allowances are the difference between the stated charge for goods and services provided by the College, and the amount that is paid by students or third parties making payments on the students’ behalf. Certain governmental grants, such as Pell grants, and other federal, state, or nongovernmental programs, are recorded as nonoperating revenues in the College’s financial statements. To the extent that revenues from such programs are used to satisfy tuition and fees and other student charges, the College has recorded a scholarship discount and allowance. R. Property Taxes The 2024 property tax extension has been deferred to comply with GASB Statement No. 33 since it was levied to finance activities of the 2025/2026 academic year. In accordance with these guidelines, property tax revenue is to be recognized in the period the levy is intended to finance. The College must file its tax levy ordinance by the last Tuesday in December of each year. The College’s property tax is levied each year on all taxable real property located within the District. These taxes attach an enforceable lien on real property as of January 1 and are payable in two installments; due dates vary by county. The College receives significant property tax receipts from July through November. S. Federal Financial Assistance Programs The College participates in federally funded PELL Grants, FSEOG Grants, and Federal Work-Study. Federal programs are audited in accordance with Title 2 U.S. Code of Federal Regulations (CFR) Part 200, Uniform Administrative Requirements, Cost Principles, and Audit Requirements for Federal Awards (Uniform Guidance), Federal Awarding Agency Regulatory Implementation of Office Management and Budget’s Uniform Administrative Requirements, Cost Principles, and Audit Requirements for Federal Awards, Audit of States, Local Governments and Non-Profit Organizations, and the Compliance Supplement.</w:t>
      </w:r>
    </w:p>
    <w:p>
      <w:pPr>
        <w:pStyle w:val="ListNumber"/>
      </w:pPr>
      <w:r>
        <w:t>18</w:t>
      </w:r>
    </w:p>
    <w:p>
      <w:pPr>
        <w:pStyle w:val="Heading2"/>
      </w:pPr>
      <w:r>
        <w:t>NOTES TO FINANCIAL STATEMENTS (CONTINUED)</w:t>
      </w:r>
    </w:p>
    <w:p>
      <w:r>
        <w:t>JUNE 30, 2025 NOTE 1: SUMMARY OF SIGNIFICANT ACCOUNTING POLICIES (CONTINUED) T. Pensions For purposes of measuring the net pension liability, deferred outflows of resources and deferred inflows of resources related to pensions, and pension expense, information about the plan net position of the State Universities Retirement System (SURS or the System) and additions to/deductions from SURS plan net position has been determined on the same basis as they are reported by SURS. For this purpose, benefit payments (including refunds of employee contributions) are recognized when due and payable in accordance with the benefit terms. Investments are reported at fair value. For financial reporting purposes, the State of Illinois (State) and its public universities and community colleges are under a special funding situation. A special funding situation exists when a non-employer entity (the State) is legally responsible for making contributions directly to a pension plan that is used to provide pensions to the employees of another entity (John A. Logan College) and the non-employer (the State) is the only entity with a legal obligation to make contributions directly to a pension plan. John A. Logan College recognizes its proportionate share of the State’s pension expense relative to John A. Logan College’s employees as non-operating revenue and pension expense, with the expense further allocated to the related function by employees. U. Other Postemployment Benefits (OPEB) For purposes of measuring the other postemployment benefits (OPEB) obligations, deferred outflows of resources and deferred inflows of resources related to OPEB, and benefits expense, information about the net position of the OPEB plans and additions to and deductions from the OPEB plans’ net positions have been determined on the same basis as they are reported by the OPEB plans. For this purpose, benefit payments (including refunds of employee contributions) are recognized when due and payable in accordance with the benefit terms. Investments are reported at fair value. V. Insurance Coverage The College is exposed to various risks of loss including, but not limited to torts; theft of, damage to, and destruction of assets; errors and omissions; injuries to employees; and natural disasters. To limit exposure to these risks, the College has obtained coverage from commercial insurance companies for all major programs: property, liability, and workmen’s compensation. Expenditures and claims are recognized in the year in which they are notified of the loss. During the current fiscal year, there were no significant reductions in insurance coverage. Also, there have been no settlements which have exceeded insurance coverage during the past three fiscal years. W. Component Unit The Foundation is required to report information regarding its financial position and activities based on the existence or absence of donor or grantor-imposed restrictions. Accordingly, net assets and changes therein are classified and reported as follows:</w:t>
      </w:r>
    </w:p>
    <w:p>
      <w:pPr>
        <w:pStyle w:val="ListNumber"/>
      </w:pPr>
      <w:r>
        <w:t>19</w:t>
      </w:r>
    </w:p>
    <w:p>
      <w:pPr>
        <w:pStyle w:val="Heading2"/>
      </w:pPr>
      <w:r>
        <w:t>NOTES TO FINANCIAL STATEMENTS (CONTINUED)</w:t>
      </w:r>
    </w:p>
    <w:p>
      <w:r>
        <w:t>JUNE 30, 2025 NOTE 1: SUMMARY OF SIGNIFICANT ACCOUNTING POLICIES (CONCLUDED) W. Component Unit (Concluded) Net Assets Without Donor Restrictions – Net assets available for use in general operations and not subject to donor (or certain grantor) restrictions. Net Assets With Donor Restrictions – Net assets subject to donor (or certain grantor) imposed restrictions. Some donor-imposed restrictions are temporary in nature, such as those that will be met by the passage of time or other events specified by the donor. Other donor-imposed restrictions are perpetual in nature, where the donor stipulates that resources be maintained in perpetuity. Donor-imposed restrictions are released when a restriction expires, that is, when the stipulated time has elapsed, when the stipulated purpose for which the resource was restricted has been fulfilled, or both. X. Subsequent Events The College has evaluated subsequent events through February 19, 2026, the date which the financial statements were available to be issued. NOTE 2: CASH AND CASH EQUIVALENTS At June 30, 2025, the carrying amount and bank balance of the College’s deposits is as follows: Carrying Bank Amount Balance Cash and Cash Equivalents Cash Accounts $ 19,183,812 $ 19,278,934 US Treasury Obligations 2,202,806 2,202,806 Illinois Funds Money Market Fund 18,904,827 18,898,239 Total Cash and Cash Equivalents $ 40,291,445 $ 40,379,979 Carrying Bank Amount Balance Current Assets: Cash and Cash Equivalents $ 16,125,463 $ 16,213,997 Noncurrent Assets: Restricted Cash and Cash Equivalents 24,165,982 24,165,982 $ 40,291,445 $ 40,379,979 Custodial Credit Risk With respect to deposits, custodial credit risk refers to the risk that, in the event of a bank failure, the College’s deposits may not be returned to it. The College’s investment policy limits the exposure to deposit custodial credit risk by requiring all deposits in excess of Federal Deposit Insurance Corporation (FDIC) insurable limits to be secured by collateral and held at an independent, third-party institution, in the name of the College. As of June 30, 2025, the bank balances of the College’s deposits with financial institutions were all fully insured or collateralized by securities pledged by the College’s financial institution’s agent in the College’s name. There were no investments exposed to custodial credit risk.</w:t>
      </w:r>
    </w:p>
    <w:p>
      <w:pPr>
        <w:pStyle w:val="ListNumber"/>
      </w:pPr>
      <w:r>
        <w:t>20</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2: CASH AND CASH EQUIVALENTS (CONCLUDED) Interest Rate Risk Interest rate risk is the risk that the fair value of investments will decrease as a result of an increase in interest rates. The College’s investment policy does not limit the maturities of investments as a means of managing its exposure to fair value losses arising from increasing interest rates. The Illinois Funds are measured at net asset value (NAV) amortized cost. There are no limitations on redemption frequency or redemption notice. Redemption frequency is daily and redemption notice period is one day. Credit Risk Credit risk is the risk that the College will not recover its investments due to the ability of the counterparty to fulfill its obligation. Illinois statutes authorize the College to invest in obligations of the US Treasury and US Agencies, interest-bearing savings accounts, interest-bearing time deposits, money market mutual funds registered under the Investment Company Act of 1940 (limited to US Government obligations), shares issued savings and loan associations (provided the investments are insured by the FSLIC, short term discount obligations issued by the FNMA), share accounts of certain credit unions, investments in the Illinois Funds Money Market Fund, and certain repurchase agreements. The College is also authorized to invest in short-term obligations of corporations organized in the United States with assets exceeding $500,000 if such obligations are rated at the time of purchase within the three highest classifications established by two or more standard rating services, the obligations mature within 180 days, no more than 1/3 of the total average balances from all funds available at the end of each month is invested in such obligations at any time, and such purchases do not exceed 10% of a corporation’s outstanding obligations. Investments may be made only in banks, which are insured by the FDIC. The College’s investment policy does not further limit its investment choices. The College’s investments in the Illinois Funds Money Market Fund were rated AAAmmf by Fitch’s at June 30, 2025.</w:t>
            </w:r>
          </w:p>
        </w:tc>
      </w:tr>
      <w:tr>
        <w:tc>
          <w:tcPr>
            <w:tcW w:type="dxa" w:w="8640"/>
          </w:tcPr>
          <w:p>
            <w:r>
              <w:t>Concentration of Credit Risk Concentration of credit risk is the risk of loss attributed to the magnitude of investment in any one single issuer. The College’s investment policy limits the amount the College may invest in any one issuer to 75% of the College’s total invested funds. The College is considered to have a concentration of credit risk of its investments if any one single issuer is greater than 5% of the total fixed income investments. At June 30, 2025, the College did not have a concentration of credit risk.</w:t>
            </w:r>
          </w:p>
        </w:tc>
      </w:tr>
    </w:tbl>
    <w:p/>
    <w:p>
      <w:pPr>
        <w:pStyle w:val="ListNumber"/>
      </w:pPr>
      <w:r>
        <w:t>21</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3: CAPITAL ASSETS The following is a schedule of changes in capital asset categories for the fiscal year ended June 30, 2025. The investment in capital assets is determined by reducing historical cost by accumulated depreciation and amortization. Depreciation and amortization expense for June 30, 2025 was $3,872,793. Primary Government/Business-Type Activity Balance Balance 07/01/24 Additions Deletions 06/30/25 Historical Cost:</w:t>
            </w:r>
          </w:p>
        </w:tc>
      </w:tr>
      <w:tr>
        <w:tc>
          <w:tcPr>
            <w:tcW w:type="dxa" w:w="8640"/>
          </w:tcPr>
          <w:p>
            <w:r>
              <w:t>Tangible Capital Assets, Not Being Depreciated:</w:t>
            </w:r>
          </w:p>
        </w:tc>
      </w:tr>
      <w:tr>
        <w:tc>
          <w:tcPr>
            <w:tcW w:type="dxa" w:w="8640"/>
          </w:tcPr>
          <w:p>
            <w:r>
              <w:t>Site $ 346,427 $ - $ - $ 346,427 Construction in Progress 1,069,623 5,989,317 (125,239) 6,933,701 1,416,050 5,989,317 (125,239) 7,280,128 Tangible Capital Assets, Being Depreciated:</w:t>
            </w:r>
          </w:p>
        </w:tc>
      </w:tr>
      <w:tr>
        <w:tc>
          <w:tcPr>
            <w:tcW w:type="dxa" w:w="8640"/>
          </w:tcPr>
          <w:p>
            <w:r>
              <w:t>Site Improvements 6,341,773 - - 6,341,773 Buildings and Improvements 95,445,503 376,594 - 95,822,097 Equipment 11,252,335 1,541,376 (336,959) 12,456,752 113,039,611 1,917,970 (336,959) 114,620,622 Intangible Capital Assets, Being Amortized: Right to Use Leased Equipment 211,084 - - 211,084 Right to Use SBITAs 539,805 2,155,270 - 2,695,075 750,889 2,155,270 - 2,906,159 Total Capital Assets: 115,206,550 10,062,557 (462,198) 124,806,909 Less Accumulated Depreciation for</w:t>
            </w:r>
          </w:p>
        </w:tc>
      </w:tr>
      <w:tr>
        <w:tc>
          <w:tcPr>
            <w:tcW w:type="dxa" w:w="8640"/>
          </w:tcPr>
          <w:p>
            <w:r>
              <w:t>Tangible Capital Assets:</w:t>
            </w:r>
          </w:p>
        </w:tc>
      </w:tr>
    </w:tbl>
    <w:p/>
    <w:p>
      <w:r>
        <w:t>Site Improvements 2,434,926 513,990 - 2,948,916 Buildings and Improvements 44,412,060 1,860,025 - 46,272,085 Equipment 8,195,476 781,055 (315,614) 8,660,917 55,042,462 3,155,070 (315,614) 57,881,918 Less Accumulated Amortization for Intangible Capital Assets: Right to Use Leased Equipment 68,319 41,633 - 109,952 Right to Use SBITAs 145,383 676,090 - 821,473 213,702 717,723 - 931,425 Capital Assets, Net $ 59,950,386 $ 65,993,566 22</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4: ACCRUED EXPENSES Accrued expenses consisted of the following at June 30, 2025: Accrued Payroll $ 1,614,748 Accrued Benefits 38,248 Accrued Expenses - Other 58,600 $ 1,711,596 NOTE 5: CHANGES IN GENERAL LONG-TERM DEBT The following is a summary of long-term debt transactions of the College for the year ended June 30, 2025: Balance July 1, 2024, Balance as restated Additions Deletions June 30, 2025 Bonds Payable $ 18,890,000 $ - $ 4,360,000 $ 14,530,000 Bond Premium 855,484 - 158,950 696,534 Accrued Compensated Absences (net change) 3,647,592 31,654 - 3,679,246 Lease Liability 142,765 - 41,633 101,132 Subscription Liability 316,664 1,645,796 124,746 1,837,714 Net OPEB Liability (net change) 13,103,785 - 1,258,342 11,845,443 Total $ 36,956,290 $ 1,677,450 $ 5,943,671 $ 32,690,069 Amount Due Within One Year Bonds Payable $ 4,495,000 Accrued Compensated Absences 1,019,366 Lease Liability 47,362 Subscription Liability 574,430 Total $ 6,136,158</w:t>
            </w:r>
          </w:p>
        </w:tc>
      </w:tr>
    </w:tbl>
    <w:p/>
    <w:p>
      <w:pPr>
        <w:pStyle w:val="ListNumber"/>
      </w:pPr>
      <w:r>
        <w:t>23</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6: BONDS PAYABLE Bonds payable consists of the following at June 30, 2025: On February 29, 2016 the College issued $5,035,000 of Taxable General Obligation Community College Bonds, Series 2016B to refund the College’s Series 2015 bonds. Principal is payable December 1 st of each year beginning on December 1, 2016. Interest is payable on these bonds on June 1 st and December 1 st of each year at 3.00% to 3.75%. The final maturity date of these bonds is December 1, 2030. The money is restricted for making future OPEB contributions.</w:t>
            </w:r>
          </w:p>
        </w:tc>
      </w:tr>
      <w:tr>
        <w:tc>
          <w:tcPr>
            <w:tcW w:type="dxa" w:w="8640"/>
          </w:tcPr>
          <w:p>
            <w:r>
              <w:t>2,315,000 On April 25, 2017, the College issued $13,265,000 of General Obligation Community College Bonds, Series 2017A to advance refund the College’s Series 2007 bonds. Principal is payable December 1 st of each year beginning on December 1, 2023. Interest is payable on these bonds on June 1 st and December 1 st of each year at 3.25% to 5.00%. The final maturity date of these bonds is December 1, 2029.</w:t>
            </w:r>
          </w:p>
        </w:tc>
      </w:tr>
      <w:tr>
        <w:tc>
          <w:tcPr>
            <w:tcW w:type="dxa" w:w="8640"/>
          </w:tcPr>
          <w:p>
            <w:r>
              <w:t>$</w:t>
            </w:r>
          </w:p>
        </w:tc>
      </w:tr>
      <w:tr>
        <w:tc>
          <w:tcPr>
            <w:tcW w:type="dxa" w:w="8640"/>
          </w:tcPr>
          <w:p>
            <w:r>
              <w:t>10,125,000 On December 29, 2020, the College issued General Obligation Community College Bonds, Series 2020A, which created an obligation against the College in order to pay off the General Obligation (Limited Tax) Debt Certificates, Series 2020A-D. $10,160,000 was the bond issue, of which $98,235 was bond issuance costs, $10,058,184 paid off the Debt Certificates, and $3,581 was deposited in College funds. Principal is payable December 1 st of each year beginning on December 1, 2021. Interest is payable on these bonds on June 1 st and December 1 st of each year at 1.15%. The final maturity date of these bonds is December 1, 2025.</w:t>
            </w:r>
          </w:p>
        </w:tc>
      </w:tr>
      <w:tr>
        <w:tc>
          <w:tcPr>
            <w:tcW w:type="dxa" w:w="8640"/>
          </w:tcPr>
          <w:p>
            <w:r>
              <w:t>2,090,000 Total Bonds Payable $ 14,530,000</w:t>
            </w:r>
          </w:p>
        </w:tc>
      </w:tr>
    </w:tbl>
    <w:p/>
    <w:p>
      <w:pPr>
        <w:pStyle w:val="ListNumber"/>
      </w:pPr>
      <w:r>
        <w:t>24</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 NOTE 6: BONDS PAYABLE (CONCLUDED) At June 30, 2025, the College’s future cash flow requirements of long-term debt obligations by fiscal year were as follows: Year Ending June 30, Principal Interest Total 2026 4,495,000 519,278 5,014,278 2027 2,520,000 390,879 2,910,879 2028 2,645,000 267,988 2,912,988 2029 2,775,000 138,355 2,913,355 2030 1,675,000 43,779 1,718,779 2031 420,000 7,875 427,875 14,530,000 $ 1,368,154 $ 15,898,154 Unamortized Bond Premium 696,534 $ 15,226,534 NOTE 7: DEFINED BENEFIT PENSION PLAN General Information about the Pension Plan Plan Description</w:t>
            </w:r>
          </w:p>
        </w:tc>
      </w:tr>
      <w:tr>
        <w:tc>
          <w:tcPr>
            <w:tcW w:type="dxa" w:w="8640"/>
          </w:tcPr>
          <w:p>
            <w:r>
              <w:t>John A. Logan College, Community College District No. 530 contributes to the State Universities Retirement System of Illinois (SURS), a cost-sharing multiple-employer defined benefit plan with a special funding situation whereby the State of Illinois (the State) makes substantially all actuarially determined required contributions on behalf of the participating employers. SURS was established July 21, 1941, to provide retirement annuities and other benefits for staff members and employees of state universities and community colleges, certain affiliated organizations, and certain other state educational and scientific agencies and for survivors, dependents, and other beneficiaries of such employees. SURS is considered a component unit of the State’s financial reporting entity and is included in the State’s Comprehensive Annual Financial Report (CAFR) as a pension trust fund. SURS is governed by Chapter 40, Act 5, Article 15 of the Illinois Compiled Statutes . SURS issues a publicly available financial report that includes financial statements and required supplementary information. That report may be obtained by accessing the website at www.surs.org . Benefits Provided</w:t>
            </w:r>
          </w:p>
        </w:tc>
      </w:tr>
    </w:tbl>
    <w:p/>
    <w:p>
      <w:r>
        <w:t>A traditional benefit plan was established in 1941. Public Act 90-0448 enacted effective January 1, 1998, established an alternative defined benefit program known as the portable benefit package. Tier I of the traditional and portable plan Tier 1 refers to members that began participation prior to January 1, 2011. Public Act 96-0889 revised the traditional and portable benefit plans for members who began participation on or after January 1, 2011, and who do not have other eligible reciprocal system service. The revised plan is referred to as Tier 2. New employees are allowed six months after their date of hire to make an irrevocable election whether to participate in either the traditional or portable benefit plans. A summary of the benefit provisions as of June 30, 2024, can be found in the Financial Section of SURS ACFR.</w:t>
      </w:r>
    </w:p>
    <w:p>
      <w:pPr>
        <w:pStyle w:val="ListNumber"/>
      </w:pPr>
      <w:r>
        <w:t>25</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7: DEFINED BENEFIT PENSION PLAN (CONTINUED) General Information about the Pension Plan (Concluded) Contributions The State is primarily responsible for funding SURS on behalf of the individual employers at an actuarially determined amount. Public Act 88-0593 provides a statutory funding plan consisting of two parts: (i) a ramp-up period from 1996 to 2010 and (ii) a period of contributions equal to a level percentage of the payroll of active members within SURS to reach 90% of the total Actuarial Accrued Liability by the end of fiscal year 2045. Employer contributions from “trust, federal, and other funds” are provided under Section 15-155(b) of the Illinois Pension Code and require employers to pay contributions which are sufficient to cover the accruing normal costs on behalf of applicable employees. The employer normal cost for fiscal year 2024 and fiscal year 2025, respectively, was 12.53% and 11.98% of employee payroll. The normal cost is equal to the value of current year’s pension benefit and does not include any allocation for the past unfunded liability or interest on the unfunded liability. Plan members are required to contribute 8.0% of their annual covered salary except for police officers and fire fighters who contribute 9.5% of their earnings. The contribution requirements of plan members and employers are established and may be amended by the State’s General Assembly. Participating employers make contributions toward separately financed specific liabilities under Section 15.139.5(e) of the Illinois Pension Code (relating to contributions payable due to the employment of “affected annuitants” or specific return to work annuitants), Section 15.155(g) (relating to contributions payable due to earning increases exceeding 6% during the final rate of earnings period), and Section 15- 155(j-5) (relating to contributions payable due to earnings exceeding the salary set for the Governor). Pension Liabilities, Expense, and Deferred Outflows of Resources and Deferred Inflows of Resources Related to Defined Benefit Pensions Net Pension Liability The net pension liability (NPL) was measured as of June 30, 2024. At June 30, 2024, SURS defined benefit plan reported a NPL of $30,230,907,727.</w:t>
            </w:r>
          </w:p>
        </w:tc>
      </w:tr>
    </w:tbl>
    <w:p/>
    <w:p>
      <w:r>
        <w:t>Employer Proportionate Share of Net Pension Liability The amount of the proportionate share of the NPL to be recognized for the College is $0. The proportionate share of the State’s NPL associated with the College is $137,237,740 or 0.4540%. John A. Logan College’s proportionate share changed by (0.0103%) from 0.4643% since the last measurement date on June 30, 2023. This amount is not recognized in the College’s financial statements. The NPL and total pension liability as of June 30, 2024 was determined based on the June 30, 2023 actuarial evaluation rolled forward. The basis of allocation used in the proportionate share of the net pension liability is the actual reported pensionable contributions made to SURS defined benefit plan during fiscal year 2023.</w:t>
      </w:r>
    </w:p>
    <w:p>
      <w:pPr>
        <w:pStyle w:val="ListNumber"/>
      </w:pPr>
      <w:r>
        <w:t>26</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7: DEFINED BENEFIT PENSION PLAN (CONTINUED) Pension Liabilities, Expense, and Deferred Outflows of Resources and Deferred Inflows of Resources Related to Defined Benefit Pensions (Continued) Defined Benefit Pension Expense</w:t>
            </w:r>
          </w:p>
        </w:tc>
      </w:tr>
      <w:tr>
        <w:tc>
          <w:tcPr>
            <w:tcW w:type="dxa" w:w="8640"/>
          </w:tcPr>
          <w:p>
            <w:r>
              <w:t>For the year ending June 30, 2024, SURS defined benefit plan reported a collective net pension expense of $1,996,285,670.</w:t>
            </w:r>
          </w:p>
        </w:tc>
      </w:tr>
      <w:tr>
        <w:tc>
          <w:tcPr>
            <w:tcW w:type="dxa" w:w="8640"/>
          </w:tcPr>
          <w:p>
            <w:r>
              <w:t>The employer proportionate share of collective defined benefit pension expense is recognized as nonoperating revenue with matching operating expense (compensation and benefits) in the financial statements. The basis of allocation used in the proportionate share of collective pension expense is the actual reported pensionable contributions made to SURS defined benefit plan during fiscal year 2023. As a result, the College recognized revenue and defined benefit pension expense of $9,062,438 from this special funding situation during the year ended June 30, 2025. Deferred Outflows of Resources and Deferred Inflows of Resources Related to Defined Benefit Pensions</w:t>
            </w:r>
          </w:p>
        </w:tc>
      </w:tr>
    </w:tbl>
    <w:p/>
    <w:p>
      <w:r>
        <w:t>Employer Proportionate Share of Defined Benefit Pension Expense</w:t>
      </w:r>
    </w:p>
    <w:p>
      <w:r>
        <w:t>Deferred outflows of resources are the consumption of net position by SURS that is applicable to future reporting periods. Conversely, deferred inflows of resources are the acquisition of net position by SURS that is applicable to future reporting periods.</w:t>
      </w:r>
    </w:p>
    <w:p>
      <w:r>
        <w:t>SURS Collective Deferred Outflows and Deferred Inflows of Resources by Sources:</w:t>
      </w:r>
    </w:p>
    <w:p>
      <w:r>
        <w:t>Deferred Outflows</w:t>
      </w:r>
    </w:p>
    <w:tbl>
      <w:tblPr>
        <w:tblStyle w:val="TableGrid"/>
        <w:tblW w:type="auto" w:w="0"/>
        <w:tblLook w:firstColumn="1" w:firstRow="1" w:lastColumn="0" w:lastRow="0" w:noHBand="0" w:noVBand="1" w:val="04A0"/>
      </w:tblPr>
      <w:tblGrid>
        <w:gridCol w:w="4320"/>
        <w:gridCol w:w="4320"/>
      </w:tblGrid>
      <w:tr>
        <w:tc>
          <w:tcPr>
            <w:tcW w:type="dxa" w:w="4320"/>
          </w:tcPr>
          <w:p>
            <w:r>
              <w:rPr>
                <w:b/>
              </w:rPr>
              <w:t>Deferred Inflows</w:t>
            </w:r>
          </w:p>
        </w:tc>
        <w:tc>
          <w:tcPr>
            <w:tcW w:type="dxa" w:w="4320"/>
          </w:tcPr>
          <w:p>
            <w:r>
              <w:rPr>
                <w:b/>
              </w:rPr>
            </w:r>
          </w:p>
        </w:tc>
      </w:tr>
      <w:tr>
        <w:tc>
          <w:tcPr>
            <w:tcW w:type="dxa" w:w="4320"/>
          </w:tcPr>
          <w:p>
            <w:r>
              <w:t>of Resources Difference between expected and actual experience $ 305,114,071 $ - Changes in assumptions 483,809,428 - Net difference between projected and actual earnings on pension plan investments</w:t>
            </w:r>
          </w:p>
        </w:tc>
        <w:tc>
          <w:tcPr>
            <w:tcW w:type="dxa" w:w="4320"/>
          </w:tcPr>
          <w:p>
            <w:r>
              <w:t>of Resources</w:t>
            </w:r>
          </w:p>
        </w:tc>
      </w:tr>
      <w:tr>
        <w:tc>
          <w:tcPr>
            <w:tcW w:type="dxa" w:w="4320"/>
          </w:tcPr>
          <w:p>
            <w:r>
              <w:t>27,577,324 Total $</w:t>
            </w:r>
          </w:p>
        </w:tc>
        <w:tc>
          <w:tcPr>
            <w:tcW w:type="dxa" w:w="4320"/>
          </w:tcPr>
          <w:p>
            <w:r/>
          </w:p>
        </w:tc>
      </w:tr>
      <w:tr>
        <w:tc>
          <w:tcPr>
            <w:tcW w:type="dxa" w:w="4320"/>
          </w:tcPr>
          <w:p>
            <w:r>
              <w:t>788,923,499</w:t>
            </w:r>
          </w:p>
        </w:tc>
        <w:tc>
          <w:tcPr>
            <w:tcW w:type="dxa" w:w="4320"/>
          </w:tcPr>
          <w:p>
            <w:r/>
          </w:p>
        </w:tc>
      </w:tr>
    </w:tbl>
    <w:p/>
    <w:p>
      <w:pPr>
        <w:pStyle w:val="ListBullet"/>
      </w:pPr>
      <w:r>
        <w:t>-</w:t>
      </w:r>
    </w:p>
    <w:p>
      <w:r>
        <w:t>$ 27,577,324</w:t>
      </w:r>
    </w:p>
    <w:p>
      <w:pPr>
        <w:pStyle w:val="ListNumber"/>
      </w:pPr>
      <w:r>
        <w:t>27</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7: DEFINED BENEFIT PENSION PLAN (CONTINUED) Pension Liabilities, Expense, and Deferred Outflows of Resources and Deferred Inflows of Resources Related to Defined Benefit Pensions (Concluded) SURS Collective Deferred Outflows and Deferred Inflows of Resources by Year to be Recognized in Future Pension Expenses:</w:t>
            </w:r>
          </w:p>
        </w:tc>
      </w:tr>
      <w:tr>
        <w:tc>
          <w:tcPr>
            <w:tcW w:type="dxa" w:w="8640"/>
          </w:tcPr>
          <w:p>
            <w:r>
              <w:t>Net Deferred Outflows (Inflows)</w:t>
            </w:r>
          </w:p>
        </w:tc>
      </w:tr>
      <w:tr>
        <w:tc>
          <w:tcPr>
            <w:tcW w:type="dxa" w:w="8640"/>
          </w:tcPr>
          <w:p>
            <w:r>
              <w:t>of Resources Years ending June 30, 2025 $ 126,531,380 2026 756,545,086 2027 (49,545,529) 2028 (72,184,762) 2029 - Thereafter - Total $ 761,346,175 Employer Deferral of Fiscal Year June 30, 2025 Contributions The College paid $193,240 in federal, trust or grant contributions to SURS defined benefit pension plan during the year ended June 30, 2025. These contributions were made subsequent to the pension liability measurement date of June 30, 2024, and are recognized as deferred outflows of resources as of June 30, 2025. Assumptions and Other Inputs</w:t>
            </w:r>
          </w:p>
        </w:tc>
      </w:tr>
      <w:tr>
        <w:tc>
          <w:tcPr>
            <w:tcW w:type="dxa" w:w="8640"/>
          </w:tcPr>
          <w:p>
            <w:r>
              <w:t>Actuarial Assumptions</w:t>
            </w:r>
          </w:p>
        </w:tc>
      </w:tr>
      <w:tr>
        <w:tc>
          <w:tcPr>
            <w:tcW w:type="dxa" w:w="8640"/>
          </w:tcPr>
          <w:p>
            <w:r>
              <w:t>The actuarial assumptions used in the June 30, 2024 valuation were based on the results of an actuarial experience study for the period June 30, 2020 through June 30, 2023. The total pension liability in the June 30, 2024 actuarial valuation was determined using the following actuarial assumptions, applied to all periods included in the measurement:</w:t>
            </w:r>
          </w:p>
        </w:tc>
      </w:tr>
    </w:tbl>
    <w:p/>
    <w:p>
      <w:r>
        <w:t>Inflation 2.40% Salary increases 3.15% to 15%, including inflation Investment rate of return 6.50% Mortality rates were based on the Pub-2010 employee and retiree gender district tables with projected generational mortality and a separate mortality assumption for disabled participants.</w:t>
      </w:r>
    </w:p>
    <w:p>
      <w:pPr>
        <w:pStyle w:val="ListNumber"/>
      </w:pPr>
      <w:r>
        <w:t>28</w:t>
      </w:r>
    </w:p>
    <w:p>
      <w:pPr>
        <w:pStyle w:val="Heading2"/>
      </w:pPr>
      <w:r>
        <w:t>NOTES TO FINANCIAL STATEMENTS (CONTINUED)</w:t>
      </w:r>
    </w:p>
    <w:tbl>
      <w:tblPr>
        <w:tblStyle w:val="TableGrid"/>
        <w:tblW w:type="auto" w:w="0"/>
        <w:tblLook w:firstColumn="1" w:firstRow="1" w:lastColumn="0" w:lastRow="0" w:noHBand="0" w:noVBand="1" w:val="04A0"/>
      </w:tblPr>
      <w:tblGrid>
        <w:gridCol w:w="4320"/>
        <w:gridCol w:w="4320"/>
      </w:tblGrid>
      <w:tr>
        <w:tc>
          <w:tcPr>
            <w:tcW w:type="dxa" w:w="4320"/>
          </w:tcPr>
          <w:p>
            <w:r>
              <w:rPr>
                <w:b/>
              </w:rPr>
              <w:t>JUNE 30, 2025 NOTE 7: DEFINED BENEFIT PENSION PLAN (CONTINUED) Assumptions and Other Inputs (Continued) The long-term expected rate of return on pension plan investments was determined using a building-block method in which best-estimate ranges of expected future real rates of return (expected returns, net of pension plan investment expense and inflation) are developed for each major asset class. These ranges are combined to produce the long-term expected rate of return by weighting the expected future real rates of return by the target allocation percentage and by adding expected inflation. Best estimates of arithmetic real rates of return were adopted by the plan’s trustees after considering input from the plan’s investment consultants and actuary. For each major asset class that is included in the pension plan’s target asset allocation as of June 30, 2024, these best estimates are summarized in the following table:</w:t>
            </w:r>
          </w:p>
        </w:tc>
        <w:tc>
          <w:tcPr>
            <w:tcW w:type="dxa" w:w="4320"/>
          </w:tcPr>
          <w:p>
            <w:r>
              <w:rPr>
                <w:b/>
              </w:rPr>
            </w:r>
          </w:p>
        </w:tc>
      </w:tr>
      <w:tr>
        <w:tc>
          <w:tcPr>
            <w:tcW w:type="dxa" w:w="4320"/>
          </w:tcPr>
          <w:p>
            <w:r>
              <w:t>Target Allocation</w:t>
            </w:r>
          </w:p>
        </w:tc>
        <w:tc>
          <w:tcPr>
            <w:tcW w:type="dxa" w:w="4320"/>
          </w:tcPr>
          <w:p>
            <w:r>
              <w:t>Weighted Average Long-Term</w:t>
            </w:r>
          </w:p>
        </w:tc>
      </w:tr>
      <w:tr>
        <w:tc>
          <w:tcPr>
            <w:tcW w:type="dxa" w:w="4320"/>
          </w:tcPr>
          <w:p>
            <w:r>
              <w:t>Expected Real Rate of Return Traditional Growth – Global Public Equity 36.0% 7.13% Stabilized Growth Core Real Assets 8.0% 5.06% Public Credit Fixed Income 6.5% 4.10% Private Credit 2.5% 7.36% Non-Traditional Growth Private Equity 11.0% 10.92% Non-Core Real Assets 4.0% 9.09% Inflation Sensitive – US TIPS 5.0% 2.12% Principal Protection – Core Fixed Income 10.0% 1.34% Crisis Risk Offset Systematic Trend Following 10.0% 2.90% Alternative Risk Premia 3.0% 2.62% Long Duration 2.0% 2.84% Long Volatility/Tail Risk 2.0% (1.22%) Total 100% 5.63% Inflation 2.80% Expected Arithmetic Return 8.43%</w:t>
            </w:r>
          </w:p>
        </w:tc>
        <w:tc>
          <w:tcPr>
            <w:tcW w:type="dxa" w:w="4320"/>
          </w:tcPr>
          <w:p>
            <w:r>
              <w:t>Asset Class</w:t>
            </w:r>
          </w:p>
        </w:tc>
      </w:tr>
    </w:tbl>
    <w:p/>
    <w:p>
      <w:r>
        <w:t>Discount Rate A single discount rate of 6.35% was used to measure the total pension liability. This single discount rate was based on an expected rate of return on pension plan investments of 6.50% and a municipal bond rate of 3.97% (based on the Fidelity 20-Year Municipal GO AA Index as of June 30, 2024). The projection of cash flows used to determine this single discount rate were the amounts of contributions attributable to current plan members and assumed that plan member contributions will be made at the current contribution rate and that employer contributions will be made at rates equal to the statutory contribution rates under SURS funding policy. Based on these assumptions, the pension plan’s fiduciary net position and future contributions were sufficient to finance the benefit payments through the year 2075. As a result, the long-term expected rate of return on pension plan investments was applied to projected benefit payments through the year 2075, and the municipal bond rate was applied to all benefit payments after that date.</w:t>
      </w:r>
    </w:p>
    <w:p>
      <w:pPr>
        <w:pStyle w:val="ListNumber"/>
      </w:pPr>
      <w:r>
        <w:t>29</w:t>
      </w:r>
    </w:p>
    <w:p>
      <w:pPr>
        <w:pStyle w:val="Heading2"/>
      </w:pPr>
      <w:r>
        <w:t>NOTES TO FINANCIAL STATEMENTS (CONTINUED)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JUNE 30, 2025 NOTE 7: DEFINED BENEFIT PENSION PLAN (CONCLUDED) Assumptions and Other Inputs (Concluded) Sensitivity of SURS Net Pension Liability to Changes in the Discount Rate</w:t>
            </w:r>
          </w:p>
        </w:tc>
        <w:tc>
          <w:tcPr>
            <w:tcW w:type="dxa" w:w="2880"/>
          </w:tcPr>
          <w:p>
            <w:r>
              <w:rPr>
                <w:b/>
              </w:rPr>
            </w:r>
          </w:p>
        </w:tc>
        <w:tc>
          <w:tcPr>
            <w:tcW w:type="dxa" w:w="2880"/>
          </w:tcPr>
          <w:p>
            <w:r>
              <w:rPr>
                <w:b/>
              </w:rPr>
            </w:r>
          </w:p>
        </w:tc>
      </w:tr>
      <w:tr>
        <w:tc>
          <w:tcPr>
            <w:tcW w:type="dxa" w:w="2880"/>
          </w:tcPr>
          <w:p>
            <w:r>
              <w:t>Regarding the sensitivity of the net pension liability to changes in the single discount rate, the following presents the State’s net pension liability, calculated using a single discount rate of 6.35%, as well as what the State’s net pension liability would be if it were calculated using a single discount rate that is 1- percentage-point lower or 1-percentage-point-higher:</w:t>
            </w:r>
          </w:p>
        </w:tc>
        <w:tc>
          <w:tcPr>
            <w:tcW w:type="dxa" w:w="2880"/>
          </w:tcPr>
          <w:p>
            <w:r/>
          </w:p>
        </w:tc>
        <w:tc>
          <w:tcPr>
            <w:tcW w:type="dxa" w:w="2880"/>
          </w:tcPr>
          <w:p>
            <w:r/>
          </w:p>
        </w:tc>
      </w:tr>
      <w:tr>
        <w:tc>
          <w:tcPr>
            <w:tcW w:type="dxa" w:w="2880"/>
          </w:tcPr>
          <w:p>
            <w:r>
              <w:t>1% Decrease</w:t>
            </w:r>
          </w:p>
        </w:tc>
        <w:tc>
          <w:tcPr>
            <w:tcW w:type="dxa" w:w="2880"/>
          </w:tcPr>
          <w:p>
            <w:r>
              <w:t>Current Single Discount</w:t>
            </w:r>
          </w:p>
        </w:tc>
        <w:tc>
          <w:tcPr>
            <w:tcW w:type="dxa" w:w="2880"/>
          </w:tcPr>
          <w:p>
            <w:r>
              <w:t>1% Increase</w:t>
            </w:r>
          </w:p>
        </w:tc>
      </w:tr>
      <w:tr>
        <w:tc>
          <w:tcPr>
            <w:tcW w:type="dxa" w:w="2880"/>
          </w:tcPr>
          <w:p>
            <w:r>
              <w:t>Rate Assumption</w:t>
            </w:r>
          </w:p>
        </w:tc>
        <w:tc>
          <w:tcPr>
            <w:tcW w:type="dxa" w:w="2880"/>
          </w:tcPr>
          <w:p>
            <w:r/>
          </w:p>
        </w:tc>
        <w:tc>
          <w:tcPr>
            <w:tcW w:type="dxa" w:w="2880"/>
          </w:tcPr>
          <w:p>
            <w:r/>
          </w:p>
        </w:tc>
      </w:tr>
      <w:tr>
        <w:tc>
          <w:tcPr>
            <w:tcW w:type="dxa" w:w="2880"/>
          </w:tcPr>
          <w:p>
            <w:r>
              <w:t>7.35% $ 36,700,168,358 $ 30,230,907,727 $ 24,839,790,537</w:t>
            </w:r>
          </w:p>
        </w:tc>
        <w:tc>
          <w:tcPr>
            <w:tcW w:type="dxa" w:w="2880"/>
          </w:tcPr>
          <w:p>
            <w:r>
              <w:t>5.35%</w:t>
            </w:r>
          </w:p>
        </w:tc>
        <w:tc>
          <w:tcPr>
            <w:tcW w:type="dxa" w:w="2880"/>
          </w:tcPr>
          <w:p>
            <w:r>
              <w:t>6.35%</w:t>
            </w:r>
          </w:p>
        </w:tc>
      </w:tr>
    </w:tbl>
    <w:p/>
    <w:p>
      <w:r>
        <w:t>Additional information regarding the SURS basic financial statements, including the plan’s net position, can be found in SURS Comprehensive Annual Financial Report by accessing the website at www.SURS.org.</w:t>
      </w:r>
    </w:p>
    <w:p>
      <w:r>
        <w:t>NOTE 8: DEFINED CONTRIBUTION PENSION PLAN General Information about the Pension Plan Plan Description The College contributes to the Retirement Savings Plan (RSP) administered by the State Universities Retirement System (SURS), a cost-sharing multiple-employer defined contribution pension plan with a special funding situation whereby the State of Illinois (State) makes substantially all required contributions on behalf of the participating employers. SURS was established July 21, 1941, and provides retirement annuities and other benefits for staff members and employees of state universities and community colleges, certain affiliated organizations, and certain other state educational and scientific agencies and for survivors, dependents, and other beneficiaries of such employees. SURS is governed by Chapter 40, Act 5, Article 15 of the Illinois Compiled Statutes . SURS issues a publicly available financial report that includes financial statements and required supplementary information. That report may be obtained by accessing the website at www.surs.org. The RSP and its benefit terms were established and may be amended by the State’s General Assembly. Benefits Provided A defined contribution pension plan, originally called the Self-Managed Plan, was added to SURS benefit offerings as a result of Public Act 90-0448 enacted effective January 1, 1998. The plan was renamed the RSP effective September 1, 2020, after an extensive plan redesign. New employees are allowed six months after their date of hire to make an irrevocable election whether to participate in either the traditional or portable defined benefit pension plans or the RSP. A summary of the benefit provisions as of June 30, 2024, can be found in SURS Annual Comprehensive Financial Report- Notes to the Financial Statements.</w:t>
      </w:r>
    </w:p>
    <w:p>
      <w:pPr>
        <w:pStyle w:val="ListNumber"/>
      </w:pPr>
      <w:r>
        <w:t>30</w:t>
      </w:r>
    </w:p>
    <w:p>
      <w:pPr>
        <w:pStyle w:val="Heading2"/>
      </w:pPr>
      <w:r>
        <w:t>NOTES TO FINANCIAL STATEMENTS (CONTINUED)</w:t>
      </w:r>
    </w:p>
    <w:p>
      <w:r>
        <w:t>JUNE 30, 2025 NOTE 8: DEFINED CONTRIBUTION PENSION PLAN (CONCLUDED) General Information about the Pension Plan (Concluded) Contributions All employees who have elected to participate in the RSP are required to contribute 8.0% of their annual covered earnings. Section 15-158.2(h) of the Illinois Pension Code provides for an employer contribution to the RSP of 7.6% of employee earnings. The State is primarily responsible for contributing to the RSP on behalf of the individual employers. Employers are required to make the 7.6% contribution for employee earnings paid from “trust, federal, and other funds” as described in Section 15-155(b) of the Illinois Pension Code. The contribution requirements of plan members and employers were established and may be amended by the State’s General Assembly. Forfeitures Employees are not vested in employer contributions to the RSP until they have attained five years of service credit. Should an employee leave SURS-covered employment with less than five years of service credit, the portion of the employee’s RSP account designated as employer contributions is forfeited. Employees who later return to SURS-covered employment will have these forfeited employer contributions reinstated to their account, so long as the employee’s own contributions remain in the account. Forfeited employer contributions are managed by SURS and are used both to reinstate previously forfeited contributions and to fund a portion of the State’s contributions on behalf of the individual employers. The vesting and forfeiture provisions of the RSP were established and may be amended by the State’s General Assembly. Pension Expense Related to Defined Contribution Pensions Defined Contribution Pension Expense For the year ended June 30, 2024, the State’s contributions to the RSP on behalf of individual employers totaled $96,741,887. Of this amount, $89,857,115 was funded via an appropriation from the State and $6,884,772 was funded from previously forfeited contributions. Employer Proportionate Share of Defined Contribution Pension Expense The employer proportionate share of collective defined contribution pension expense is recognized as nonoperating revenue with matching operating expense (compensation and benefits) in the financial statements. The basis of allocation used in the proportionate share of collective defined contribution pension expense is the actual reported pensionable contributions made to the RSP during fiscal year 2024. The College’s share of pensionable contributions was 0.1597%. As a result, the College recognized revenue and defined contribution pension expense of $154,502 from this special funding situation during the year ended June 30, 2025, of which $10,995 constituted forfeitures.</w:t>
      </w:r>
    </w:p>
    <w:p>
      <w:pPr>
        <w:pStyle w:val="ListNumber"/>
      </w:pPr>
      <w:r>
        <w:t>31</w:t>
      </w:r>
    </w:p>
    <w:p>
      <w:pPr>
        <w:pStyle w:val="Heading2"/>
      </w:pPr>
      <w:r>
        <w:t>NOTES TO FINANCIAL STATEMENTS (CONTINUED)</w:t>
      </w:r>
    </w:p>
    <w:p>
      <w:r>
        <w:t>JUNE 30, 2025 NOTE 9: POSTEMPLOYMENT BENEFITS OTHER THAN PENSIONS The College participates in two postemployment benefit (OPEB) plans: the State of Illinois’ College Insurance Program (CIP) and an OPEB plan provided by the College. A. State of Illinois’ College Insurance Program Plan Description The College contributes to the Community College Health Insurance Security Fund (CCHISF) (also known as the College Insurance Program “CIP”) that was established under the State Employees Group Insurance Act of 1971, as amended, 5 ILCS 375/6.9(f), which became effective July 1, 1999. The CIP is a cost-sharing, multiple-employer defined benefit OPEB Trust Fund, which has a special funding situation as described in 40 ILCS 15/1.4. A non-employer (the State) is required by statute to contribute a defined percentage of participant payroll directly to the OPEB plan, which is administered through the trust. CIP has no component units and is not a component unit of any other entity. However, because CIP is not legally separate from the State of Illinois, the financials statements of the CIP are included in the financial statements of the State of Illinois as a pension (and other employee benefit) trust fund. This fund is a non-appropriated trust fund held outside the State Treasury, with the State Treasurer as custodian. Additions deposited into the Trust are for the sole purpose of providing health benefits to retirees, as established under the plan and associated administrative cost. Benefits Provided Through the trust the State provides health, dental, vision, and life insurance benefits for retirees and their dependents. Substantially all State employees become eligible for post-employment benefits if they eventually become annuitants of one of the State sponsored pension plans. Health, dental and vision benefits include basic benefits for annuitants and their dependents under the State’s self-insurance plan and insurance contracts currently in force. Annuitants may be required to contribute towards health, dental, and vision benefits with the amount based on factors such as date of retirement, years of credited service with the State, whether the annuitant is covered by Medicare, and whether the annuitant has chosen a managed health care plan. Annuitants who retired prior to January 1, 1998, and who are vested in the State Employees’ Retirement System do not contribute towards health, dental, and vision benefits. For annuitants who retire on or after January 1, 1998, the annuitant’s contribution amount is reduced five percent for each year of credited service with the State allowing those annuitants with twenty or more years of credited service to not have to contribute towards health, dental, and vision benefits. Annuitants also receive life insurance coverage equal to the annual salary of the last day of employment until age 60, at which time the benefit becomes $5,000.</w:t>
      </w:r>
    </w:p>
    <w:p>
      <w:pPr>
        <w:pStyle w:val="ListNumber"/>
      </w:pPr>
      <w:r>
        <w:t>32</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9: POSTEMPLOYMENT BENEFITS OTHER THAN PENSIONS (CONTINUED) A. State of Illinois’ College Insurance Program (Continued) Benefits Provided (Concluded) The State pays for a portion of the employer costs for the benefits provided. The total cost of the State’s portion of the health, dental, vision, and life insurance benefits of all members, including post- employment health, dental, vision, and life insurance benefits, is recognized as an expenditure by the State in the Illinois Comprehensive Annual Financial Report. The State finances the costs on a pay-as- you-go basis. The total costs incurred for health, dental, vision, and life insurance benefits are not separated by department or component unit for annuitants and their dependents nor active employees and the dependents. A summary of post-employment benefit provision, changes in benefit provisions, employee eligibility requirements including eligibility for vesting, and the authority under which benefit provisions are established are included as an integral part of the financial statements of the Department of Central Management Services. A copy of the financial statements of the Department of Central Management Services, may be obtained by writing to the Department of Central Management Services, Stratton Office Building, 401 South Spring Street, Springfield, IL 62706. Contributions The State Employees Group Insurance Act of 1971 (5 ILCS 375/6.10) requires every active contributor of the State Universities Retirement System (SURS), who is a full-time employee of a community college district or an association of community college boards, to make contributions to the plan at the rate of 0.5% of salary. The same section of statute requires every community college district or association of community college boards that is an employer under the SURS, to contribute to the plan an amount equal to 0.5% of the salary paid to its full-time employees who participate in the plan. The State Pension Funds Continuing Appropriation Act (40 ILCS15/1.4) requires the State to make an annual appropriation to the fund in an amount certified by the SURS Board of Trustees. The State Employees Group Insurance Act of 1971 (5 ILCS 375/6.9) requires the Director of the Department to determine the rates and premiums for annuitants and dependent beneficiaries and establish the cost-sharing parameter, as well as funding. At the option of the board of trustees, the college districts may pay all or part of the balance of the cost of coverage for retirees from the district. Administrative costs are paid by the CIP. At June 30, 2025, the College’s policy was not required to subsidize health insurance premiums of their retirees. Employers participating in a cost-sharing OPEB plan, and any non-employer contributing entities that meet the definition of a special funding situation, are required to recognize their proportionate share of the collective OPEBs amounts for the OPEB benefits provided to members through the CIP plan. During fiscal year 2025, the College recognized OPEB contributions of $169,688.</w:t>
            </w:r>
          </w:p>
        </w:tc>
      </w:tr>
    </w:tbl>
    <w:p/>
    <w:p>
      <w:pPr>
        <w:pStyle w:val="ListNumber"/>
      </w:pPr>
      <w:r>
        <w:t>33</w:t>
      </w:r>
    </w:p>
    <w:p>
      <w:pPr>
        <w:pStyle w:val="Heading2"/>
      </w:pPr>
      <w:r>
        <w:t>NOTES TO FINANCIAL STATEMENTS (CONTINUED)</w:t>
      </w:r>
    </w:p>
    <w:tbl>
      <w:tblPr>
        <w:tblStyle w:val="TableGrid"/>
        <w:tblW w:type="auto" w:w="0"/>
        <w:tblLook w:firstColumn="1" w:firstRow="1" w:lastColumn="0" w:lastRow="0" w:noHBand="0" w:noVBand="1" w:val="04A0"/>
      </w:tblPr>
      <w:tblGrid>
        <w:gridCol w:w="4320"/>
        <w:gridCol w:w="4320"/>
      </w:tblGrid>
      <w:tr>
        <w:tc>
          <w:tcPr>
            <w:tcW w:type="dxa" w:w="4320"/>
          </w:tcPr>
          <w:p>
            <w:r>
              <w:rPr>
                <w:b/>
              </w:rPr>
              <w:t>JUNE 30, 2025 NOTE 9: POSTEMPLOYMENT BENEFITS OTHER THAN PENSIONS (CONTINUED) A. State of Illinois’ College Insurance Program (Continued) OPEB Liabilities, OPEB Expense, and Deferred Outflows of Resources and Deferred Inflows of Resources Related to OPEB The collective net OPEB liability was measured as of June 30, 2024. At June 30, 2024, the CIP reported a net OPEB liability of $665,190,300. At June 30, 2024, the College reported a liability for its proportionate share of the net OPEB liability that is reflected as a reduction for State OPEB support provided to the College. The collective net OPEB liability was measured as of June 30, 2024, and the total OPEB liability used to calculate the collective net OPEB liability was determined by an actuarial valuation as of that date. The College’s proportion of the collective net OPEB liability was based on a projection of the College’s long-term share of contributions to the OPEB plan relative to the projected contributions of the College, actuarially determined. At June 30, 2024, the College’s proportion was $6,034,549 (0.907%), which was a decrease of 0.050% from its proportion measured as of June 30, 2023 of $6,758,784 (0.957%). The State’s support and total are for disclosure purposes only. The amount recognized by the College as its proportionate share of the net OPEB liability, the related State support, and the total portion of the net OPEB liability that was associated with the College were as follow: College’s proportionate share of the collective net OPEB liability $ 6,034,549 State’s proportionate share of the collective net OPEB liability associated with the employer 6,034,549 $ 12,069,098</w:t>
            </w:r>
          </w:p>
        </w:tc>
        <w:tc>
          <w:tcPr>
            <w:tcW w:type="dxa" w:w="4320"/>
          </w:tcPr>
          <w:p>
            <w:r>
              <w:rPr>
                <w:b/>
              </w:rPr>
            </w:r>
          </w:p>
        </w:tc>
      </w:tr>
      <w:tr>
        <w:tc>
          <w:tcPr>
            <w:tcW w:type="dxa" w:w="4320"/>
          </w:tcPr>
          <w:p>
            <w:r>
              <w:t>For the year ending June 30, 2025, the College recognized OPEB revenue and expense of ($2,287,489) for support provided on-behalf by the State. At June 30, 2025, the College reported deferred outflows of resources and deferred inflows of resources related to OPEB from the following sources:</w:t>
            </w:r>
          </w:p>
        </w:tc>
        <w:tc>
          <w:tcPr>
            <w:tcW w:type="dxa" w:w="4320"/>
          </w:tcPr>
          <w:p>
            <w:r/>
          </w:p>
        </w:tc>
      </w:tr>
      <w:tr>
        <w:tc>
          <w:tcPr>
            <w:tcW w:type="dxa" w:w="4320"/>
          </w:tcPr>
          <w:p>
            <w:r>
              <w:t>Deferred Inflows</w:t>
            </w:r>
          </w:p>
        </w:tc>
        <w:tc>
          <w:tcPr>
            <w:tcW w:type="dxa" w:w="4320"/>
          </w:tcPr>
          <w:p>
            <w:r/>
          </w:p>
        </w:tc>
      </w:tr>
      <w:tr>
        <w:tc>
          <w:tcPr>
            <w:tcW w:type="dxa" w:w="4320"/>
          </w:tcPr>
          <w:p>
            <w:r>
              <w:t>of Resources Difference between expected and actual experience $ 76,503 $ (1,818,180) Changes in assumptions 44,623 (4,384,465) Net difference between projected and actual earnings on OPEB plan investments</w:t>
            </w:r>
          </w:p>
        </w:tc>
        <w:tc>
          <w:tcPr>
            <w:tcW w:type="dxa" w:w="4320"/>
          </w:tcPr>
          <w:p>
            <w:r>
              <w:t>of Resources</w:t>
            </w:r>
          </w:p>
        </w:tc>
      </w:tr>
      <w:tr>
        <w:tc>
          <w:tcPr>
            <w:tcW w:type="dxa" w:w="4320"/>
          </w:tcPr>
          <w:p>
            <w:r>
              <w:t>(2,992) Changes in proportion and differences between employer contributions and proportionate share of contributions</w:t>
            </w:r>
          </w:p>
        </w:tc>
        <w:tc>
          <w:tcPr>
            <w:tcW w:type="dxa" w:w="4320"/>
          </w:tcPr>
          <w:p>
            <w:r/>
          </w:p>
        </w:tc>
      </w:tr>
      <w:tr>
        <w:tc>
          <w:tcPr>
            <w:tcW w:type="dxa" w:w="4320"/>
          </w:tcPr>
          <w:p>
            <w:r>
              <w:t>(1,269,591) Total deferred amounts to be recognized in expense in future periods</w:t>
            </w:r>
          </w:p>
        </w:tc>
        <w:tc>
          <w:tcPr>
            <w:tcW w:type="dxa" w:w="4320"/>
          </w:tcPr>
          <w:p>
            <w:r>
              <w:t>156,149</w:t>
            </w:r>
          </w:p>
        </w:tc>
      </w:tr>
      <w:tr>
        <w:tc>
          <w:tcPr>
            <w:tcW w:type="dxa" w:w="4320"/>
          </w:tcPr>
          <w:p>
            <w:r>
              <w:t>(7,475,228) Employer contributions subsequent to the measurement date</w:t>
            </w:r>
          </w:p>
        </w:tc>
        <w:tc>
          <w:tcPr>
            <w:tcW w:type="dxa" w:w="4320"/>
          </w:tcPr>
          <w:p>
            <w:r>
              <w:t>277,275</w:t>
            </w:r>
          </w:p>
        </w:tc>
      </w:tr>
      <w:tr>
        <w:tc>
          <w:tcPr>
            <w:tcW w:type="dxa" w:w="4320"/>
          </w:tcPr>
          <w:p>
            <w:r>
              <w:t>169,688</w:t>
            </w:r>
          </w:p>
        </w:tc>
        <w:tc>
          <w:tcPr>
            <w:tcW w:type="dxa" w:w="4320"/>
          </w:tcPr>
          <w:p>
            <w:r/>
          </w:p>
        </w:tc>
      </w:tr>
    </w:tbl>
    <w:p/>
    <w:p>
      <w:r>
        <w:t>Deferred Outflows</w:t>
      </w:r>
    </w:p>
    <w:p>
      <w:pPr>
        <w:pStyle w:val="ListBullet"/>
      </w:pPr>
      <w:r>
        <w:t>-</w:t>
      </w:r>
    </w:p>
    <w:p>
      <w:pPr>
        <w:pStyle w:val="ListBullet"/>
      </w:pPr>
      <w:r>
        <w:t>- Total $ 446,963 $ (7,475,228) 34</w:t>
      </w:r>
    </w:p>
    <w:p>
      <w:pPr>
        <w:pStyle w:val="Heading2"/>
      </w:pPr>
      <w:r>
        <w:t>NOTES TO FINANCIAL STATEMENTS (CONTINUED)</w:t>
      </w:r>
    </w:p>
    <w:tbl>
      <w:tblPr>
        <w:tblStyle w:val="TableGrid"/>
        <w:tblW w:type="auto" w:w="0"/>
        <w:tblLook w:firstColumn="1" w:firstRow="1" w:lastColumn="0" w:lastRow="0" w:noHBand="0" w:noVBand="1" w:val="04A0"/>
      </w:tblPr>
      <w:tblGrid>
        <w:gridCol w:w="4320"/>
        <w:gridCol w:w="4320"/>
      </w:tblGrid>
      <w:tr>
        <w:tc>
          <w:tcPr>
            <w:tcW w:type="dxa" w:w="4320"/>
          </w:tcPr>
          <w:p>
            <w:r>
              <w:rPr>
                <w:b/>
              </w:rPr>
              <w:t>JUNE 30, 2025 NOTE 9: POSTEMPLOYMENT BENEFITS OTHER THAN PENSIONS (CONTINUED) A. State of Illinois’ College Insurance Program (Continued) OPEB Liabilities, OPEB Expense, and Deferred Outflows of Resources and Deferred Inflows of Resources Related to OPEB (Concluded)</w:t>
            </w:r>
          </w:p>
        </w:tc>
        <w:tc>
          <w:tcPr>
            <w:tcW w:type="dxa" w:w="4320"/>
          </w:tcPr>
          <w:p>
            <w:r>
              <w:rPr>
                <w:b/>
              </w:rPr>
            </w:r>
          </w:p>
        </w:tc>
      </w:tr>
      <w:tr>
        <w:tc>
          <w:tcPr>
            <w:tcW w:type="dxa" w:w="4320"/>
          </w:tcPr>
          <w:p>
            <w:r>
              <w:t>The College reported $169,688 as deferred outflows of resources related to OPEB resulting from College contributions subsequent to the measurement date that will be recognized as a reduction of the net OPEB liability for the measurement period ended June 30, 2025. Other amounts reported as deferred outflows of resources and deferred inflows of resources related to CIP will be recognized in OPEB expense as follows:</w:t>
            </w:r>
          </w:p>
        </w:tc>
        <w:tc>
          <w:tcPr>
            <w:tcW w:type="dxa" w:w="4320"/>
          </w:tcPr>
          <w:p>
            <w:r/>
          </w:p>
        </w:tc>
      </w:tr>
      <w:tr>
        <w:tc>
          <w:tcPr>
            <w:tcW w:type="dxa" w:w="4320"/>
          </w:tcPr>
          <w:p>
            <w:r>
              <w:t>Net Deferred Outflows (Inflows)</w:t>
            </w:r>
          </w:p>
        </w:tc>
        <w:tc>
          <w:tcPr>
            <w:tcW w:type="dxa" w:w="4320"/>
          </w:tcPr>
          <w:p>
            <w:r/>
          </w:p>
        </w:tc>
      </w:tr>
      <w:tr>
        <w:tc>
          <w:tcPr>
            <w:tcW w:type="dxa" w:w="4320"/>
          </w:tcPr>
          <w:p>
            <w:r>
              <w:t>Years ending June 30,</w:t>
            </w:r>
          </w:p>
        </w:tc>
        <w:tc>
          <w:tcPr>
            <w:tcW w:type="dxa" w:w="4320"/>
          </w:tcPr>
          <w:p>
            <w:r>
              <w:t>of Resources 2025 $ (3,797,822) 2026 (2,746,117) 2027 (709,033) 2028 37,642 2029 17,377 Total $ (7,197,953)</w:t>
            </w:r>
          </w:p>
        </w:tc>
      </w:tr>
      <w:tr>
        <w:tc>
          <w:tcPr>
            <w:tcW w:type="dxa" w:w="4320"/>
          </w:tcPr>
          <w:p>
            <w:r>
              <w:t>Actuarial Assumptions</w:t>
            </w:r>
          </w:p>
        </w:tc>
        <w:tc>
          <w:tcPr>
            <w:tcW w:type="dxa" w:w="4320"/>
          </w:tcPr>
          <w:p>
            <w:r/>
          </w:p>
        </w:tc>
      </w:tr>
      <w:tr>
        <w:tc>
          <w:tcPr>
            <w:tcW w:type="dxa" w:w="4320"/>
          </w:tcPr>
          <w:p>
            <w:r>
              <w:t>The total OPEB liability was determined by an actuarial valuation as of June 30, 2023, using the following actuarial assumptions, applied to all periods included in the measurement date, unless otherwise specified:</w:t>
            </w:r>
          </w:p>
        </w:tc>
        <w:tc>
          <w:tcPr>
            <w:tcW w:type="dxa" w:w="4320"/>
          </w:tcPr>
          <w:p>
            <w:r/>
          </w:p>
        </w:tc>
      </w:tr>
      <w:tr>
        <w:tc>
          <w:tcPr>
            <w:tcW w:type="dxa" w:w="4320"/>
          </w:tcPr>
          <w:p>
            <w:r>
              <w:t>Inflation 2.25% Salary increases Depends on age and service and ranges from 12.75% at less than 1 year of service to 3.50% at 34 or more years of service for employees under 50 and ranges from 12.00% at less than one 1 year of service to 3.00% at 34 or more years of service for employees over 50. Salary increase includes a 3.00% wage inflation assumption. Investment rate of return 0%, net of OPEB plan investment expense, including inflation, for all plan years. Healthcare cost trend rates Trend rates for plan year 2025 are based on actual premium increases. For non-Medicare costs, trend rates start at 8.00% for plan year 2026 and decrease gradually to an ultimate rate of 4.25% in 2041. For MAPD costs, trend rates are based on actual premium increases for 2025, 15.00% in 2026 to 2030, and 7.00% in 2013, declining gradually to an ultimate rate of 4.25% in 2041.</w:t>
            </w:r>
          </w:p>
        </w:tc>
        <w:tc>
          <w:tcPr>
            <w:tcW w:type="dxa" w:w="4320"/>
          </w:tcPr>
          <w:p>
            <w:r/>
          </w:p>
        </w:tc>
      </w:tr>
    </w:tbl>
    <w:p/>
    <w:p>
      <w:pPr>
        <w:pStyle w:val="ListNumber"/>
      </w:pPr>
      <w:r>
        <w:t>35</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9: POSTEMPLOYMENT BENEFITS OTHER THAN PENSIONS (CONTINUED) A. State of Illinois’ College Insurance Program (Continued) Actuarial Assumptions (Concluded) Mortality rates for retirement and beneficiary annuitants were based on the Pub-2010 Healthy Retiree Mortality Table and PubT-2010 Healthy Retiree Mortality Table. For disabled annuitants, mortality rates were based on the Pub-2010 Disabled Retiree Mortality Table. Mortality rates for pre-retirement annuitants were based on the Pub-2010 Employee Mortality Table and PubT-2010 Employee Mortality Table. Tables are adjusted for SURS experience. All tables reflect future mortality improvements using Projection Scale MP-2020. The actuarial assumptions used in the June 30, 2023 valuation were based on the results of an actuarial experience study for the period June 30, 2017 to June 30, 2020. Projected benefit payments were discounted to their actuarial present values using a Single Discount Rate that reflects (1) a long-term expected rate of return on OPEB plan investments (to the extent that the plan’s fiduciary net position is projected to be sufficient to pay benefits), and (2) tax-exempt municipal bond rate based on an index of 20-year general obligation bonds with an average AA credit rating as of the measurement date (to the extent that the contributions for use with the long-term expected rate of return are not met). Since the CIP fund is financed on a pay-as-you-go basis, a discount rate consistent with fixed income municipal bonds with 20 years to maturity that include only federally tax-exempt municipal bonds as reported in Fidelity’s index’s “20-year Municipal GO AA Index” has been selected. The discount rates are 3.97% as of June 30, 2024, and 3.86% as of June 30, 2023. The increase in the single discount rate from 3.86% to 3.97% caused the trust’s total OPEB liability to decrease by approximately $6.3 million from 2023 to 2024. The actuarial valuation was based on the Entry Age Normal cost method. Under this method, the normal cost and actuarial accrued liability are directly proportional to the employee’s salary. The normal cost rate equals the present value of future benefits at entry age divided by the present value of the future salary at entry age. The normal cost at the member’s attained age equals the normal cost rate at entry age multiplied by the salary at attained age. The actuarial accrued liability equals the present value of the benefits at attained age less present value of future salaries at attained age multiplied by normal cost rate at entry age. During the plan year ending June 30, 2024, the trust earned $277,000 in interest and due to a significant benefit payable, the market value of assets at June 30, 2024, is a negative $103.6 million. Given the significant benefit payable, negative asset value and pay-as-you-go funding policy, the long-term expected rate of return assumptions was set to zero.</w:t>
            </w:r>
          </w:p>
        </w:tc>
      </w:tr>
    </w:tbl>
    <w:p/>
    <w:p>
      <w:pPr>
        <w:pStyle w:val="ListNumber"/>
      </w:pPr>
      <w:r>
        <w:t>36</w:t>
      </w:r>
    </w:p>
    <w:p>
      <w:pPr>
        <w:pStyle w:val="Heading2"/>
      </w:pPr>
      <w:r>
        <w:t>NOTES TO FINANCIAL STATEMENTS (CONTINUED)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JUNE 30, 2025 NOTE 9: POSTEMPLOYMENT BENEFITS OTHER THAN PENSIONS (CONTINUED) A. State of Illinois’ College Insurance Program (Continued) Sensitivity of the Employer’s Proportionate Share of the Collective Net OPEB Liability to Changes in the Single Discount Rate The following table presents the College’s proportionate share of the collective net OPEB liability as of June 30, 2024, calculated using a single discount rate of 3.97% as well as what the College’s proportionate share of the collective net OPEB liability would be if it were calculated using a discount rate that is 1-percentage-point lower (2.97%) or 1-percentage-point higher (4.97%) than the current discount rate:</w:t>
            </w:r>
          </w:p>
        </w:tc>
        <w:tc>
          <w:tcPr>
            <w:tcW w:type="dxa" w:w="2160"/>
          </w:tcPr>
          <w:p>
            <w:r>
              <w:rPr>
                <w:b/>
              </w:rPr>
            </w:r>
          </w:p>
        </w:tc>
        <w:tc>
          <w:tcPr>
            <w:tcW w:type="dxa" w:w="2160"/>
          </w:tcPr>
          <w:p>
            <w:r>
              <w:rPr>
                <w:b/>
              </w:rPr>
            </w:r>
          </w:p>
        </w:tc>
        <w:tc>
          <w:tcPr>
            <w:tcW w:type="dxa" w:w="2160"/>
          </w:tcPr>
          <w:p>
            <w:r>
              <w:rPr>
                <w:b/>
              </w:rPr>
            </w:r>
          </w:p>
        </w:tc>
      </w:tr>
      <w:tr>
        <w:tc>
          <w:tcPr>
            <w:tcW w:type="dxa" w:w="2160"/>
          </w:tcPr>
          <w:p>
            <w:r>
              <w:t>1% Decrease</w:t>
            </w:r>
          </w:p>
        </w:tc>
        <w:tc>
          <w:tcPr>
            <w:tcW w:type="dxa" w:w="2160"/>
          </w:tcPr>
          <w:p>
            <w:r>
              <w:t>Current Discount Rate</w:t>
            </w:r>
          </w:p>
        </w:tc>
        <w:tc>
          <w:tcPr>
            <w:tcW w:type="dxa" w:w="2160"/>
          </w:tcPr>
          <w:p>
            <w:r>
              <w:t>1% Increase</w:t>
            </w:r>
          </w:p>
        </w:tc>
        <w:tc>
          <w:tcPr>
            <w:tcW w:type="dxa" w:w="2160"/>
          </w:tcPr>
          <w:p>
            <w:r/>
          </w:p>
        </w:tc>
      </w:tr>
      <w:tr>
        <w:tc>
          <w:tcPr>
            <w:tcW w:type="dxa" w:w="2160"/>
          </w:tcPr>
          <w:p>
            <w:r>
              <w:t>4.97% Employer’s proportionate share of the collective net OPEB liability</w:t>
            </w:r>
          </w:p>
        </w:tc>
        <w:tc>
          <w:tcPr>
            <w:tcW w:type="dxa" w:w="2160"/>
          </w:tcPr>
          <w:p>
            <w:r>
              <w:t>2.97%</w:t>
            </w:r>
          </w:p>
        </w:tc>
        <w:tc>
          <w:tcPr>
            <w:tcW w:type="dxa" w:w="2160"/>
          </w:tcPr>
          <w:p>
            <w:r>
              <w:t>3.97%</w:t>
            </w:r>
          </w:p>
        </w:tc>
        <w:tc>
          <w:tcPr>
            <w:tcW w:type="dxa" w:w="2160"/>
          </w:tcPr>
          <w:p>
            <w:r/>
          </w:p>
        </w:tc>
      </w:tr>
      <w:tr>
        <w:tc>
          <w:tcPr>
            <w:tcW w:type="dxa" w:w="2160"/>
          </w:tcPr>
          <w:p>
            <w:r>
              <w:t>$ 6,592,894</w:t>
            </w:r>
          </w:p>
        </w:tc>
        <w:tc>
          <w:tcPr>
            <w:tcW w:type="dxa" w:w="2160"/>
          </w:tcPr>
          <w:p>
            <w:r>
              <w:t>$ 6,034,549</w:t>
            </w:r>
          </w:p>
        </w:tc>
        <w:tc>
          <w:tcPr>
            <w:tcW w:type="dxa" w:w="2160"/>
          </w:tcPr>
          <w:p>
            <w:r>
              <w:t>$ 5,556,640</w:t>
            </w:r>
          </w:p>
        </w:tc>
        <w:tc>
          <w:tcPr>
            <w:tcW w:type="dxa" w:w="2160"/>
          </w:tcPr>
          <w:p>
            <w:r/>
          </w:p>
        </w:tc>
      </w:tr>
      <w:tr>
        <w:tc>
          <w:tcPr>
            <w:tcW w:type="dxa" w:w="2160"/>
          </w:tcPr>
          <w:p>
            <w:r>
              <w:t>Sensitivity of the Employer’s Proportionate Share of the Collective Net OPEB Liability to Changes in the Healthcare Cost Trend Rates The following table presents the College’s collective net OPEB liability as of June 30, 2024, calculated using the healthcare cost trend rates as well as what the College’s OPEB liability would be if it were calculated using a healthcare cost trend rate that is 1-percentage-point higher or lower, than the current healthcare cost trend rates. The key trend rates are 15.00% in 2026 decreasing to an ultimate trend rate of 4.25% in 2041:</w:t>
            </w:r>
          </w:p>
        </w:tc>
        <w:tc>
          <w:tcPr>
            <w:tcW w:type="dxa" w:w="2160"/>
          </w:tcPr>
          <w:p>
            <w:r/>
          </w:p>
        </w:tc>
        <w:tc>
          <w:tcPr>
            <w:tcW w:type="dxa" w:w="2160"/>
          </w:tcPr>
          <w:p>
            <w:r/>
          </w:p>
        </w:tc>
        <w:tc>
          <w:tcPr>
            <w:tcW w:type="dxa" w:w="2160"/>
          </w:tcPr>
          <w:p>
            <w:r/>
          </w:p>
        </w:tc>
      </w:tr>
      <w:tr>
        <w:tc>
          <w:tcPr>
            <w:tcW w:type="dxa" w:w="2160"/>
          </w:tcPr>
          <w:p>
            <w:r>
              <w:t>1% Decrease (a)</w:t>
            </w:r>
          </w:p>
        </w:tc>
        <w:tc>
          <w:tcPr>
            <w:tcW w:type="dxa" w:w="2160"/>
          </w:tcPr>
          <w:p>
            <w:r>
              <w:t>Healthcare Cost</w:t>
            </w:r>
          </w:p>
        </w:tc>
        <w:tc>
          <w:tcPr>
            <w:tcW w:type="dxa" w:w="2160"/>
          </w:tcPr>
          <w:p>
            <w:r>
              <w:t>1% Increase (b)</w:t>
            </w:r>
          </w:p>
        </w:tc>
        <w:tc>
          <w:tcPr>
            <w:tcW w:type="dxa" w:w="2160"/>
          </w:tcPr>
          <w:p>
            <w:r/>
          </w:p>
        </w:tc>
      </w:tr>
      <w:tr>
        <w:tc>
          <w:tcPr>
            <w:tcW w:type="dxa" w:w="2160"/>
          </w:tcPr>
          <w:p>
            <w:r>
              <w:t>Trend Rates Assumptions</w:t>
            </w:r>
          </w:p>
        </w:tc>
        <w:tc>
          <w:tcPr>
            <w:tcW w:type="dxa" w:w="2160"/>
          </w:tcPr>
          <w:p>
            <w:r/>
          </w:p>
        </w:tc>
        <w:tc>
          <w:tcPr>
            <w:tcW w:type="dxa" w:w="2160"/>
          </w:tcPr>
          <w:p>
            <w:r/>
          </w:p>
        </w:tc>
        <w:tc>
          <w:tcPr>
            <w:tcW w:type="dxa" w:w="2160"/>
          </w:tcPr>
          <w:p>
            <w:r/>
          </w:p>
        </w:tc>
      </w:tr>
      <w:tr>
        <w:tc>
          <w:tcPr>
            <w:tcW w:type="dxa" w:w="2160"/>
          </w:tcPr>
          <w:p>
            <w:r>
              <w:t>Employer’s proportionate share of the collective net OPEB liability</w:t>
            </w:r>
          </w:p>
        </w:tc>
        <w:tc>
          <w:tcPr>
            <w:tcW w:type="dxa" w:w="2160"/>
          </w:tcPr>
          <w:p>
            <w:r>
              <w:t>$ 6,776,657 (a) One percentage point decrease in current healthcare trend rates - Pre-Medicare per capita costs: 8.02% in 2025, 7.00% in 2026, decreasing by 0.25% per year to an ultimate rate of 3.25% in 2041. Post-Medicare per capital costs: based on actual increase in 2025, 14.00% from 2026 to 2030, 6.00% in 2031 decreasing ratably to an ultimate trend rate of 3.25% in 2041. (b) One percentage point increase in current healthcare trend rates - Pre-Medicare per capita costs: 10.02% in 2025, 9.00% in 2026, decreasing by 0.25% per year to an ultimate rate of 5.25% in 2041. Post-Medicare per capital costs: based on actual increase in 2025, 16.00% from 2026 to 2030, 8.00% in 2031 decreasing ratably to an ultimate trend rate of 5.25% in 2041.</w:t>
            </w:r>
          </w:p>
        </w:tc>
        <w:tc>
          <w:tcPr>
            <w:tcW w:type="dxa" w:w="2160"/>
          </w:tcPr>
          <w:p>
            <w:r>
              <w:t>$ 5,422,063</w:t>
            </w:r>
          </w:p>
        </w:tc>
        <w:tc>
          <w:tcPr>
            <w:tcW w:type="dxa" w:w="2160"/>
          </w:tcPr>
          <w:p>
            <w:r>
              <w:t>$ 6,034,549</w:t>
            </w:r>
          </w:p>
        </w:tc>
      </w:tr>
      <w:tr>
        <w:tc>
          <w:tcPr>
            <w:tcW w:type="dxa" w:w="2160"/>
          </w:tcPr>
          <w:p>
            <w:r>
              <w:t>Payable to the OPEB Plan</w:t>
            </w:r>
          </w:p>
        </w:tc>
        <w:tc>
          <w:tcPr>
            <w:tcW w:type="dxa" w:w="2160"/>
          </w:tcPr>
          <w:p>
            <w:r/>
          </w:p>
        </w:tc>
        <w:tc>
          <w:tcPr>
            <w:tcW w:type="dxa" w:w="2160"/>
          </w:tcPr>
          <w:p>
            <w:r/>
          </w:p>
        </w:tc>
        <w:tc>
          <w:tcPr>
            <w:tcW w:type="dxa" w:w="2160"/>
          </w:tcPr>
          <w:p>
            <w:r/>
          </w:p>
        </w:tc>
      </w:tr>
      <w:tr>
        <w:tc>
          <w:tcPr>
            <w:tcW w:type="dxa" w:w="2160"/>
          </w:tcPr>
          <w:p>
            <w:r>
              <w:t>The College had no outstanding contributions payable to the CIP plan for the year ended June 30, 2025.</w:t>
            </w:r>
          </w:p>
        </w:tc>
        <w:tc>
          <w:tcPr>
            <w:tcW w:type="dxa" w:w="2160"/>
          </w:tcPr>
          <w:p>
            <w:r/>
          </w:p>
        </w:tc>
        <w:tc>
          <w:tcPr>
            <w:tcW w:type="dxa" w:w="2160"/>
          </w:tcPr>
          <w:p>
            <w:r/>
          </w:p>
        </w:tc>
        <w:tc>
          <w:tcPr>
            <w:tcW w:type="dxa" w:w="2160"/>
          </w:tcPr>
          <w:p>
            <w:r/>
          </w:p>
        </w:tc>
      </w:tr>
    </w:tbl>
    <w:p/>
    <w:p>
      <w:pPr>
        <w:pStyle w:val="ListNumber"/>
      </w:pPr>
      <w:r>
        <w:t>37</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9: POSTEMPLOYMENT BENEFITS OTHER THAN PENSIONS (CONTINUED) A. State of Illinois’ College Insurance Program (Concluded) Request for information The State of Illinois’ Comprehensive Annual Financial Report may be obtained by writing to the State Comptroller’s office, Division of Financial Reporting, 325 West Adams Street, Springfield, Illinois, 62704-1871.</w:t>
            </w:r>
          </w:p>
        </w:tc>
      </w:tr>
      <w:tr>
        <w:tc>
          <w:tcPr>
            <w:tcW w:type="dxa" w:w="8640"/>
          </w:tcPr>
          <w:p>
            <w:r>
              <w:t>Retirees’ Health Insurance Reimbursement In addition to the pension benefits described in Note 8, the College provides a subsidy to eligible retirees to bring their cost of health insurance to current active employee levels. Eligibility is based on board policy or the applicable union contract, depending on the employee group. At the death of a retired employee, coverage will be extended to the spouse if previously covered. Retirees from the College will qualify for health insurance coverage under the College Insurance Program (Plan) offered through the State office of Central Management Services. Qualifying individuals receive reimbursement of varying amounts from the College in order to keep retirees’ net contributions equal to the contribution of a current active employee with similar coverage. The College finances the Plan on a pay-as-you go basis. Employees Covered by the Benefit Term As of June 30, 2025, the following employees were covered by the benefit term: Active employees 82 Inactive employees entitled to but not receiving benefits - Inactive employees currently receiving benefits 94 Total 176 Total OPEB Liability The College’s total OPEB liability of $5,810,894 was measured as of June 30, 2025 and was determined by an actuarial valuation as of June 30, 2024, rolled forward to June 30, 2025.</w:t>
            </w:r>
          </w:p>
        </w:tc>
      </w:tr>
    </w:tbl>
    <w:p/>
    <w:p>
      <w:r>
        <w:t>B. John A. Logan College Single Employer Defined Benefit Postemployment Benefit Healthcare Plan</w:t>
      </w:r>
    </w:p>
    <w:p>
      <w:pPr>
        <w:pStyle w:val="ListNumber"/>
      </w:pPr>
      <w:r>
        <w:t>38</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9: POSTEMPLOYMENT BENEFITS OTHER THAN PENSIONS (CONTINUED) B. John A. Logan College Single Employer Defined Benefit Postemployment Benefit Healthcare Plan</w:t>
            </w:r>
          </w:p>
        </w:tc>
      </w:tr>
      <w:tr>
        <w:tc>
          <w:tcPr>
            <w:tcW w:type="dxa" w:w="8640"/>
          </w:tcPr>
          <w:p>
            <w:r>
              <w:t>(Continued) Actuarial Assumptions The total OPEB liability in the June 30, 2025 actuarial valuation was determined using the following actuarial assumptions and other inputs, applied to all periods included in the measurement, unless otherwise specified:</w:t>
            </w:r>
          </w:p>
        </w:tc>
      </w:tr>
      <w:tr>
        <w:tc>
          <w:tcPr>
            <w:tcW w:type="dxa" w:w="8640"/>
          </w:tcPr>
          <w:p>
            <w:r>
              <w:t>Inflation 3.00% Salary rate increase 4.00% Discount rate 4.81% Healthcare cost trend rates 6.36%, managed care option, 6.36% CCHP option for 2025 decreasing to an ultimate rate of 4.50% for 2039 and later years Retirees’ share of benefit-related costs Same as healthcare trend Since the Plan is financed on a pay-as-you-go basis, a long-term rate of return was not used, and the discount rate used to measure the total OPEB liability was a 20-year tax-exempt general obligation municipal bond index rate. The discount rate was based on the S&amp;P Municipal Bond 20-Year High-Grade Rate Index as of June 30, 2025. The discount rate as of June 30, 2025 was 4.81%, which was an increase from the June 30, 2024 rate of 4.21%. Mortality rates were based on the PubT.H-2010 Mortality Table for males and females, as appropriate. Changes in the Total OPEB Liability</w:t>
            </w:r>
          </w:p>
        </w:tc>
      </w:tr>
    </w:tbl>
    <w:p/>
    <w:p>
      <w:r>
        <w:t>Balance as of June 30, 2024 $ 6,345,001 Changes for the year: Service cost 14,191 Interest 259,606 Changes of benefit terms - Difference between expected and actual experience - Changes in assumptions and other inputs (450,718) Benefit payments (357,186) Other changes - Net changes (534,107) Balance as of June 30, 2025 $ 5,810,894 39</w:t>
      </w:r>
    </w:p>
    <w:p>
      <w:pPr>
        <w:pStyle w:val="Heading2"/>
      </w:pPr>
      <w:r>
        <w:t>NOTES TO FINANCIAL STATEMENTS (CONTINUED)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JUNE 30, 2025 NOTE 9: POSTEMPLOYMENT BENEFITS OTHER THAN PENSIONS (CONTINUED) B. John A. Logan College Single Employer Defined Benefit Postemployment Benefit Healthcare Plan</w:t>
            </w:r>
          </w:p>
        </w:tc>
        <w:tc>
          <w:tcPr>
            <w:tcW w:type="dxa" w:w="2880"/>
          </w:tcPr>
          <w:p>
            <w:r>
              <w:rPr>
                <w:b/>
              </w:rPr>
            </w:r>
          </w:p>
        </w:tc>
        <w:tc>
          <w:tcPr>
            <w:tcW w:type="dxa" w:w="2880"/>
          </w:tcPr>
          <w:p>
            <w:r>
              <w:rPr>
                <w:b/>
              </w:rPr>
            </w:r>
          </w:p>
        </w:tc>
      </w:tr>
      <w:tr>
        <w:tc>
          <w:tcPr>
            <w:tcW w:type="dxa" w:w="2880"/>
          </w:tcPr>
          <w:p>
            <w:r>
              <w:t>(Continued) Sensitivity of the Total OPEB Liability to Changes in the Discount Rate and Healthcare Cost Trend Rates The following is a sensitivity analysis of the OPEB liability to changes in the discount rate and the healthcare cost trend rates. The table below presents the OPEB liability of the College calculated using a discount rate of 4.81% as well as what the College’s OPEB liability would be if it were calculated using a discount rate that is 1- percentage-point lower (3.81%) or 1-percentage-point higher (5.81%) than the current rate:</w:t>
            </w:r>
          </w:p>
        </w:tc>
        <w:tc>
          <w:tcPr>
            <w:tcW w:type="dxa" w:w="2880"/>
          </w:tcPr>
          <w:p>
            <w:r/>
          </w:p>
        </w:tc>
        <w:tc>
          <w:tcPr>
            <w:tcW w:type="dxa" w:w="2880"/>
          </w:tcPr>
          <w:p>
            <w:r/>
          </w:p>
        </w:tc>
      </w:tr>
      <w:tr>
        <w:tc>
          <w:tcPr>
            <w:tcW w:type="dxa" w:w="2880"/>
          </w:tcPr>
          <w:p>
            <w:r>
              <w:t>1% Decrease</w:t>
            </w:r>
          </w:p>
        </w:tc>
        <w:tc>
          <w:tcPr>
            <w:tcW w:type="dxa" w:w="2880"/>
          </w:tcPr>
          <w:p>
            <w:r>
              <w:t>Current Discount Rate</w:t>
            </w:r>
          </w:p>
        </w:tc>
        <w:tc>
          <w:tcPr>
            <w:tcW w:type="dxa" w:w="2880"/>
          </w:tcPr>
          <w:p>
            <w:r>
              <w:t>1% Increase</w:t>
            </w:r>
          </w:p>
        </w:tc>
      </w:tr>
      <w:tr>
        <w:tc>
          <w:tcPr>
            <w:tcW w:type="dxa" w:w="2880"/>
          </w:tcPr>
          <w:p>
            <w:r>
              <w:t>5.81% Employer’s proportionate share of the collective net OPEB liability</w:t>
            </w:r>
          </w:p>
        </w:tc>
        <w:tc>
          <w:tcPr>
            <w:tcW w:type="dxa" w:w="2880"/>
          </w:tcPr>
          <w:p>
            <w:r>
              <w:t>3.81%</w:t>
            </w:r>
          </w:p>
        </w:tc>
        <w:tc>
          <w:tcPr>
            <w:tcW w:type="dxa" w:w="2880"/>
          </w:tcPr>
          <w:p>
            <w:r>
              <w:t>4.81%</w:t>
            </w:r>
          </w:p>
        </w:tc>
      </w:tr>
      <w:tr>
        <w:tc>
          <w:tcPr>
            <w:tcW w:type="dxa" w:w="2880"/>
          </w:tcPr>
          <w:p>
            <w:r>
              <w:t>$ 5,211,097 The table below presents the College’s OPEB liability, calculated using the healthcare cost trend rates as well as what the College’s OPEB liability would be it if were calculated using a healthcare cost trend rate that is 1-percentage-point higher or lower, than the current healthcare cost trend rates. The key trend rates are 6.36%, managed care option, and 6.36%, CCHP option, decreasing to an ultimate trend rate of 4.50% in 2039:</w:t>
            </w:r>
          </w:p>
        </w:tc>
        <w:tc>
          <w:tcPr>
            <w:tcW w:type="dxa" w:w="2880"/>
          </w:tcPr>
          <w:p>
            <w:r>
              <w:t>$ 6,540,854</w:t>
            </w:r>
          </w:p>
        </w:tc>
        <w:tc>
          <w:tcPr>
            <w:tcW w:type="dxa" w:w="2880"/>
          </w:tcPr>
          <w:p>
            <w:r>
              <w:t>$ 5,810,894</w:t>
            </w:r>
          </w:p>
        </w:tc>
      </w:tr>
      <w:tr>
        <w:tc>
          <w:tcPr>
            <w:tcW w:type="dxa" w:w="2880"/>
          </w:tcPr>
          <w:p>
            <w:r>
              <w:t>1% Increase (b) Employer’s proportionate share of the collective net OPEB liability</w:t>
            </w:r>
          </w:p>
        </w:tc>
        <w:tc>
          <w:tcPr>
            <w:tcW w:type="dxa" w:w="2880"/>
          </w:tcPr>
          <w:p>
            <w:r>
              <w:t>1% Decrease (a)</w:t>
            </w:r>
          </w:p>
        </w:tc>
        <w:tc>
          <w:tcPr>
            <w:tcW w:type="dxa" w:w="2880"/>
          </w:tcPr>
          <w:p>
            <w:r>
              <w:t>Healthcare Cost</w:t>
            </w:r>
          </w:p>
        </w:tc>
      </w:tr>
      <w:tr>
        <w:tc>
          <w:tcPr>
            <w:tcW w:type="dxa" w:w="2880"/>
          </w:tcPr>
          <w:p>
            <w:r>
              <w:t>Trend Rates Assumptions</w:t>
            </w:r>
          </w:p>
        </w:tc>
        <w:tc>
          <w:tcPr>
            <w:tcW w:type="dxa" w:w="2880"/>
          </w:tcPr>
          <w:p>
            <w:r/>
          </w:p>
        </w:tc>
        <w:tc>
          <w:tcPr>
            <w:tcW w:type="dxa" w:w="2880"/>
          </w:tcPr>
          <w:p>
            <w:r/>
          </w:p>
        </w:tc>
      </w:tr>
      <w:tr>
        <w:tc>
          <w:tcPr>
            <w:tcW w:type="dxa" w:w="2880"/>
          </w:tcPr>
          <w:p>
            <w:r>
              <w:t>$ 5,201,015</w:t>
            </w:r>
          </w:p>
        </w:tc>
        <w:tc>
          <w:tcPr>
            <w:tcW w:type="dxa" w:w="2880"/>
          </w:tcPr>
          <w:p>
            <w:r>
              <w:t>$ 5,810,894</w:t>
            </w:r>
          </w:p>
        </w:tc>
        <w:tc>
          <w:tcPr>
            <w:tcW w:type="dxa" w:w="2880"/>
          </w:tcPr>
          <w:p>
            <w:r/>
          </w:p>
        </w:tc>
      </w:tr>
    </w:tbl>
    <w:p/>
    <w:p>
      <w:r>
        <w:t>6,542,995 (a) One percentage point decrease in healthcare trend rates is 5.36%, managed care option, and 5.36%, CCHP option, in 2025 decreasing to an ultimate trend rate of 3.50% in 2039. (b) One percentage point increase in healthcare trend rates is 7.36%, managed care option, and 7.36%, CCHP option, in 2025 decreasing to an ultimate trend rate of 5.50% in 2039.</w:t>
      </w:r>
    </w:p>
    <w:p>
      <w:pPr>
        <w:pStyle w:val="ListNumber"/>
      </w:pPr>
      <w:r>
        <w:t>40</w:t>
      </w:r>
    </w:p>
    <w:p>
      <w:pPr>
        <w:pStyle w:val="Heading2"/>
      </w:pPr>
      <w:r>
        <w:t>NOTES TO FINANCIAL STATEMENTS (CONTINUED)</w:t>
      </w:r>
    </w:p>
    <w:tbl>
      <w:tblPr>
        <w:tblStyle w:val="TableGrid"/>
        <w:tblW w:type="auto" w:w="0"/>
        <w:tblLook w:firstColumn="1" w:firstRow="1" w:lastColumn="0" w:lastRow="0" w:noHBand="0" w:noVBand="1" w:val="04A0"/>
      </w:tblPr>
      <w:tblGrid>
        <w:gridCol w:w="4320"/>
        <w:gridCol w:w="4320"/>
      </w:tblGrid>
      <w:tr>
        <w:tc>
          <w:tcPr>
            <w:tcW w:type="dxa" w:w="4320"/>
          </w:tcPr>
          <w:p>
            <w:r>
              <w:rPr>
                <w:b/>
              </w:rPr>
              <w:t>JUNE 30, 2025 NOTE 9: POSTEMPLOYMENT BENEFITS OTHER THAN PENSIONS (CONCLUDED) B. John A. Logan College Single Employer Defined Benefit Postemployment Benefit Healthcare Plan</w:t>
            </w:r>
          </w:p>
        </w:tc>
        <w:tc>
          <w:tcPr>
            <w:tcW w:type="dxa" w:w="4320"/>
          </w:tcPr>
          <w:p>
            <w:r>
              <w:rPr>
                <w:b/>
              </w:rPr>
            </w:r>
          </w:p>
        </w:tc>
      </w:tr>
      <w:tr>
        <w:tc>
          <w:tcPr>
            <w:tcW w:type="dxa" w:w="4320"/>
          </w:tcPr>
          <w:p>
            <w:r>
              <w:t>(Concluded) OPEB Expense, Deferred Outflows of Resources, and Deferred Inflows of Resources Related to OPEB For the year ended June 30, 2025, the College recognized OPEB expense of $618,978. At June 30, 2025, the College reported deferred outflows of resources and deferred inflows of resources related to OPEB from the following sources:</w:t>
            </w:r>
          </w:p>
        </w:tc>
        <w:tc>
          <w:tcPr>
            <w:tcW w:type="dxa" w:w="4320"/>
          </w:tcPr>
          <w:p>
            <w:r/>
          </w:p>
        </w:tc>
      </w:tr>
      <w:tr>
        <w:tc>
          <w:tcPr>
            <w:tcW w:type="dxa" w:w="4320"/>
          </w:tcPr>
          <w:p>
            <w:r>
              <w:t>Deferred Inflows</w:t>
            </w:r>
          </w:p>
        </w:tc>
        <w:tc>
          <w:tcPr>
            <w:tcW w:type="dxa" w:w="4320"/>
          </w:tcPr>
          <w:p>
            <w:r/>
          </w:p>
        </w:tc>
      </w:tr>
      <w:tr>
        <w:tc>
          <w:tcPr>
            <w:tcW w:type="dxa" w:w="4320"/>
          </w:tcPr>
          <w:p>
            <w:r>
              <w:t>of Resources Difference between expected and actual experience $ 95,757 $ - Changes in assumptions 173,765 (275,796) Net difference between projected and actual earnings on OPEB plan investments</w:t>
            </w:r>
          </w:p>
        </w:tc>
        <w:tc>
          <w:tcPr>
            <w:tcW w:type="dxa" w:w="4320"/>
          </w:tcPr>
          <w:p>
            <w:r>
              <w:t>of Resources</w:t>
            </w:r>
          </w:p>
        </w:tc>
      </w:tr>
      <w:tr>
        <w:tc>
          <w:tcPr>
            <w:tcW w:type="dxa" w:w="4320"/>
          </w:tcPr>
          <w:p>
            <w:r>
              <w:t>$ (275,796) Amounts reported as deferred outflows of resources and deferred inflows of resources related to OPEB will be recognized in OPEB expense as follows:</w:t>
            </w:r>
          </w:p>
        </w:tc>
        <w:tc>
          <w:tcPr>
            <w:tcW w:type="dxa" w:w="4320"/>
          </w:tcPr>
          <w:p>
            <w:r/>
          </w:p>
        </w:tc>
      </w:tr>
      <w:tr>
        <w:tc>
          <w:tcPr>
            <w:tcW w:type="dxa" w:w="4320"/>
          </w:tcPr>
          <w:p>
            <w:r>
              <w:t>Net Deferred Outflows (Inflows)</w:t>
            </w:r>
          </w:p>
        </w:tc>
        <w:tc>
          <w:tcPr>
            <w:tcW w:type="dxa" w:w="4320"/>
          </w:tcPr>
          <w:p>
            <w:r/>
          </w:p>
        </w:tc>
      </w:tr>
      <w:tr>
        <w:tc>
          <w:tcPr>
            <w:tcW w:type="dxa" w:w="4320"/>
          </w:tcPr>
          <w:p>
            <w:r>
              <w:t>of Resources Years ending June 30, 2026 $ 67,032 2027 (73,306) Total $ (6,274) NOTE 10: INTERGOVERNMENTAL AGREEMENT In September 2017, the College entered into an educational partnership agreement (Community College Education Agreement) with 36 other Illinois community colleges to provide additional educational programs to the citizens of each district. The cooperating institutions in this agreement will be treated as in district in relation to admission policies for their programs. Colleges sending students to any receiving cooperating institution will no longer pay chargebacks to the receiving college.</w:t>
            </w:r>
          </w:p>
        </w:tc>
        <w:tc>
          <w:tcPr>
            <w:tcW w:type="dxa" w:w="4320"/>
          </w:tcPr>
          <w:p>
            <w:r/>
          </w:p>
        </w:tc>
      </w:tr>
    </w:tbl>
    <w:p/>
    <w:p>
      <w:r>
        <w:t>Deferred Outflows</w:t>
      </w:r>
    </w:p>
    <w:p>
      <w:pPr>
        <w:pStyle w:val="ListBullet"/>
      </w:pPr>
      <w:r>
        <w:t>- Total deferred amounts to be recognized in expense in future periods $ 269,522</w:t>
      </w:r>
    </w:p>
    <w:p>
      <w:pPr>
        <w:pStyle w:val="ListBullet"/>
      </w:pPr>
      <w:r>
        <w:t>-</w:t>
      </w:r>
    </w:p>
    <w:p>
      <w:pPr>
        <w:pStyle w:val="ListNumber"/>
      </w:pPr>
      <w:r>
        <w:t>41</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11: LEASES The College is the lessee in a lease agreement with the following terms: Operating Lease – On September 27, 2022, the College entered into an operating lease with Konica Minolta for copiers. The lease term is 60 months, the interest rate is 4.70%, and the monthly lease payment is $3,955. The leased equipment and accumulated amortization of the right-to-use assets are outlined in Note 3 and below. Balance Balance July 1, 2024 Additions Deletions June 30, 2025 Copier Lease $ 211,084 $ - $ - $ 211,084 Less: Accumulated Amortization (68,319) (41,633) - (109,952) Right-of-Use Assets, Net $ 142,765 $ (41,633) $ - $ 101,132 The following is a maturity analysis of annual undiscounted cash flows for lease liabilities as of June 30, 2025: Year Ending June 30, Principal Interest Total 2026 $ 47,362 $ 3,821 $ 51,183 2027 41,999 1,726 43,725 2028 11,771 92 11,863 $ 101,132 $ 5,639 $ 106,771 NOTE 12: SUBSCRIPTION-BASED INFORMATION TECHNOLOGY ARRANGEMENTS The College has entered into seven qualifying subscription-based technology agreements (SBITAs) involving:</w:t>
            </w:r>
          </w:p>
        </w:tc>
      </w:tr>
    </w:tbl>
    <w:p/>
    <w:p>
      <w:pPr>
        <w:pStyle w:val="ListBullet"/>
      </w:pPr>
      <w:r>
        <w:t>• Cybersecurity software, • Enterprise resource planning software, • Fitness center management software, • Budgeting software, • Disaster recovery and risk management software, and • Learning management software.</w:t>
      </w:r>
    </w:p>
    <w:p>
      <w:pPr>
        <w:pStyle w:val="ListNumber"/>
      </w:pPr>
      <w:r>
        <w:t>42</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12: SUBSCRIPTION-BASED INFORMATION TECHNOLOGY ARRANGEMENTS (CONCLUDED) Balance Balance July 1, 2024 Additions Deletions June 30, 2025 SBITAs $ 539,805 $ 2,155,270 $ - $ 2,695,075 Less: Accumulated Amortization (145,383) (676,090) - (821,473) Right-of-Use Assets, Net $ 394,422 $ 1,479,180 $ - $ 1,873,602 The future subscription payments under SBITA arrangements are as follows: Year Ending June 30, Principal Interest Total 2026 $ 574,430 $ 99,247 $ 673,677 2027 531,396 67,515 598,911 2028 346,801 39,977 386,778 2029 385,087 21,034 406,121 $ 1,837,714 $ 227,773 $ 2,065,487 NOTE 13: PEPSI AGREEMENT On October 23, 2018, the College entered into an agreement with Pepsi MidAmerica Co. (Pepsi) in which Pepsi will be the exclusive beverage and line snack provider for a period of 20 years. In accordance with the agreement, Pepsi made an upfront payment to the College for $130,000 for the first two years of the agreement. Pepsi will then make payments of $65,000 per year for years 3-20 of the agreement. The total monetary payments over the contract will be $1,300,000. During the year ended June 30, 2025, the College recognized $65,000 as revenue, accounts receivable of $845,000, and $845,000 as a deferred inflow of resources related to this contract. NOTE 14: RELATED PARTIES For the year ended June 30, 2025, there were no related party transactions.</w:t>
            </w:r>
          </w:p>
        </w:tc>
      </w:tr>
    </w:tbl>
    <w:p/>
    <w:p>
      <w:r>
        <w:t>NOTE 15: CONTINGENT LIABILITIES AND COMMITMENTS Federal and State Grants The College has received a number of Federal and State grants from specific purposes which are subject to review and audit by grantor agencies. Such audits may result in requests for reimbursement to granting agencies for expenditures disallowed under the terms of the grants. Based on prior experience, College management believes that such disallowances, if any, will not be material. Compensated Absences – Vacation and Sick Leave As of June 30, 2025, employees had earned but not taken vacation and sick leave, which at salary rates in effect at the end of the year, totaled $3,679,246. The College has accrued this liability and considers $1,019,366 of the liability to be payable within one year. The remaining liability of $2,659,880 is considered to be long-term.</w:t>
      </w:r>
    </w:p>
    <w:p>
      <w:pPr>
        <w:pStyle w:val="ListNumber"/>
      </w:pPr>
      <w:r>
        <w:t>43</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rPr>
                <w:b/>
              </w:rPr>
              <w:t>JUNE 30, 2025 NOTE 15: CONTINGENT LIABILITIES AND COMMITMENTS (CONCLUDED) Construction in Progress At June 30, 2025, the College had construction project commitments totaling approximately $34,460,000. These commitment totals include the grant funded portions, as applicable, and are detailed below:</w:t>
            </w:r>
          </w:p>
        </w:tc>
      </w:tr>
      <w:tr>
        <w:tc>
          <w:tcPr>
            <w:tcW w:type="dxa" w:w="8640"/>
          </w:tcPr>
          <w:p>
            <w:r>
              <w:t>Approved prior to June 30, 2025: Career and Technical Center Project $ 14,702,000 West lobby expansion 8,346,000 G wing labs first floor moisture mitigation 3,404,000 B wing 3 rd floor nursing renovation 1,835,000 G building chiller replacement 1,218,000 Communications cooling tower replacement 1,065,000 F wing roof replacement 795,000 C and E wing renovations and upper C wing HVAC upgrades 663,000 D wing roof replacement 491,000 Boiler replacement 418,000 Elevator 412,000 Julia Harrison-Bruce Prairie Museum 400,000 Harrison Bruce Player Development Center 400,000 Highway construction careers program building – Phase 1 192,000 H building main breaker replacement 50,000 F wing building envelope project 48,000 Fitness Center exercise room renovation 21,000</w:t>
            </w:r>
          </w:p>
        </w:tc>
      </w:tr>
      <w:tr>
        <w:tc>
          <w:tcPr>
            <w:tcW w:type="dxa" w:w="8640"/>
          </w:tcPr>
          <w:p>
            <w:r>
              <w:t>Total construction commitments $ 34,460,000 NOTE 16: RESTATEMENT During the year ended June 30, 2025, the College implemented GASB Statement No. 101 – Compensated Absences. This implementation resulted in recalculation of the College’s liabilities for compensated absences. The effects of this change in accounting principle are detailed below:</w:t>
            </w:r>
          </w:p>
        </w:tc>
      </w:tr>
    </w:tbl>
    <w:p/>
    <w:p>
      <w:r>
        <w:t>Government-wide – Business-type Activities Net Position – July 1, 2024, as previously reported $ 58,723,952 Restatement – GASB 101 implementation (1,967,334) Net Position – July 1, 2024, as restated $ 56,756,618 NOTE 17: SUBSEQUENT EVENTS On October 20, 2025, the College issued $6,740,000 in General Obligation Community College Bonds with an interest rate of 5.00%. The bonds mature on December 1, 2035. The net proceeds of $7,001,383 (after reoffering premium of $625,385, issuance costs of $157,121, and capitalized interest of $206,881) were used to increase the College’s Working Cash Fund which was abated in November 2025. The funds will be used for the purpose of improving District facilities.</w:t>
      </w:r>
    </w:p>
    <w:p>
      <w:pPr>
        <w:pStyle w:val="ListNumber"/>
      </w:pPr>
      <w:r>
        <w:t>44</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17: SUBSEQUENT EVENTS (CONCLUDED) On January 26, 2026, the College issued $3,030,000 in Taxable General Obligation Debt Certificates (Limited Tax), Series 2026A and $17,150,000 in General Obligation Debt Certificates (Limited Tax), Series 2026B with interest rates ranging from 4.95% - 6.50% and 3.50% - 5.00%, respectively. These debt certificates mature June 1, 2031 and June 1, 2026, respectively. The net proceeds of $3,000,107 (after issuance costs of $29,893) and $17,004,239 (after issuance costs of $145,761) will be used to pay the cost of improving District facilities. The College intends to issue refunding bonds to repay these debt certificates in April 2026. NOTE 18: DISCRETELY PRESENTED COMPONENT UNIT The Foundation’s notes to the financial statements are as follows: A. Summary of Significant Accounting Policies John A. Logan College Foundation (the Foundation) is organized exclusively for educational and charitable purposes. The Foundation provides financial support to the educational programs and services at John A. Logan College (the College) to assist in increasing and enhancing the physical and cultural environment of the College; to broaden the educational opportunities and services for its students, alumni, and citizens of the District; and to provide funds to implement scholarships and various awards. Basis of Accounting – The financial statements of the Foundation have been prepared on the accrual basis of accounting in accordance with U.S. generally accepted accounting principles (GAAP) and, accordingly, reflect all significant receivables, payables, and other liabilities. The Foundation has presented its assets and liabilities on its Statement of Financial Position in an unclassified manner, but in order of liquidity. Basis of Presentation – The Foundation classifies its net assets, revenues, gains, and other support on the existence or absence of donor or grantor imposed restrictions. Accordingly, net assets and changes therein are classified and reported as follows:</w:t>
            </w:r>
          </w:p>
        </w:tc>
      </w:tr>
    </w:tbl>
    <w:p/>
    <w:p>
      <w:r>
        <w:t>Net Assets Without Donor Restrictions – Net assets available for use in general operations and not subject to donor (or certain grantor) restrictions. The governing board has designated, from net assets without donor restrictions, net assets for various purposes, including quasi-endowments. Net Assets With Donor Restrictions – Net assets subject to donor (or certain grantor) imposed restrictions. Some donor-imposed restrictions are temporary in nature, such as those that will be met by the passage of time or other events specified by the donor. Other donor-imposed restrictions are perpetual in nature, where the donor stipulates that resources be maintained in perpetuity. Donor-imposed restrictions are released when a restriction expires, that is, when the stipulated time has elapsed, when the stipulated purpose for which the resource was restricted has been fulfilled, or both.</w:t>
      </w:r>
    </w:p>
    <w:p>
      <w:pPr>
        <w:pStyle w:val="ListNumber"/>
      </w:pPr>
      <w:r>
        <w:t>45</w:t>
      </w:r>
    </w:p>
    <w:p>
      <w:pPr>
        <w:pStyle w:val="Heading2"/>
      </w:pPr>
      <w:r>
        <w:t>NOTES TO FINANCIAL STATEMENTS (CONTINUED)</w:t>
      </w:r>
    </w:p>
    <w:p>
      <w:r>
        <w:t>JUNE 30, 2025 NOTE 18: DISCRETELY PRESENTED COMPONENT UNIT (CONTINUED) A. Summary of Significant Accounting Policies (Continued) Cash Equivalents – For the purpose of the Statement of Cash Flows, cash equivalents consist of highly- liquid short-term investments including money market account deposits with original maturity of three months or less from the date of purchase. Contributions of Financial Assets – Contributions of financial assets, including unconditional pledges, are recognized in the appropriate category of net assets in the period received. The Foundation evaluates contributions for criteria indicating the existence of measurable barriers to entitlement for the contribution and the right of return to the donor. When a barrier to entitlement exists, the contribution is treated as a conditional contribution. If both the barrier to entitlement and right of return do not exist, the contribution is unconditional. Conditional pledges are not recognized until the conditions on which they depend are substantially met. Contributions of financial assets other than cash are recorded at estimated fair value. Contributions to be received after one year are discounted and recorded at the present value using a risk-adjusted rate of return. Amortization of the discount is recorded as additional contribution revenue in accordance with donor-imposed restrictions, if any, on the contributions. There were no contributions to be received after one year at June 30, 2025 or 2024. An allowance for uncollectible pledges is recognized based on historical experience, as necessary. No allowance for uncollectible pledges was recognized for the year ended June 30, 2025 or 2024. Contributions of financial assets received in the same year in which the restriction is met are recorded as contributions with donor restrictions and released from restriction. Contributions of Nonfinancial Assets – Contributions of nonfinancial assets are provided to the Foundation by the College and include office space, accounting and record-keeping services, and necessary administrative services. The rental value of the office space is recorded at fair rental value equivalent to similar facility space. Other amounts have been recorded based on actual cost to the College for the services. The services would typically need to be purchased if not provided by donation by the College. See Note 16F below. Investments – Investments are reported at fair value. Investment income, gains and losses, and any investment-related expenses are recorded as changes in net assets without donor restrictions in the Statement of Activities unless their use is temporarily or permanently restricted by explicit donor stipulations or laws. In the absence of donor stipulations or law to the contrary, losses on the investments of donor-restricted endowment funds are recognized as reductions of net assets with donor restrictions to the extent that donor-imposed restrictions on net appreciation of the funds have not been met before the loss occurs. Any remaining loss reduces net assets without donor restrictions. Investment Expenses – Investment expenses, including custodial fees and investment advisory fees, relating to investment income amounted to $47,602 and have been netted with investment income in the accompanying Statement of Activities.</w:t>
      </w:r>
    </w:p>
    <w:p>
      <w:pPr>
        <w:pStyle w:val="ListNumber"/>
      </w:pPr>
      <w:r>
        <w:t>46</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18: DISCRETELY PRESENTED COMPONENT UNIT (CONTINUED) A. Summary of Significant Accounting Policies (Continued) Fair Value – The Foundation follows FASB ASC 820-10 "Fair Value Measurements," which provides a framework for measuring fair value under U.S. generally accepted accounting principles. FASB ASC 820-10 defines fair value as the exchange price that would be received for an asset or paid to transfer a liability in an orderly transaction between market participants on the measurement date. FASB ASC 820- 10 requires that valuation techniques maximize the use of observable inputs and minimize the use of unobservable inputs. FASB ASC 820-10 also establishes a fair value hierarchy, which prioritizes the valuation inputs into three broad levels as described below.</w:t>
            </w:r>
          </w:p>
        </w:tc>
      </w:tr>
      <w:tr>
        <w:tc>
          <w:tcPr>
            <w:tcW w:type="dxa" w:w="8640"/>
          </w:tcPr>
          <w:p>
            <w:r>
              <w:t>Level 1: Inputs to the valuation methodology derived from unadjusted quoted prices for identical assets or liabilities in active markets.</w:t>
            </w:r>
          </w:p>
        </w:tc>
      </w:tr>
    </w:tbl>
    <w:p/>
    <w:p>
      <w:r>
        <w:t>Level 2: Other observable inputs including quoted prices for similar assets or liabilities in active or inactive markets, and inputs that are principally derived from or corroborated by observable market data by correlation or other means. Level 3: Inputs to the valuation methodology which are unobservable and significant to the fair value measurements. These inputs are only used when Level 1 or Level 2 inputs are not available. Income Taxes – The Foundation is recognized as exempt from federal income taxes under section 501(c)(3) of the Internal Revenue Code. The Foundation may be subject to federal and state income taxes on any net income from unrelated business activities. The Foundation files a form 990 (Return of Organization Exempt from Income Tax) annually, and unrelated business income (UBI) is reported on Form 990-T, as appropriate. Management has evaluated the Foundation’s material tax positions, which include such matters as the tax-exempt status of each entity and various positions relative to potential sources of UBI. As of June 30, 2025, there were no uncertain tax benefits identified and recorded as a liability. The Foundation is no longer subject to U.S. federal or state income tax authorities for the years ending prior to June 30, 2022. Use of Estimates – The preparation of financial statements in conformity with United States generally accepted accounting principles requires the use of management’s estimates and assumptions that affect the reported amount of assets and liabilities at the date of the financial statements and the reported amount of revenues and expenses during the reporting period. Accordingly, actual results may differ from those estimates.</w:t>
      </w:r>
    </w:p>
    <w:p>
      <w:pPr>
        <w:pStyle w:val="ListNumber"/>
      </w:pPr>
      <w:r>
        <w:t>47</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18: DISCRETELY PRESENTED COMPONENT UNIT (CONTINUED) A. Summary of Significant Accounting Policies (Concluded) Functional Allocation of Expenses – The costs of providing various programs and other activities have been summarized on a functional basis in the Statements of Activities. The Statement of Functional Expenses presents the natural classification detail of expenses by function. Accordingly, certain costs have been allocated among the programs and supporting services benefited. This presentation requires allocation of expenses on a reasonable basis that is consistently applied. Expenses are allocated based on the Foundation’s best estimate of the time spent by employees on program services vs. supporting services functions. Directly identifiable expenses are charged to the appropriate program or supporting service. Management and general expenses include those expenses that are not directly identifiable with any other specific function but provide the overall support and direction of the Foundation. Date of Management’s Review – Management has reviewed subsequent events through February 19, 2026, the date the financial statements were available to be issued. B. Investments and Fair Value Measurements The Foundation’s investments are held by the trust and custody division of a national bank and managed by an investment advisor in accordance with the terms of an investment advisor agreement. Investments detailed below were measured at fair value as described in Note 15A. Investments as of June 30, 2025 consisted of the following: Fair Value Quoted Significant Active Markets Other for Identical Observable Assets Inputs Cost (Level 1) (Level 2) Total Mutual Funds Equity $ 519,573 $ 579,650 $ - $ 579,650 Fixed Income 2,903,492 2,700,283 - 2,700,283 Exchange-traded Funds 3,769,410 4,631,076 - 4,631,076 Corporate Stock 1,898,559 3,187,702 - 3,187,702 Certificates of Deposit 199,800 - 201,744 201,744 Total Investments $ 9,290,834 $ 11,098,711 $ 201,744 $ 11,300,455 There were no transfers between Levels 1, 2, or 3 of the fair value hierarchy during the year ended June 30, 2025.</w:t>
            </w:r>
          </w:p>
        </w:tc>
      </w:tr>
    </w:tbl>
    <w:p/>
    <w:p>
      <w:r>
        <w:t>C. Net Assets with Donor Restrictions The Foundation reports gifts of cash and other assets as restricted if they are received with donor stipulations that limit the use of the donated assets. When donor restrictions expire, net assets with donor restrictions are reclassified to net assets without donor restrictions and reported in the Statement of Activities as net assets released from restrictions.</w:t>
      </w:r>
    </w:p>
    <w:p>
      <w:pPr>
        <w:pStyle w:val="ListNumber"/>
      </w:pPr>
      <w:r>
        <w:t>48</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bl>
    <w:p/>
    <w:p>
      <w:r>
        <w:t>NOTE 18: DISCRETELY PRESENTED COMPONENT UNIT (CONTINUED) C. Net Assets with Donor Restrictions (Concluded) The Foundation reports gifts of cash and other assets as restricted if they are received with donor stipulations that limit the use of the donated assets. When donor restrictions expire, net assets with donor restrictions are reclassified to net assets without donor restrictions and reported in the Statement of Activities as net assets released from restrictions. At June 30, 2025, the Foundation held $9,920,603 in net assets with donor restrictions. These assets will be used for scholarships for students of the College as well as grants benefiting the College in amounts as follows: Scholarships Endowment $ 8,310,596 Non-endowed 648,437 Athletics Endowment 205,796 Non-endowed 313,647 Other Endowment 170,222 Non-endowed 271,905 Total $ 9,920,603 During the year ended June 30, 2025, $1,219,128 was released from restrictions and used for the following purposes: Scholarships $ 758,778 Athletics 331,897 Fundraising 21,035 Other Student Support 107,127 Management &amp; General 291 Total $ 1,219,128 D. Endowment Funds The Foundation’s endowment consists of funds established for a variety of purposes. Its endowment includes both donor-restricted funds and funds designated by the Board of Directors to function as endowments. As required by generally accepted accounting principles, net assets associated with endowment funds, including funds designated by the Board of Directors to function as endowments, are classified and reported based on the existence or absence of donor-imposed restrictions. Interpretation of Relevant Law: The Board of Directors of the Organization, through obtaining a legal opinion and committee review, has interpreted the Uniform Prudent Management of Institutional Funds Act (UPMIFA) as requiring the preservation of the fair value of the original gift as of the gift date of the donor-restricted endowment funds absent explicit donor stipulations to the contrary. As a result of this</w:t>
      </w:r>
    </w:p>
    <w:p>
      <w:pPr>
        <w:pStyle w:val="ListNumber"/>
      </w:pPr>
      <w:r>
        <w:t>49</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bl>
    <w:p/>
    <w:p>
      <w:r>
        <w:t>NOTE 18: DISCRETELY PRESENTED COMPONENT UNIT (CONTINUED) D. Endowment Funds (Continued) interpretation, the Foundation classifies as net assets with donor restrictions to be held in perpetuity (a) the original value of gifts donated to the permanent endowment, (b) the original value of subsequent gifts to the permanent endowment, and (c) accumulations to the permanent endowment made in accordance with the direction of the applicable donor gift instrument at the time the accumulation is added to the fund. The remaining portion of the donor-restricted endowment fund that is not considered to be held in perpetuity, is also classified as net assets with donor restrictions until those amounts are appropriated for expenditure by the Foundation in a manner consistent with the standard of prudence prescribed by UPMIFA. In accordance with UPMIFA, the Foundation considers the following factors in making a determination to appropriate or accumulate donor-restricted endowment funds: 1. The duration and preservation of the funds; 2. The purposes of the Foundation and the donor-restricted endowment fund; 3. General economic conditions; 4. The possible effect of inflation and deflation; 5. The expected total return from income and the appreciation of investments; 6. Other resources of the Foundation; and 7. The Foundation’s investment policies. Spending Policy. The Foundation has a policy in which any accumulated earnings in excess of a calculated reserve are available for distribution each year. In establishing this policy, the Foundation considered the long-term expected return on its investment assets, the nature and duration of the individual endowment funds, many of which must be maintained in perpetuity because of donor- restrictions, and the possible effects of inflation. The Foundation expects the current spending policy to allow its endowment funds to grow at a nominal average rate of 4% annually. This is consistent with the Foundation’s objective to maintain the purchasing power of the endowment assets as well as to provide additional real growth through new gifts and investment return. The Board-approved spending was $485,164 for the fiscal year ended June 30, 2025. Investment Return Objectives, Risk Parameters and Strategies. The Foundation has adopted investment and spending policies, approved by the Board of Directors, for endowment assets that attempt to provide a predictable stream of funding to programs supported by its endowment funds while also maintaining the purchasing power of those endowment assets over the long-term. Accordingly, the investment process seeks to achieve an after-cost total real rate of return, including investment income as well as capital appreciation, which exceeds the annual distribution with acceptable levels of risk. Endowment assets are invested in a well-diversified asset mix, which includes equity and debt securities, that is intended to preserve and increase the real principal value of the fund over the long-term. The investment objective is to earn an average annual rate of return over a 10-15 year period which exceeds the average annual change in the Consumer Price Index by 4%. Actual returns in any given year may vary from this amount. Investment risk is measured in terms of the total endowment fund; investment assets and allocation between asset classes and strategies are managed to not expose the fund to unacceptable levels of risk.</w:t>
      </w:r>
    </w:p>
    <w:p>
      <w:pPr>
        <w:pStyle w:val="ListNumber"/>
      </w:pPr>
      <w:r>
        <w:t>50</w:t>
      </w:r>
    </w:p>
    <w:p>
      <w:pPr>
        <w:pStyle w:val="Heading2"/>
      </w:pPr>
      <w:r>
        <w:t>NOTES TO FINANCIAL STATEMENTS (CONTINUED)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18: DISCRETELY PRESENTED COMPONENT UNIT (CONTINUED) D. Endowment Funds (Concluded) Endowment net assets as June 30, 2025 are as follows: Total Without Donor With Donor Endowment Restrictions Restrictions Net Assets Donor-restricted Endowment Funds $ - $ 8,686,614 $ 8,686,614 Board-designated Endowment Funds 1,714,683 - 1,714,683 $ 1,714,683 $ 8,686,614 $ 10,401,297 Changes in endowment net assets as of June 30, 2025 are as follows: Total Without Donor With Donor Endowment Restrictions Restrictions Net Assets Endowment Net Assets, Beginning of Year $ 1,658,723 $ 8,062,362 $ 9,721,085 Contributions - 80,000 80,000 Investment Income, Net of Fees 56,752 273,018 329,770 Realized Net Gain (Loss) (3,436) (16,108) (19,544) Unrealized Net Gain (Loss) 135,506 639,644 775,150 Amounts Appropriated for Expenditures (132,862) (352,302) (485,164) Endowment Net Assets, End of Year $ 1,714,683 $ 8,686,614 $ 10,401,297 E. Liquidity and Availability</w:t>
            </w:r>
          </w:p>
        </w:tc>
      </w:tr>
    </w:tbl>
    <w:p/>
    <w:p>
      <w:r>
        <w:t>The Foundation’s financial assets available for general expenditures, that is, without donor restrictions or other limitations, such as Board designations, within one year of the Statement of Net Position date, comprise the following: Cash and Cash Equivalents $ 583,538 Investments 11,300,455 Contributions Receivable 1,728 Less: Amount Designated or Restricted for Specific Purposes (11,376,518) Total $ 509,203 The Foundation’s endowment funds consist of donor-restricted endowments and funds designated by the board as endowments. Income from donor-restricted endowments is restricted for specific purposes, with the exception of the amounts available for general use. Donor-restricted endowment funds are not available for general expenditures. Board-designated endowments of $1,228,719 are reserved for special purposes. Most of these board- designated endowments are subject to annual spending limit as described in Note 18D. Although the Foundation does not intend to spend from the board-designated endowments (other than amounts appropriated for general expenditures as part of the Board’s annual approved budget), these amounts could be made available if necessary.</w:t>
      </w:r>
    </w:p>
    <w:p>
      <w:pPr>
        <w:pStyle w:val="ListNumber"/>
      </w:pPr>
      <w:r>
        <w:t>51</w:t>
      </w:r>
    </w:p>
    <w:p>
      <w:pPr>
        <w:pStyle w:val="Heading2"/>
      </w:pPr>
      <w:r>
        <w:t>NOTES TO FINANCIAL STATEMENTS (CONCLUDED)</w:t>
      </w:r>
    </w:p>
    <w:tbl>
      <w:tblPr>
        <w:tblStyle w:val="TableGrid"/>
        <w:tblW w:type="auto" w:w="0"/>
        <w:tblLook w:firstColumn="1" w:firstRow="1" w:lastColumn="0" w:lastRow="0" w:noHBand="0" w:noVBand="1" w:val="04A0"/>
      </w:tblPr>
      <w:tblGrid>
        <w:gridCol w:w="8640"/>
      </w:tblGrid>
      <w:tr>
        <w:tc>
          <w:tcPr>
            <w:tcW w:type="dxa" w:w="8640"/>
          </w:tcPr>
          <w:p>
            <w:r>
              <w:t>JUNE 30, 2025</w:t>
            </w:r>
          </w:p>
        </w:tc>
      </w:tr>
    </w:tbl>
    <w:p/>
    <w:p>
      <w:r>
        <w:t>NOTE 18: DISCRETELY PRESENTED COMPONENT UNIT (CONCLUDED) E. Liquidity and Availability (Concluded) As part of the Foundation’s liquidity management plan, cash in excess of the Foundation’s daily requirements are invested in short-term investments, certificates of deposit, and money market funds as determined by the Foundation’s investment committee. F. Relationship to John A. Logan College and Related Transactions As part of the Foundation efforts, donations are accepted for the purchase of equipment to be used at the College or to fund construction projects as the College. The College makes the initial purchase and submits invoices to the Foundation for reimbursement. The amounts reimbursed to the College are expensed as title to the assets remains with the College. The College furnishes the Foundation with certain services and facilities at no charge. The total value of the services and facilities provided by the College during the year ended June 30, 2025 is recognized as contributions revenue in the Statement of Activities as detailed below: Occupancy $ 18,000 Contractual Services 23,811 Supplies, Materials, and Travel 9,258 Personnel 390,452 Total $ 441,521 The total value of the services and the facilities provided by the College during the year ended June 30, 2025 is also recognized as expenses as follows: Scholarships $ 100,631 Other Student Services 57,116 Management and General 112,731 Fundraising 171,043 Total $ 441,521 G. Concentrations of Credit Risk The Foundation maintains cash and cash equivalents at its financial institutions that are insured by the Federal Deposit Insurance Corporation (FDIC) up to $250,000. At June 30, 2025, the Foundation had cash and cash equivalents totaling $155,867 that were exposed to custodial credit risk but were collateralized by securities pledged by the Foundation’s financial institution on-behalf of the Foundation.</w:t>
      </w:r>
    </w:p>
    <w:p>
      <w:pPr>
        <w:pStyle w:val="ListNumber"/>
      </w:pPr>
      <w:r>
        <w:t>52</w:t>
      </w:r>
    </w:p>
    <w:p>
      <w:pPr>
        <w:pStyle w:val="Heading2"/>
      </w:pPr>
      <w:r>
        <w:t>REQUIRED SUPPLEMENTARY INFORMATION</w:t>
      </w:r>
    </w:p>
    <w:p>
      <w:r>
        <w:t>STATE UNIVERSITIES RETIREMENT SYSTEM OF ILLINOIS (SURS) PENSION PLAN - GASB 68</w:t>
      </w:r>
    </w:p>
    <w:p>
      <w:pPr>
        <w:pStyle w:val="Heading2"/>
      </w:pPr>
      <w:r>
        <w:t>SCHEDULE OF THE COLLEGE'S PROPORTIONATE SHARE OF THE NET PENSION LIABILITY</w:t>
      </w:r>
    </w:p>
    <w:tbl>
      <w:tblPr>
        <w:tblStyle w:val="TableGrid"/>
        <w:tblW w:type="auto" w:w="0"/>
        <w:tblLook w:firstColumn="1" w:firstRow="1" w:lastColumn="0" w:lastRow="0" w:noHBand="0" w:noVBand="1" w:val="04A0"/>
      </w:tblPr>
      <w:tblGrid>
        <w:gridCol w:w="8640"/>
      </w:tblGrid>
      <w:tr>
        <w:tc>
          <w:tcPr>
            <w:tcW w:type="dxa" w:w="8640"/>
          </w:tcPr>
          <w:p>
            <w:r>
              <w:rPr>
                <w:b/>
              </w:rPr>
              <w:t>State Universities Retirement System - Unaudited</w:t>
            </w:r>
          </w:p>
        </w:tc>
      </w:tr>
      <w:tr>
        <w:tc>
          <w:tcPr>
            <w:tcW w:type="dxa" w:w="8640"/>
          </w:tcPr>
          <w:p>
            <w:r>
              <w:t>FY2025* FY2024* FY2023* FY2022* FY2021* FY2020* FY2019* FY2018* FY2017* FY2016* College's proportionate percentage of the collective net pension liability 0.0000% 0.0000% 0.0000% 0.0000% 0.0000% 0.0000% 0.0000% 0.0000% 0.0000% 0.0000% College's proportionate amount of the collective net pension liability - $ - $ - $ - $ - $ - $ - $ - $ - $ - $ State's proportionate share of collective net pension liability associated with the College 137,237,740 136,715,113 144,216,097 143,278,856 153,781,255 146,156,442 141,981,891 132,756,562 150,631,522 142,796,497 Total 137,237,740 $ 136,715,113 $ 144,216,097 $ 143,278,856 $ 153,781,255 $ 146,156,442 $ 141,981,891 $ 132,756,562 $ 150,631,522 $ 142,796,497 $</w:t>
            </w:r>
          </w:p>
        </w:tc>
      </w:tr>
      <w:tr>
        <w:tc>
          <w:tcPr>
            <w:tcW w:type="dxa" w:w="8640"/>
          </w:tcPr>
          <w:p>
            <w:r>
              <w:t>College's DB covered payroll 18,378,557 $ 18,156,618 $ 17,709,871 $ 18,485,610 $ 18,661,907 $ 18,387,517 $ 18,444,296 $ 18,370,903 $ 20,970,430 $ 21,977,912 $ College's proportionate share of collective net pension liability as a percentage of its</w:t>
            </w:r>
          </w:p>
        </w:tc>
      </w:tr>
      <w:tr>
        <w:tc>
          <w:tcPr>
            <w:tcW w:type="dxa" w:w="8640"/>
          </w:tcPr>
          <w:p>
            <w:r>
              <w:t>DB covered payroll 746.73% 752.98% 814.33% 775.08% 824.04% 794.87% 769.79% 722.65% 718.30% 649.73% SURS plan fiduciary net position as a percentage of the total pension liability 44.60% 44.06% 43.65% 45.45% 39.05% 40.71% 41.27% 42.04% 39.57% 42.37%</w:t>
            </w:r>
          </w:p>
        </w:tc>
      </w:tr>
    </w:tbl>
    <w:p/>
    <w:p>
      <w:pPr>
        <w:pStyle w:val="ListBullet"/>
      </w:pPr>
      <w:r>
        <w:t>*The amounts presented were determined as of the prior fiscal year end.</w:t>
      </w:r>
    </w:p>
    <w:tbl>
      <w:tblPr>
        <w:tblStyle w:val="TableGrid"/>
        <w:tblW w:type="auto" w:w="0"/>
        <w:tblLook w:firstColumn="1" w:firstRow="1" w:lastColumn="0" w:lastRow="0" w:noHBand="0" w:noVBand="1" w:val="04A0"/>
      </w:tblPr>
      <w:tblGrid>
        <w:gridCol w:w="4320"/>
        <w:gridCol w:w="4320"/>
      </w:tblGrid>
      <w:tr>
        <w:tc>
          <w:tcPr>
            <w:tcW w:type="dxa" w:w="4320"/>
          </w:tcPr>
          <w:p>
            <w:r>
              <w:rPr>
                <w:b/>
              </w:rPr>
              <w:t>SCHEDULE OF COLLEGE CONTRIBUTIONS</w:t>
            </w:r>
          </w:p>
        </w:tc>
        <w:tc>
          <w:tcPr>
            <w:tcW w:type="dxa" w:w="4320"/>
          </w:tcPr>
          <w:p>
            <w:r>
              <w:rPr>
                <w:b/>
              </w:rPr>
              <w:t>State Universities Retirement System - Unaudited</w:t>
            </w:r>
          </w:p>
        </w:tc>
      </w:tr>
      <w:tr>
        <w:tc>
          <w:tcPr>
            <w:tcW w:type="dxa" w:w="4320"/>
          </w:tcPr>
          <w:p>
            <w:r>
              <w:t>FY2025 FY2024 FY2023 FY2022 FY2021 FY2020 FY2019 FY2018 FY2017 FY2016 Federal, trust, grant and other contributions (required contributions) 193,240 $ 212,448 $ 236,546 $ 149,463 $ 155,757 $ 153,469 $ 148,117 $ 159,156 $ 161,062 $ 167,235 $ Contributions in relation to required contributions 193,240 212,448 236,546 149,463 155,757 153,469 148,117 159,156 161,062 167,235 Contributions deficiency (excess) - $ - $ - $ - $ - $ - $ - $ - $ - $ - $</w:t>
            </w:r>
          </w:p>
        </w:tc>
        <w:tc>
          <w:tcPr>
            <w:tcW w:type="dxa" w:w="4320"/>
          </w:tcPr>
          <w:p>
            <w:r/>
          </w:p>
        </w:tc>
      </w:tr>
      <w:tr>
        <w:tc>
          <w:tcPr>
            <w:tcW w:type="dxa" w:w="4320"/>
          </w:tcPr>
          <w:p>
            <w:r>
              <w:t>College's covered payroll 1,613,022 $ 1,695,515 $ 1,843,694 $ 1,213,174 $ 1,226,434 $ 1,178,720 $ 1,205,183 $ 1,277,335 $ 1,285,411 $ 1,317,849 $ Contributions as a percentage of covered payroll 11.98% 12.53% 12.83% 12.32% 12.70% 13.02% 12.29% 12.46% 12.53% 12.69%</w:t>
            </w:r>
          </w:p>
        </w:tc>
        <w:tc>
          <w:tcPr>
            <w:tcW w:type="dxa" w:w="4320"/>
          </w:tcPr>
          <w:p>
            <w:r/>
          </w:p>
        </w:tc>
      </w:tr>
      <w:tr>
        <w:tc>
          <w:tcPr>
            <w:tcW w:type="dxa" w:w="4320"/>
          </w:tcPr>
          <w:p>
            <w:r>
              <w:t>FY2025 FY2024 FY2023 FY2022 FY2021 FY2020 FY2019 FY2018 FY2017 FY2016</w:t>
            </w:r>
          </w:p>
        </w:tc>
        <w:tc>
          <w:tcPr>
            <w:tcW w:type="dxa" w:w="4320"/>
          </w:tcPr>
          <w:p>
            <w:r/>
          </w:p>
        </w:tc>
      </w:tr>
      <w:tr>
        <w:tc>
          <w:tcPr>
            <w:tcW w:type="dxa" w:w="4320"/>
          </w:tcPr>
          <w:p>
            <w:r>
              <w:t>On-behalf payments for Community College Health Insurance Program 169,688 $ 144,236 $ 94,643 $ 92,291 $ 92,522 $ 89,969 $ 86,591 $ 85,396 $ 84,297 $ 100,481 $</w:t>
            </w:r>
          </w:p>
        </w:tc>
        <w:tc>
          <w:tcPr>
            <w:tcW w:type="dxa" w:w="4320"/>
          </w:tcPr>
          <w:p>
            <w:r/>
          </w:p>
        </w:tc>
      </w:tr>
      <w:tr>
        <w:tc>
          <w:tcPr>
            <w:tcW w:type="dxa" w:w="4320"/>
          </w:tcPr>
          <w:p>
            <w:r>
              <w:t>Fiscal Year 2025 Total DB Contributions: $1,501,774</w:t>
            </w:r>
          </w:p>
        </w:tc>
        <w:tc>
          <w:tcPr>
            <w:tcW w:type="dxa" w:w="4320"/>
          </w:tcPr>
          <w:p>
            <w:r/>
          </w:p>
        </w:tc>
      </w:tr>
      <w:tr>
        <w:tc>
          <w:tcPr>
            <w:tcW w:type="dxa" w:w="4320"/>
          </w:tcPr>
          <w:p>
            <w:r>
              <w:t>Fiscal Year 2025 Total RSP Contributions: $203,271</w:t>
            </w:r>
          </w:p>
        </w:tc>
        <w:tc>
          <w:tcPr>
            <w:tcW w:type="dxa" w:w="4320"/>
          </w:tcPr>
          <w:p>
            <w:r/>
          </w:p>
        </w:tc>
      </w:tr>
    </w:tbl>
    <w:p/>
    <w:p>
      <w:pPr>
        <w:pStyle w:val="ListNumber"/>
      </w:pPr>
      <w:r>
        <w:t>53</w:t>
      </w:r>
    </w:p>
    <w:p>
      <w:pPr>
        <w:pStyle w:val="Heading2"/>
      </w:pPr>
      <w:r>
        <w:t>SCHEDULE OF CHANGES IN THE COLLEGE'S TOTAL OPEB LIABILITY AND RELATED RATIOS</w:t>
      </w:r>
    </w:p>
    <w:tbl>
      <w:tblPr>
        <w:tblStyle w:val="TableGrid"/>
        <w:tblW w:type="auto" w:w="0"/>
        <w:tblLook w:firstColumn="1" w:firstRow="1" w:lastColumn="0" w:lastRow="0" w:noHBand="0" w:noVBand="1" w:val="04A0"/>
      </w:tblPr>
      <w:tblGrid>
        <w:gridCol w:w="8640"/>
      </w:tblGrid>
      <w:tr>
        <w:tc>
          <w:tcPr>
            <w:tcW w:type="dxa" w:w="8640"/>
          </w:tcPr>
          <w:p>
            <w:r>
              <w:rPr>
                <w:b/>
              </w:rPr>
              <w:t>COLLEGE PLAN - GASB 75 - UNAUDITED</w:t>
            </w:r>
          </w:p>
        </w:tc>
      </w:tr>
      <w:tr>
        <w:tc>
          <w:tcPr>
            <w:tcW w:type="dxa" w:w="8640"/>
          </w:tcPr>
          <w:p>
            <w:r>
              <w:t>Fiscal Year Ended 2025 2024 2023 2022 2021 2020 2019 2018 Total OPEB Liability</w:t>
            </w:r>
          </w:p>
        </w:tc>
      </w:tr>
      <w:tr>
        <w:tc>
          <w:tcPr>
            <w:tcW w:type="dxa" w:w="8640"/>
          </w:tcPr>
          <w:p>
            <w:r>
              <w:t>Service Cost 14,191 $ 16,441 $ 4,831 $ 9,148 $ 6,793 $ 5,389 $ 17,357 $ 17,620 $ Interest on Total OPEB Liability 259,606 204,751 208,735 127,088 148,082 158,767 169,959 148,927 Changes of Benefit Terms - - - 31,247 - - - - Differences Between Expected and Actual Experience - 499,084 - 188,844 - (94,383) - 497,910 Changes of Assumptions or Other Inputs (450,718) 833,823 (20,569) (760,638) 380,555 107,469 162,832 116,522 Benefit Payments (357,186) (333,527) (344,213) (299,561) (245,817) (368,328) (373,937) (475,247) Other Changes - - - - - 6,269 8,234 349,370 Net Change in Total OPEB Liability (534,107) 1,220,572 (151,216) (703,872) 289,613 (184,817) (15,555) 655,102</w:t>
            </w:r>
          </w:p>
        </w:tc>
      </w:tr>
      <w:tr>
        <w:tc>
          <w:tcPr>
            <w:tcW w:type="dxa" w:w="8640"/>
          </w:tcPr>
          <w:p>
            <w:r>
              <w:t>Total OPEB Liability - Beginning 6,345,001 5,124,429 5,275,645 5,979,517 5,689,904 5,874,721 5,890,276 5,235,174</w:t>
            </w:r>
          </w:p>
        </w:tc>
      </w:tr>
      <w:tr>
        <w:tc>
          <w:tcPr>
            <w:tcW w:type="dxa" w:w="8640"/>
          </w:tcPr>
          <w:p>
            <w:r>
              <w:t>Total OPEB Liability - Ending 5,810,894 $ 6,345,001 $ 5,124,429 $ 5,275,645 $ 5,979,517 $ 5,689,904 $ 5,874,721 $ 5,890,276 $</w:t>
            </w:r>
          </w:p>
        </w:tc>
      </w:tr>
      <w:tr>
        <w:tc>
          <w:tcPr>
            <w:tcW w:type="dxa" w:w="8640"/>
          </w:tcPr>
          <w:p>
            <w:r>
              <w:t>Covered Payroll 6,118,663 $ 5,883,129 $ 7,435,428 $ 7,435,428 $ 10,868,249 $ 10,868,249 $ 13,411,239 $ 13,411,239 $</w:t>
            </w:r>
          </w:p>
        </w:tc>
      </w:tr>
      <w:tr>
        <w:tc>
          <w:tcPr>
            <w:tcW w:type="dxa" w:w="8640"/>
          </w:tcPr>
          <w:p>
            <w:r>
              <w:t>Total OPEB Liability as a Percentage of Covered Payroll 94.97% 107.85% 68.92% 70.95% 55.02% 52.35% 43.80% 43.92%</w:t>
            </w:r>
          </w:p>
        </w:tc>
      </w:tr>
      <w:tr>
        <w:tc>
          <w:tcPr>
            <w:tcW w:type="dxa" w:w="8640"/>
          </w:tcPr>
          <w:p>
            <w:r>
              <w:t>Notes to Schedule The information in this schedule will accumulate until a full 10-year trend is presented as required by GASB Statement No. 75.</w:t>
            </w:r>
          </w:p>
        </w:tc>
      </w:tr>
    </w:tbl>
    <w:p/>
    <w:p>
      <w:pPr>
        <w:pStyle w:val="ListNumber"/>
      </w:pPr>
      <w:r>
        <w:t>54</w:t>
      </w:r>
    </w:p>
    <w:p>
      <w:r>
        <w:t>COLLEGE INSURANCE PROGRAM (CIP) - GASB 75</w:t>
      </w:r>
    </w:p>
    <w:p>
      <w:pPr>
        <w:pStyle w:val="Heading2"/>
      </w:pPr>
      <w:r>
        <w:t>SCHEDULE OF THE EMPLOYER'S PROPORTIONATE SHARE OF THE COLLECTIVE NET OPEB LIABILITY †</w:t>
      </w:r>
    </w:p>
    <w:tbl>
      <w:tblPr>
        <w:tblStyle w:val="TableGrid"/>
        <w:tblW w:type="auto" w:w="0"/>
        <w:tblLook w:firstColumn="1" w:firstRow="1" w:lastColumn="0" w:lastRow="0" w:noHBand="0" w:noVBand="1" w:val="04A0"/>
      </w:tblPr>
      <w:tblGrid>
        <w:gridCol w:w="8640"/>
      </w:tblGrid>
      <w:tr>
        <w:tc>
          <w:tcPr>
            <w:tcW w:type="dxa" w:w="8640"/>
          </w:tcPr>
          <w:p>
            <w:r>
              <w:rPr>
                <w:b/>
              </w:rPr>
              <w:t>College Insurance Program (CIP) - Unaudited</w:t>
            </w:r>
          </w:p>
        </w:tc>
      </w:tr>
      <w:tr>
        <w:tc>
          <w:tcPr>
            <w:tcW w:type="dxa" w:w="8640"/>
          </w:tcPr>
          <w:p>
            <w:r>
              <w:t>FY2025 FY2024 FY2023 FY2022 FY2021 FY2020 FY2019 FY2018 FY2017 College's proportion of the collective net OPEB liability 0.907000% 0.956883% 0.978650% 0.995086% 0.978269% 0.964645% 0.977891% 0.971646% 1.108664% College's proportionate share of the collective net OPEB liability 6,034,549 $ 6,758,784 $ 6,699,449 $ 17,270,036 $ 17,831,530 $ 18,217,715 $ 18,435,712 $ 18,011,609 $ 20,177,182 $ State's proportionate share of the collective net OPEB liability associated with the College 6,034,549 6,758,784 6,699,449 17,270,036 17,831,530 18,217,617 18,435,620 23,653,716 21,023,006 Total 12,069,098 $ 13,517,568 $ 13,398,898 $ 34,540,072 $ 35,663,060 $ 36,435,332 $ 36,871,332 $ 41,665,325 $ 41,200,188 $</w:t>
            </w:r>
          </w:p>
        </w:tc>
      </w:tr>
      <w:tr>
        <w:tc>
          <w:tcPr>
            <w:tcW w:type="dxa" w:w="8640"/>
          </w:tcPr>
          <w:p>
            <w:r>
              <w:t>College's covered payroll 33,937,600 $ 28,847,200 $ 18,928,600 $ 18,458,200 $ 18,504,390 $ 17,993,700 $ 17,318,296 $ 17,078,749 $ 16,859,262 $ College's proportionate share of the collective net OPEB liability</w:t>
            </w:r>
          </w:p>
        </w:tc>
      </w:tr>
      <w:tr>
        <w:tc>
          <w:tcPr>
            <w:tcW w:type="dxa" w:w="8640"/>
          </w:tcPr>
          <w:p>
            <w:r>
              <w:t>as a percentage of its covered payroll 17.8% 23.4% 35.4% 93.6% 96.4% 101.2% 106.5% 105.5% 119.7% Plan fiduciary net position as a percentage of the total OPEB liability -15.58% -15.16% -18.05% -6.00% -4.83% -3.96% -3.42% -2.81% N/A</w:t>
            </w:r>
          </w:p>
        </w:tc>
      </w:tr>
      <w:tr>
        <w:tc>
          <w:tcPr>
            <w:tcW w:type="dxa" w:w="8640"/>
          </w:tcPr>
          <w:p>
            <w:r>
              <w:t>† The information in this schedule will accumulate until a full 10-year trend is presented as required by GASB Statement No. 75.</w:t>
            </w:r>
          </w:p>
        </w:tc>
      </w:tr>
      <w:tr>
        <w:tc>
          <w:tcPr>
            <w:tcW w:type="dxa" w:w="8640"/>
          </w:tcPr>
          <w:p>
            <w:r>
              <w:t>SCHEDULE OF STATE CONTRIBUTIONS † College Insurance Program (CIP) - Unaudited</w:t>
            </w:r>
          </w:p>
        </w:tc>
      </w:tr>
      <w:tr>
        <w:tc>
          <w:tcPr>
            <w:tcW w:type="dxa" w:w="8640"/>
          </w:tcPr>
          <w:p>
            <w:r>
              <w:t>FY2025 FY2024 FY2023 FY2022 FY2021 FY2020 FY2019 FY2018 FY2017</w:t>
            </w:r>
          </w:p>
        </w:tc>
      </w:tr>
      <w:tr>
        <w:tc>
          <w:tcPr>
            <w:tcW w:type="dxa" w:w="8640"/>
          </w:tcPr>
          <w:p>
            <w:r>
              <w:t>Statutorily Required Contributions** 169,688 $ 144,236 $ 94,643 $ 92,291 $ 92,522 $ 89,969 $ 86,591 $ 85,396 $ 84,297 $</w:t>
            </w:r>
          </w:p>
        </w:tc>
      </w:tr>
      <w:tr>
        <w:tc>
          <w:tcPr>
            <w:tcW w:type="dxa" w:w="8640"/>
          </w:tcPr>
          <w:p>
            <w:r>
              <w:t>Contributions in relation to the College's covered payroll 0.50% 0.50% 0.50% 0.50% 0.50% 0.50% 0.50% 0.50% 0.50%</w:t>
            </w:r>
          </w:p>
        </w:tc>
      </w:tr>
      <w:tr>
        <w:tc>
          <w:tcPr>
            <w:tcW w:type="dxa" w:w="8640"/>
          </w:tcPr>
          <w:p>
            <w:r>
              <w:t>† The information in this schedule will accumulate until a full 10-year trend is presented as required by GASB Statement No. 75.</w:t>
            </w:r>
          </w:p>
        </w:tc>
      </w:tr>
    </w:tbl>
    <w:p/>
    <w:p>
      <w:r>
        <w:t>Annual contribution deficiency (excess)** N/A N/A N/A N/A N/A N/A N/A N/A N/A</w:t>
      </w:r>
    </w:p>
    <w:p>
      <w:pPr>
        <w:pStyle w:val="ListBullet"/>
      </w:pPr>
      <w:r>
        <w:t>** Statutorily required contributions = actual contributions</w:t>
      </w:r>
    </w:p>
    <w:p>
      <w:pPr>
        <w:pStyle w:val="ListNumber"/>
      </w:pPr>
      <w:r>
        <w:t>55</w:t>
      </w:r>
    </w:p>
    <w:p>
      <w:r>
        <w:t>LOGAN, JOHN A. LOGAN COLLEGE COMMUNITY COLLEGE DISTRICT NO. 530</w:t>
      </w:r>
    </w:p>
    <w:p>
      <w:pPr>
        <w:pStyle w:val="Heading2"/>
      </w:pPr>
      <w:r>
        <w:t>NOTES TO REQUIRED SUPPLEMENTARY INFORMATION - UNAUDITED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1: SURS PENSION PLAN</w:t>
            </w:r>
          </w:p>
        </w:tc>
      </w:tr>
      <w:tr>
        <w:tc>
          <w:tcPr>
            <w:tcW w:type="dxa" w:w="8640"/>
          </w:tcPr>
          <w:p>
            <w:r>
              <w:t>Changes of Benefit Terms.</w:t>
            </w:r>
          </w:p>
        </w:tc>
      </w:tr>
      <w:tr>
        <w:tc>
          <w:tcPr>
            <w:tcW w:type="dxa" w:w="8640"/>
          </w:tcPr>
          <w:p>
            <w:r>
              <w:t>Public Act 103-0548, effective August 11, 2023, made changes to the calculation of service and eliminated the part-time adjustment for participants on or after September 1, 2024. This change was first reflected in the Total Pension Liability as of June 30, 2024.</w:t>
            </w:r>
          </w:p>
        </w:tc>
      </w:tr>
      <w:tr>
        <w:tc>
          <w:tcPr>
            <w:tcW w:type="dxa" w:w="8640"/>
          </w:tcPr>
          <w:p>
            <w:r>
              <w:t>Changes of Assumptions.</w:t>
            </w:r>
          </w:p>
        </w:tc>
      </w:tr>
      <w:tr>
        <w:tc>
          <w:tcPr>
            <w:tcW w:type="dxa" w:w="8640"/>
          </w:tcPr>
          <w:p>
            <w:r>
              <w:t>In accordance with Illinois Complied Statutes, an actuarial review is to be performed at least once every three years to determine the reasonableness of actuarial assumptions regarding the retirement, disability, mortality, turnover, interest, and salary of the members and benefit recipients of SURS. An experience review for the years June 30, 2020 to June 30, 2023 was performed in Spring 2024, resulting in the adoption of new assumptions as of June 30, 2024. These assumptions are listed below.</w:t>
            </w:r>
          </w:p>
        </w:tc>
      </w:tr>
      <w:tr>
        <w:tc>
          <w:tcPr>
            <w:tcW w:type="dxa" w:w="8640"/>
          </w:tcPr>
          <w:p>
            <w:r>
              <w:t>Salary Increase: The overall assumed rates of salary increase range from 3.15% to 15.00% based on years of service, with an underlying wage inflation rate of 2.40%. Separate rates of increase are assumed for members in academic and non-academic positions.</w:t>
            </w:r>
          </w:p>
        </w:tc>
      </w:tr>
      <w:tr>
        <w:tc>
          <w:tcPr>
            <w:tcW w:type="dxa" w:w="8640"/>
          </w:tcPr>
          <w:p>
            <w:r>
              <w:t>Investment Return: The investment return is assumed to be 6.50%. This reflects an assumed real rate of return to 4.10% and assumed price inflation of 2.40%.</w:t>
            </w:r>
          </w:p>
        </w:tc>
      </w:tr>
      <w:tr>
        <w:tc>
          <w:tcPr>
            <w:tcW w:type="dxa" w:w="8640"/>
          </w:tcPr>
          <w:p>
            <w:r>
              <w:t>Effective Rate of Interest (ERI): The long-term assumption for the ERI for crediting the money purchase accounts is 7.00%.</w:t>
            </w:r>
          </w:p>
        </w:tc>
      </w:tr>
    </w:tbl>
    <w:p/>
    <w:p>
      <w:pPr>
        <w:pStyle w:val="ListBullet"/>
      </w:pPr>
      <w:r>
        <w:t>•</w:t>
      </w:r>
    </w:p>
    <w:p>
      <w:pPr>
        <w:pStyle w:val="ListBullet"/>
      </w:pPr>
      <w:r>
        <w:t>•</w:t>
      </w:r>
    </w:p>
    <w:p>
      <w:pPr>
        <w:pStyle w:val="ListBullet"/>
      </w:pPr>
      <w:r>
        <w:t>•</w:t>
      </w:r>
    </w:p>
    <w:p>
      <w:r>
        <w:t>Normal Retirement Rates: Separate rates are assumed for members in academic positions, non- academic positions, and public safety positions. Rates are generally highest for public safety positions and lowest for academic positions.</w:t>
      </w:r>
    </w:p>
    <w:p>
      <w:pPr>
        <w:pStyle w:val="ListBullet"/>
      </w:pPr>
      <w:r>
        <w:t>•</w:t>
      </w:r>
    </w:p>
    <w:p>
      <w:r>
        <w:t>Early Retirement Rates: Separate rates are assumed for members in academic positions, non-academic positions, and public safety positions. Rates are generally higher for non-academic positions.</w:t>
      </w:r>
    </w:p>
    <w:p>
      <w:pPr>
        <w:pStyle w:val="ListBullet"/>
      </w:pPr>
      <w:r>
        <w:t>•</w:t>
      </w:r>
    </w:p>
    <w:p>
      <w:r>
        <w:t>Turnover Rates: Assumed rates maintain the pattern of decreasing termination rates as years of service increase, with separate rates for academic and non-academic positions.</w:t>
      </w:r>
    </w:p>
    <w:p>
      <w:pPr>
        <w:pStyle w:val="ListBullet"/>
      </w:pPr>
      <w:r>
        <w:t>•</w:t>
      </w:r>
    </w:p>
    <w:tbl>
      <w:tblPr>
        <w:tblStyle w:val="TableGrid"/>
        <w:tblW w:type="auto" w:w="0"/>
        <w:tblLook w:firstColumn="1" w:firstRow="1" w:lastColumn="0" w:lastRow="0" w:noHBand="0" w:noVBand="1" w:val="04A0"/>
      </w:tblPr>
      <w:tblGrid>
        <w:gridCol w:w="8640"/>
      </w:tblGrid>
      <w:tr>
        <w:tc>
          <w:tcPr>
            <w:tcW w:type="dxa" w:w="8640"/>
          </w:tcPr>
          <w:p>
            <w:r>
              <w:rPr>
                <w:b/>
              </w:rPr>
              <w:t>Mortality Rates: Use of Pub-2010 mortality tables reflects its high applicability to public pensions. The projection scale utilized is the MP-2021 scale, with separate rates for academic, non-academic, and public safety members.</w:t>
            </w:r>
          </w:p>
        </w:tc>
      </w:tr>
      <w:tr>
        <w:tc>
          <w:tcPr>
            <w:tcW w:type="dxa" w:w="8640"/>
          </w:tcPr>
          <w:p>
            <w:r>
              <w:t>Disability Rates: Separate rates are assumed for members in academic positions, non-academic positions and public safety positions, as well as for males and females. Public safety disability incidence is assumed to be 50.00% line-of-duty related and 50.00% ordinary.</w:t>
            </w:r>
          </w:p>
        </w:tc>
      </w:tr>
      <w:tr>
        <w:tc>
          <w:tcPr>
            <w:tcW w:type="dxa" w:w="8640"/>
          </w:tcPr>
          <w:p>
            <w:r>
              <w:t>Plan Election: For new non-academic members, assumed plan election are 75% for Tier 2 and 25% for Retirement Savings Plan (RSP). For new academic members, assumed plan election rates are 55% for Tier 2 and 45% Retirement Savings Plan (RSP).</w:t>
            </w:r>
          </w:p>
        </w:tc>
      </w:tr>
      <w:tr>
        <w:tc>
          <w:tcPr>
            <w:tcW w:type="dxa" w:w="8640"/>
          </w:tcPr>
          <w:p>
            <w:r>
              <w:t>Cost of living adjustment: Annual annuity increases are assumed to be 3.00% for Tier 1 members and 1.20% for Tier 2 members.</w:t>
            </w:r>
          </w:p>
        </w:tc>
      </w:tr>
      <w:tr>
        <w:tc>
          <w:tcPr>
            <w:tcW w:type="dxa" w:w="8640"/>
          </w:tcPr>
          <w:p>
            <w:r>
              <w:t>Special Funding Situation</w:t>
            </w:r>
          </w:p>
        </w:tc>
      </w:tr>
    </w:tbl>
    <w:p/>
    <w:p>
      <w:pPr>
        <w:pStyle w:val="ListBullet"/>
      </w:pPr>
      <w:r>
        <w:t>•</w:t>
      </w:r>
    </w:p>
    <w:p>
      <w:pPr>
        <w:pStyle w:val="ListBullet"/>
      </w:pPr>
      <w:r>
        <w:t>•</w:t>
      </w:r>
    </w:p>
    <w:p>
      <w:pPr>
        <w:pStyle w:val="ListBullet"/>
      </w:pPr>
      <w:r>
        <w:t>•</w:t>
      </w:r>
    </w:p>
    <w:p>
      <w:pPr>
        <w:pStyle w:val="ListBullet"/>
      </w:pPr>
      <w:r>
        <w:t>•</w:t>
      </w:r>
    </w:p>
    <w:p>
      <w:r>
        <w:t>For the purposes of financial reporting, the State of Illinois and participating employers are considered to be under a special funding situation. A special funding situation is defined as a circumstance in which a nonemployer entity is legally responsible for making contributions directly to a pension plan that is used to provide pensions to the employees of another entity or entities and either (1) the amount of the contributions for which the nonemployer entity is legally responsible is not dependent upon one or more events unrelated to pensions or (2) the nonemployer is the only entity with a legal obligation to make contributions directly to a pension plan. The State of Illinois is considered a nonemployer contributing entity. Participating employers are considered employer contributing entities. The State is responsible for the collective net pension liability of the plan with the exception of federal, trust, or grant contributions made by the College that are recognized as deferred outflows of resources.</w:t>
      </w:r>
    </w:p>
    <w:p>
      <w:pPr>
        <w:pStyle w:val="ListNumber"/>
      </w:pPr>
      <w:r>
        <w:t>56</w:t>
      </w:r>
    </w:p>
    <w:p>
      <w:r>
        <w:t>LOGAN, JOHN A. LOGAN COLLEGE COMMUNITY COLLEGE DISTRICT NO. 530</w:t>
      </w:r>
    </w:p>
    <w:p>
      <w:pPr>
        <w:pStyle w:val="Heading2"/>
      </w:pPr>
      <w:r>
        <w:t>NOTES TO REQUIRED SUPPLEMENTARY INFORMATION (CONCLUDED) - UNAUDITED</w:t>
      </w:r>
    </w:p>
    <w:tbl>
      <w:tblPr>
        <w:tblStyle w:val="TableGrid"/>
        <w:tblW w:type="auto" w:w="0"/>
        <w:tblLook w:firstColumn="1" w:firstRow="1" w:lastColumn="0" w:lastRow="0" w:noHBand="0" w:noVBand="1" w:val="04A0"/>
      </w:tblPr>
      <w:tblGrid>
        <w:gridCol w:w="8640"/>
      </w:tblGrid>
      <w:tr>
        <w:tc>
          <w:tcPr>
            <w:tcW w:type="dxa" w:w="8640"/>
          </w:tcPr>
          <w:p>
            <w:r>
              <w:t>JUNE 30, 2025</w:t>
            </w:r>
          </w:p>
        </w:tc>
      </w:tr>
      <w:tr>
        <w:tc>
          <w:tcPr>
            <w:tcW w:type="dxa" w:w="8640"/>
          </w:tcPr>
          <w:p>
            <w:r>
              <w:t>NOTE 2: COLLEGE INSURANCE PLAN</w:t>
            </w:r>
          </w:p>
        </w:tc>
      </w:tr>
      <w:tr>
        <w:tc>
          <w:tcPr>
            <w:tcW w:type="dxa" w:w="8640"/>
          </w:tcPr>
          <w:p>
            <w:r>
              <w:t>Valuation Date June 30, 2023 Measurement Date June 30, 2024 Sponsor's Fiscal Year-End June 30, 2025</w:t>
            </w:r>
          </w:p>
        </w:tc>
      </w:tr>
      <w:tr>
        <w:tc>
          <w:tcPr>
            <w:tcW w:type="dxa" w:w="8640"/>
          </w:tcPr>
          <w:p>
            <w:r>
              <w:t>Actuarial Cost Method</w:t>
            </w:r>
          </w:p>
        </w:tc>
      </w:tr>
      <w:tr>
        <w:tc>
          <w:tcPr>
            <w:tcW w:type="dxa" w:w="8640"/>
          </w:tcPr>
          <w:p>
            <w:r>
              <w:t>Contribution Policy</w:t>
            </w:r>
          </w:p>
        </w:tc>
      </w:tr>
    </w:tbl>
    <w:p/>
    <w:p>
      <w:r>
        <w:t>Methods and Assumptions Used to Determine Actuarial Liability and Contributions:</w:t>
      </w:r>
    </w:p>
    <w:p>
      <w:r>
        <w:t>Entry Age Normal, used to measure the Total OPEB Liability</w:t>
      </w:r>
    </w:p>
    <w:p>
      <w:r>
        <w:t>Benefits are financed on a pay-as-you-go basis. Retired members contribute a percentage of premium rates based on service at retirement. The sponsor contributes claims and expenses in excess of retired member contributions. The goal of the policy is to finance current year costs plus a margin for incurred but not paid plan costs.</w:t>
      </w:r>
    </w:p>
    <w:tbl>
      <w:tblPr>
        <w:tblStyle w:val="TableGrid"/>
        <w:tblW w:type="auto" w:w="0"/>
        <w:tblLook w:firstColumn="1" w:firstRow="1" w:lastColumn="0" w:lastRow="0" w:noHBand="0" w:noVBand="1" w:val="04A0"/>
      </w:tblPr>
      <w:tblGrid>
        <w:gridCol w:w="4320"/>
        <w:gridCol w:w="4320"/>
      </w:tblGrid>
      <w:tr>
        <w:tc>
          <w:tcPr>
            <w:tcW w:type="dxa" w:w="4320"/>
          </w:tcPr>
          <w:p>
            <w:r>
              <w:rPr>
                <w:b/>
              </w:rPr>
              <w:t>Asset Valuation Method</w:t>
            </w:r>
          </w:p>
        </w:tc>
        <w:tc>
          <w:tcPr>
            <w:tcW w:type="dxa" w:w="4320"/>
          </w:tcPr>
          <w:p>
            <w:r>
              <w:rPr>
                <w:b/>
              </w:rPr>
              <w:t>Not applicable</w:t>
            </w:r>
          </w:p>
        </w:tc>
      </w:tr>
      <w:tr>
        <w:tc>
          <w:tcPr>
            <w:tcW w:type="dxa" w:w="4320"/>
          </w:tcPr>
          <w:p>
            <w:r>
              <w:t>Investment Rate of Return</w:t>
            </w:r>
          </w:p>
        </w:tc>
        <w:tc>
          <w:tcPr>
            <w:tcW w:type="dxa" w:w="4320"/>
          </w:tcPr>
          <w:p>
            <w:r>
              <w:t>Not applicable</w:t>
            </w:r>
          </w:p>
        </w:tc>
      </w:tr>
      <w:tr>
        <w:tc>
          <w:tcPr>
            <w:tcW w:type="dxa" w:w="4320"/>
          </w:tcPr>
          <w:p>
            <w:r>
              <w:t>Inflation</w:t>
            </w:r>
          </w:p>
        </w:tc>
        <w:tc>
          <w:tcPr>
            <w:tcW w:type="dxa" w:w="4320"/>
          </w:tcPr>
          <w:p>
            <w:r>
              <w:t>2.25%</w:t>
            </w:r>
          </w:p>
        </w:tc>
      </w:tr>
      <w:tr>
        <w:tc>
          <w:tcPr>
            <w:tcW w:type="dxa" w:w="4320"/>
          </w:tcPr>
          <w:p>
            <w:r>
              <w:t>Salary Increases</w:t>
            </w:r>
          </w:p>
        </w:tc>
        <w:tc>
          <w:tcPr>
            <w:tcW w:type="dxa" w:w="4320"/>
          </w:tcPr>
          <w:p>
            <w:r>
              <w:t>Depends on service and ranges from 12.75% at less than 1 year of service to 3.50% at 20 or more years of service for employees under 50, and ranges from 12.00% at less than 1 year of service to 3.00% at 20 or more years of service, for employees over 50 years of age. Salary increases include a 3.00% wage inflation assumption.</w:t>
            </w:r>
          </w:p>
        </w:tc>
      </w:tr>
      <w:tr>
        <w:tc>
          <w:tcPr>
            <w:tcW w:type="dxa" w:w="4320"/>
          </w:tcPr>
          <w:p>
            <w:r>
              <w:t>Retirement Age</w:t>
            </w:r>
          </w:p>
        </w:tc>
        <w:tc>
          <w:tcPr>
            <w:tcW w:type="dxa" w:w="4320"/>
          </w:tcPr>
          <w:p>
            <w:r>
              <w:t>Experience-based table of rates that are specific to the type of eligibility condition. Last updated for the June 30, 2021 actuarial valuation of SURS.</w:t>
            </w:r>
          </w:p>
        </w:tc>
      </w:tr>
      <w:tr>
        <w:tc>
          <w:tcPr>
            <w:tcW w:type="dxa" w:w="4320"/>
          </w:tcPr>
          <w:p>
            <w:r>
              <w:t>Mortality</w:t>
            </w:r>
          </w:p>
        </w:tc>
        <w:tc>
          <w:tcPr>
            <w:tcW w:type="dxa" w:w="4320"/>
          </w:tcPr>
          <w:p>
            <w:r>
              <w:t>Retirement and Beneficiary Annuitants: Pub-2010 Healthy Mortality Table and PubT-2010 Healthy Retiree Mortality Table. Disabled Annuitants: Pub-2010 Disabled Retiree Mortality Table. Pre-Retirement: Pub-2010 Employee Mortality Table and PubT-2010 Employee Mortality Table. Tables are adjusted for SURS experience. All tables reflect future mortality improvements using Projection Scale MP-2020.</w:t>
            </w:r>
          </w:p>
        </w:tc>
      </w:tr>
      <w:tr>
        <w:tc>
          <w:tcPr>
            <w:tcW w:type="dxa" w:w="4320"/>
          </w:tcPr>
          <w:p>
            <w:r>
              <w:t>Healthcare Cost Trend Rates</w:t>
            </w:r>
          </w:p>
        </w:tc>
        <w:tc>
          <w:tcPr>
            <w:tcW w:type="dxa" w:w="4320"/>
          </w:tcPr>
          <w:p>
            <w:r>
              <w:t>Trend rates for plan year 2025 are based on actual premium increases. For non-Medicare costs, trends start at 8.00% for plan year 2026 and decrease gradually to an ultimate rate of 4.25% in 2041. For MAPD costs, trend rates are based on actual premium increases for 2025, 15.00% in 2026 to 2030, and 7.00% in 2031, declining gradually to an ultimate rate of 4.25% in 2041.</w:t>
            </w:r>
          </w:p>
        </w:tc>
      </w:tr>
      <w:tr>
        <w:tc>
          <w:tcPr>
            <w:tcW w:type="dxa" w:w="4320"/>
          </w:tcPr>
          <w:p>
            <w:r>
              <w:t>Aging Factors</w:t>
            </w:r>
          </w:p>
        </w:tc>
        <w:tc>
          <w:tcPr>
            <w:tcW w:type="dxa" w:w="4320"/>
          </w:tcPr>
          <w:p>
            <w:r/>
          </w:p>
        </w:tc>
      </w:tr>
      <w:tr>
        <w:tc>
          <w:tcPr>
            <w:tcW w:type="dxa" w:w="4320"/>
          </w:tcPr>
          <w:p>
            <w:r>
              <w:t>Expenses</w:t>
            </w:r>
          </w:p>
        </w:tc>
        <w:tc>
          <w:tcPr>
            <w:tcW w:type="dxa" w:w="4320"/>
          </w:tcPr>
          <w:p>
            <w:r/>
          </w:p>
        </w:tc>
      </w:tr>
    </w:tbl>
    <w:p/>
    <w:p>
      <w:r>
        <w:t>Based on the 2013 SOA Study "Health Care Costs - From Birth to Death"</w:t>
      </w:r>
    </w:p>
    <w:p>
      <w:r>
        <w:t>Health administrative expenses are included in the development of the per capita claims costs. Operating expenses are included as a component of the Annual OPEB Expense.</w:t>
      </w:r>
    </w:p>
    <w:p>
      <w:pPr>
        <w:pStyle w:val="ListNumber"/>
      </w:pPr>
      <w:r>
        <w:t>57</w:t>
      </w:r>
    </w:p>
    <w:p>
      <w:pPr>
        <w:pStyle w:val="Heading2"/>
      </w:pPr>
      <w:r>
        <w:t>OTHER SUPPLEMENTAL INFORMATION</w:t>
      </w:r>
    </w:p>
    <w:p>
      <w:pPr>
        <w:pStyle w:val="Heading2"/>
      </w:pPr>
      <w:r>
        <w:t>Other</w:t>
      </w:r>
    </w:p>
    <w:p>
      <w:pPr>
        <w:pStyle w:val="Heading2"/>
      </w:pPr>
      <w:r>
        <w:t>SCHEDULE OF ASSESSED VALUATIONS, TAX RATES, AND TAXES EXTENDED</w:t>
      </w:r>
    </w:p>
    <w:tbl>
      <w:tblPr>
        <w:tblStyle w:val="TableGrid"/>
        <w:tblW w:type="auto" w:w="0"/>
        <w:tblLook w:firstColumn="1" w:firstRow="1" w:lastColumn="0" w:lastRow="0" w:noHBand="0" w:noVBand="1" w:val="04A0"/>
      </w:tblPr>
      <w:tblGrid>
        <w:gridCol w:w="4320"/>
        <w:gridCol w:w="4320"/>
      </w:tblGrid>
      <w:tr>
        <w:tc>
          <w:tcPr>
            <w:tcW w:type="dxa" w:w="4320"/>
          </w:tcPr>
          <w:p>
            <w:r>
              <w:rPr>
                <w:b/>
              </w:rPr>
              <w:t>UNAUDITED</w:t>
            </w:r>
          </w:p>
        </w:tc>
        <w:tc>
          <w:tcPr>
            <w:tcW w:type="dxa" w:w="4320"/>
          </w:tcPr>
          <w:p>
            <w:r>
              <w:rPr>
                <w:b/>
              </w:rPr>
            </w:r>
          </w:p>
        </w:tc>
      </w:tr>
      <w:tr>
        <w:tc>
          <w:tcPr>
            <w:tcW w:type="dxa" w:w="4320"/>
          </w:tcPr>
          <w:p>
            <w:r>
              <w:t>LEVY YEARS 2022, 2023 AND 2024</w:t>
            </w:r>
          </w:p>
        </w:tc>
        <w:tc>
          <w:tcPr>
            <w:tcW w:type="dxa" w:w="4320"/>
          </w:tcPr>
          <w:p>
            <w:r/>
          </w:p>
        </w:tc>
      </w:tr>
      <w:tr>
        <w:tc>
          <w:tcPr>
            <w:tcW w:type="dxa" w:w="4320"/>
          </w:tcPr>
          <w:p>
            <w:r>
              <w:t>2023 Levy 2024 Levy 2022 Levy</w:t>
            </w:r>
          </w:p>
        </w:tc>
        <w:tc>
          <w:tcPr>
            <w:tcW w:type="dxa" w:w="4320"/>
          </w:tcPr>
          <w:p>
            <w:r/>
          </w:p>
        </w:tc>
      </w:tr>
      <w:tr>
        <w:tc>
          <w:tcPr>
            <w:tcW w:type="dxa" w:w="4320"/>
          </w:tcPr>
          <w:p>
            <w:r>
              <w:t>Payable in 2025*</w:t>
            </w:r>
          </w:p>
        </w:tc>
        <w:tc>
          <w:tcPr>
            <w:tcW w:type="dxa" w:w="4320"/>
          </w:tcPr>
          <w:p>
            <w:r>
              <w:t>Payable in 2023* Payable in 2024*</w:t>
            </w:r>
          </w:p>
        </w:tc>
      </w:tr>
      <w:tr>
        <w:tc>
          <w:tcPr>
            <w:tcW w:type="dxa" w:w="4320"/>
          </w:tcPr>
          <w:p>
            <w:r>
              <w:t>Assessed Valuation (by County)</w:t>
            </w:r>
          </w:p>
        </w:tc>
        <w:tc>
          <w:tcPr>
            <w:tcW w:type="dxa" w:w="4320"/>
          </w:tcPr>
          <w:p>
            <w:r/>
          </w:p>
        </w:tc>
      </w:tr>
      <w:tr>
        <w:tc>
          <w:tcPr>
            <w:tcW w:type="dxa" w:w="4320"/>
          </w:tcPr>
          <w:p>
            <w:r>
              <w:t>Franklin County $ 126,172,144 $ 118,558,177 $ 107,333,205 Jackson County 905,987,227 815,831,864 760,945,209 Perry County 146,154,443 137,218,927 122,807,353 Randolph County 17,820,629 16,448,447 15,316,113 Williamson County 1,497,252,132 1,351,320,160 1,213,714,414 $ 2,693,386,575 $ 2,439,377,575 $ 2,220,116,294</w:t>
            </w:r>
          </w:p>
        </w:tc>
        <w:tc>
          <w:tcPr>
            <w:tcW w:type="dxa" w:w="4320"/>
          </w:tcPr>
          <w:p>
            <w:r/>
          </w:p>
        </w:tc>
      </w:tr>
      <w:tr>
        <w:tc>
          <w:tcPr>
            <w:tcW w:type="dxa" w:w="4320"/>
          </w:tcPr>
          <w:p>
            <w:r>
              <w:t>Tax Rates</w:t>
            </w:r>
          </w:p>
        </w:tc>
        <w:tc>
          <w:tcPr>
            <w:tcW w:type="dxa" w:w="4320"/>
          </w:tcPr>
          <w:p>
            <w:r/>
          </w:p>
        </w:tc>
      </w:tr>
      <w:tr>
        <w:tc>
          <w:tcPr>
            <w:tcW w:type="dxa" w:w="4320"/>
          </w:tcPr>
          <w:p>
            <w:r>
              <w:t>(Per $100 of Assessed Valuation)</w:t>
            </w:r>
          </w:p>
        </w:tc>
        <w:tc>
          <w:tcPr>
            <w:tcW w:type="dxa" w:w="4320"/>
          </w:tcPr>
          <w:p>
            <w:r/>
          </w:p>
        </w:tc>
      </w:tr>
      <w:tr>
        <w:tc>
          <w:tcPr>
            <w:tcW w:type="dxa" w:w="4320"/>
          </w:tcPr>
          <w:p>
            <w:r>
              <w:t>Education 0.27016 0.27592 0.29345 Operations and Maintenance 0.04503 0.04798 0.04887 Bond and Interest 0.18679 0.20686 0.22848 Audit 0.00308 0.00277 0.00270 Liability, Protection, and Settlement 0.09006 0.10230 0.10809 Health, Life, and Safety 0.04266 0.04717 0.04625 Prior Year Adjustment 0.00717 0.00296 0.00033 0.64495 0.68596 0.72817</w:t>
            </w:r>
          </w:p>
        </w:tc>
        <w:tc>
          <w:tcPr>
            <w:tcW w:type="dxa" w:w="4320"/>
          </w:tcPr>
          <w:p>
            <w:r/>
          </w:p>
        </w:tc>
      </w:tr>
      <w:tr>
        <w:tc>
          <w:tcPr>
            <w:tcW w:type="dxa" w:w="4320"/>
          </w:tcPr>
          <w:p>
            <w:r>
              <w:t>Taxes Extended</w:t>
            </w:r>
          </w:p>
        </w:tc>
        <w:tc>
          <w:tcPr>
            <w:tcW w:type="dxa" w:w="4320"/>
          </w:tcPr>
          <w:p>
            <w:r/>
          </w:p>
        </w:tc>
      </w:tr>
      <w:tr>
        <w:tc>
          <w:tcPr>
            <w:tcW w:type="dxa" w:w="4320"/>
          </w:tcPr>
          <w:p>
            <w:r>
              <w:t>Education $ 7,462,889 $ 6,899,328 $ 6,580,851 Operations and Maintenance 1,243,934 1,189,235 1,096,344 Bond and Interest 5,161,738 5,196,670 5,147,355 Audit 85,164 69,644 60,958 Liability, Protection, and Settlement 2,488,017 2,568,975 2,434,588 Health, Life, and Safety 1,178,515 1,177,193 1,041,718 Prior Year Adjustment (324,504) (134,128) (80,233) $ 17,295,753 $ 16,966,917 $ 16,281,581</w:t>
            </w:r>
          </w:p>
        </w:tc>
        <w:tc>
          <w:tcPr>
            <w:tcW w:type="dxa" w:w="4320"/>
          </w:tcPr>
          <w:p>
            <w:r/>
          </w:p>
        </w:tc>
      </w:tr>
    </w:tbl>
    <w:p/>
    <w:p>
      <w:pPr>
        <w:pStyle w:val="ListBullet"/>
      </w:pPr>
      <w:r>
        <w:t>*</w:t>
      </w:r>
    </w:p>
    <w:p>
      <w:r>
        <w:t>Tax rates vary by county. Williamson County rates are reflected in the table. Tax extended represents actual extensions from all counties. Therefore, rate times assessed valuation does not compute to taxes extended.</w:t>
      </w:r>
    </w:p>
    <w:p>
      <w:pPr>
        <w:pStyle w:val="ListNumber"/>
      </w:pPr>
      <w:r>
        <w:t>58</w:t>
      </w:r>
    </w:p>
    <w:tbl>
      <w:tblPr>
        <w:tblStyle w:val="TableGrid"/>
        <w:tblW w:type="auto" w:w="0"/>
        <w:tblLook w:firstColumn="1" w:firstRow="1" w:lastColumn="0" w:lastRow="0" w:noHBand="0" w:noVBand="1" w:val="04A0"/>
      </w:tblPr>
      <w:tblGrid>
        <w:gridCol w:w="8640"/>
      </w:tblGrid>
      <w:tr>
        <w:tc>
          <w:tcPr>
            <w:tcW w:type="dxa" w:w="8640"/>
          </w:tcPr>
          <w:p>
            <w:r>
              <w:rPr>
                <w:b/>
              </w:rPr>
              <w:t>SCHEDULE OF LEGAL DEBT MARGIN</w:t>
            </w:r>
          </w:p>
        </w:tc>
      </w:tr>
      <w:tr>
        <w:tc>
          <w:tcPr>
            <w:tcW w:type="dxa" w:w="8640"/>
          </w:tcPr>
          <w:p>
            <w:r>
              <w:t>UNAUDITED</w:t>
            </w:r>
          </w:p>
        </w:tc>
      </w:tr>
      <w:tr>
        <w:tc>
          <w:tcPr>
            <w:tcW w:type="dxa" w:w="8640"/>
          </w:tcPr>
          <w:p>
            <w:r>
              <w:t>FOR THE YEAR ENDED JUNE 30, 2025</w:t>
            </w:r>
          </w:p>
        </w:tc>
      </w:tr>
      <w:tr>
        <w:tc>
          <w:tcPr>
            <w:tcW w:type="dxa" w:w="8640"/>
          </w:tcPr>
          <w:p>
            <w:r>
              <w:t>Assessed Valuation - 2023 Levy</w:t>
            </w:r>
          </w:p>
        </w:tc>
      </w:tr>
      <w:tr>
        <w:tc>
          <w:tcPr>
            <w:tcW w:type="dxa" w:w="8640"/>
          </w:tcPr>
          <w:p>
            <w:r>
              <w:t>Franklin County $ 118,558,177 Jackson County 815,831,864 Perry County 137,218,927 Randolph County 16,448,447 Williamson County 1,351,320,160 $ 2,439,377,575</w:t>
            </w:r>
          </w:p>
        </w:tc>
      </w:tr>
      <w:tr>
        <w:tc>
          <w:tcPr>
            <w:tcW w:type="dxa" w:w="8640"/>
          </w:tcPr>
          <w:p>
            <w:r>
              <w:t>Debt Limit, 2.875% of Assessed Valuation (50 ILCS 405/1) $ 70,132,105</w:t>
            </w:r>
          </w:p>
        </w:tc>
      </w:tr>
      <w:tr>
        <w:tc>
          <w:tcPr>
            <w:tcW w:type="dxa" w:w="8640"/>
          </w:tcPr>
          <w:p>
            <w:r>
              <w:t>Less: Total Indebtedness (16,468,846)</w:t>
            </w:r>
          </w:p>
        </w:tc>
      </w:tr>
      <w:tr>
        <w:tc>
          <w:tcPr>
            <w:tcW w:type="dxa" w:w="8640"/>
          </w:tcPr>
          <w:p>
            <w:r>
              <w:t>Legal Debt Margin $ 53,663,259</w:t>
            </w:r>
          </w:p>
        </w:tc>
      </w:tr>
    </w:tbl>
    <w:p/>
    <w:p>
      <w:pPr>
        <w:pStyle w:val="ListNumber"/>
      </w:pPr>
      <w:r>
        <w:t>59</w:t>
      </w:r>
    </w:p>
    <w:p>
      <w:pPr>
        <w:pStyle w:val="Heading2"/>
      </w:pPr>
      <w:r>
        <w:t>UNIFORM FINANCIAL STATEMENTS</w:t>
      </w:r>
    </w:p>
    <w:p>
      <w:pPr>
        <w:pStyle w:val="Heading2"/>
      </w:pPr>
      <w:r>
        <w:t>ALL FUNDS SUMMARY</w:t>
      </w:r>
    </w:p>
    <w:p>
      <w:r>
        <w:t>FISCAL YEAR ENDED JUNE 30, 2025 UNIFORM FINANCIAL STATEMENT #1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Operations and Operations</w:t>
            </w:r>
          </w:p>
        </w:tc>
        <w:tc>
          <w:tcPr>
            <w:tcW w:type="dxa" w:w="2160"/>
          </w:tcPr>
          <w:p>
            <w:r>
              <w:rPr>
                <w:b/>
              </w:rPr>
              <w:t>Liability, Protection</w:t>
            </w:r>
          </w:p>
        </w:tc>
        <w:tc>
          <w:tcPr>
            <w:tcW w:type="dxa" w:w="2160"/>
          </w:tcPr>
          <w:p>
            <w:r>
              <w:rPr>
                <w:b/>
              </w:rPr>
            </w:r>
          </w:p>
        </w:tc>
        <w:tc>
          <w:tcPr>
            <w:tcW w:type="dxa" w:w="2160"/>
          </w:tcPr>
          <w:p>
            <w:r>
              <w:rPr>
                <w:b/>
              </w:rPr>
            </w:r>
          </w:p>
        </w:tc>
      </w:tr>
      <w:tr>
        <w:tc>
          <w:tcPr>
            <w:tcW w:type="dxa" w:w="2160"/>
          </w:tcPr>
          <w:p>
            <w:r>
              <w:t>Bond and</w:t>
            </w:r>
          </w:p>
        </w:tc>
        <w:tc>
          <w:tcPr>
            <w:tcW w:type="dxa" w:w="2160"/>
          </w:tcPr>
          <w:p>
            <w:r>
              <w:t>Restricted</w:t>
            </w:r>
          </w:p>
        </w:tc>
        <w:tc>
          <w:tcPr>
            <w:tcW w:type="dxa" w:w="2160"/>
          </w:tcPr>
          <w:p>
            <w:r/>
          </w:p>
        </w:tc>
        <w:tc>
          <w:tcPr>
            <w:tcW w:type="dxa" w:w="2160"/>
          </w:tcPr>
          <w:p>
            <w:r/>
          </w:p>
        </w:tc>
      </w:tr>
      <w:tr>
        <w:tc>
          <w:tcPr>
            <w:tcW w:type="dxa" w:w="2160"/>
          </w:tcPr>
          <w:p>
            <w:r>
              <w:t>Interest</w:t>
            </w:r>
          </w:p>
        </w:tc>
        <w:tc>
          <w:tcPr>
            <w:tcW w:type="dxa" w:w="2160"/>
          </w:tcPr>
          <w:p>
            <w:r>
              <w:t>Fund Purposes</w:t>
            </w:r>
          </w:p>
        </w:tc>
        <w:tc>
          <w:tcPr>
            <w:tcW w:type="dxa" w:w="2160"/>
          </w:tcPr>
          <w:p>
            <w:r/>
          </w:p>
        </w:tc>
        <w:tc>
          <w:tcPr>
            <w:tcW w:type="dxa" w:w="2160"/>
          </w:tcPr>
          <w:p>
            <w:r/>
          </w:p>
        </w:tc>
      </w:tr>
      <w:tr>
        <w:tc>
          <w:tcPr>
            <w:tcW w:type="dxa" w:w="2160"/>
          </w:tcPr>
          <w:p>
            <w:r>
              <w:t>Fund Fund</w:t>
            </w:r>
          </w:p>
        </w:tc>
        <w:tc>
          <w:tcPr>
            <w:tcW w:type="dxa" w:w="2160"/>
          </w:tcPr>
          <w:p>
            <w:r>
              <w:t>(Restricted)</w:t>
            </w:r>
          </w:p>
        </w:tc>
        <w:tc>
          <w:tcPr>
            <w:tcW w:type="dxa" w:w="2160"/>
          </w:tcPr>
          <w:p>
            <w:r>
              <w:t>Fund</w:t>
            </w:r>
          </w:p>
        </w:tc>
        <w:tc>
          <w:tcPr>
            <w:tcW w:type="dxa" w:w="2160"/>
          </w:tcPr>
          <w:p>
            <w:r>
              <w:t>Total</w:t>
            </w:r>
          </w:p>
        </w:tc>
      </w:tr>
      <w:tr>
        <w:tc>
          <w:tcPr>
            <w:tcW w:type="dxa" w:w="2160"/>
          </w:tcPr>
          <w:p>
            <w:r>
              <w:t>Fund Balance, July 1, 2024, Restated $ 14,067,777 $ 1,291,503 $ 12,479,513 $ 276,263 $ 418,110 $ 3,892,997 $ 7,535,685 $ 9,112 $ 1,546,312 $ 41,517,272</w:t>
            </w:r>
          </w:p>
        </w:tc>
        <w:tc>
          <w:tcPr>
            <w:tcW w:type="dxa" w:w="2160"/>
          </w:tcPr>
          <w:p>
            <w:r/>
          </w:p>
        </w:tc>
        <w:tc>
          <w:tcPr>
            <w:tcW w:type="dxa" w:w="2160"/>
          </w:tcPr>
          <w:p>
            <w:r/>
          </w:p>
        </w:tc>
        <w:tc>
          <w:tcPr>
            <w:tcW w:type="dxa" w:w="2160"/>
          </w:tcPr>
          <w:p>
            <w:r/>
          </w:p>
        </w:tc>
      </w:tr>
      <w:tr>
        <w:tc>
          <w:tcPr>
            <w:tcW w:type="dxa" w:w="2160"/>
          </w:tcPr>
          <w:p>
            <w:r>
              <w:t>Revenues</w:t>
            </w:r>
          </w:p>
        </w:tc>
        <w:tc>
          <w:tcPr>
            <w:tcW w:type="dxa" w:w="2160"/>
          </w:tcPr>
          <w:p>
            <w:r/>
          </w:p>
        </w:tc>
        <w:tc>
          <w:tcPr>
            <w:tcW w:type="dxa" w:w="2160"/>
          </w:tcPr>
          <w:p>
            <w:r/>
          </w:p>
        </w:tc>
        <w:tc>
          <w:tcPr>
            <w:tcW w:type="dxa" w:w="2160"/>
          </w:tcPr>
          <w:p>
            <w:r/>
          </w:p>
        </w:tc>
      </w:tr>
      <w:tr>
        <w:tc>
          <w:tcPr>
            <w:tcW w:type="dxa" w:w="2160"/>
          </w:tcPr>
          <w:p>
            <w:r>
              <w:t>Local Tax Revenue 7,681,060 1,176,533 1,164,505 5,137,963 - - - 68,856 2,540,026 17,768,943 All Other Local Revenue - - - - - - - - - - ICCB Grants 6,597,263 3,194,721 - - - 1,466,549 - - - 11,258,533 All Other State Revenue 237,663 101,855 1,635,514 - - 1,406,049 - - - 3,381,081 Federal Revenue 245,377 105,162 183,248 - - 9,578,674 - - - 10,112,461 Student Tuition and Fees 10,524,864 - - - 261,740 17,980 - - - 10,804,584 On-Behalf CIP - - - - - (2,287,489) - - - (2,287,489) On-Behalf SURS - - - - - 9,216,940 - - - 9,216,940 All Other Revenue 2,336,176 248,786 373,877 23,773 1,086,730 1,416,179 293,904 4,151 390,601 6,174,177 Total Revenues 27,622,403 4,827,057 3,357,144 5,161,736 1,348,470 20,814,882 293,904 73,007 2,930,627 66,429,230</w:t>
            </w:r>
          </w:p>
        </w:tc>
        <w:tc>
          <w:tcPr>
            <w:tcW w:type="dxa" w:w="2160"/>
          </w:tcPr>
          <w:p>
            <w:r/>
          </w:p>
        </w:tc>
        <w:tc>
          <w:tcPr>
            <w:tcW w:type="dxa" w:w="2160"/>
          </w:tcPr>
          <w:p>
            <w:r/>
          </w:p>
        </w:tc>
        <w:tc>
          <w:tcPr>
            <w:tcW w:type="dxa" w:w="2160"/>
          </w:tcPr>
          <w:p>
            <w:r/>
          </w:p>
        </w:tc>
      </w:tr>
      <w:tr>
        <w:tc>
          <w:tcPr>
            <w:tcW w:type="dxa" w:w="2160"/>
          </w:tcPr>
          <w:p>
            <w:r>
              <w:t>Expenditures</w:t>
            </w:r>
          </w:p>
        </w:tc>
        <w:tc>
          <w:tcPr>
            <w:tcW w:type="dxa" w:w="2160"/>
          </w:tcPr>
          <w:p>
            <w:r/>
          </w:p>
        </w:tc>
        <w:tc>
          <w:tcPr>
            <w:tcW w:type="dxa" w:w="2160"/>
          </w:tcPr>
          <w:p>
            <w:r/>
          </w:p>
        </w:tc>
        <w:tc>
          <w:tcPr>
            <w:tcW w:type="dxa" w:w="2160"/>
          </w:tcPr>
          <w:p>
            <w:r/>
          </w:p>
        </w:tc>
      </w:tr>
      <w:tr>
        <w:tc>
          <w:tcPr>
            <w:tcW w:type="dxa" w:w="2160"/>
          </w:tcPr>
          <w:p>
            <w:r>
              <w:t>Instruction 9,001,273 - - - - 4,383,266 - - - 13,384,539 Academic Support 2,716,309 - - - - 996,853 - - - 3,713,162 Student Services 2,771,970 - - - - 1,480,343 - - - 4,252,313 Public Service/Continuing Education 625,430 12,593 - - 1,094,117 2,020,557 - - - 3,752,697 Auxiliary Services - - - - 1,795,091 2,621,769 - - - 4,416,860 Operations and Maintenance - 4,426,645 - - - 984,044 - - 763,429 6,174,118 Institutional Support 7,888,814 569,047 4,304,374 5,014,618 116,336 2,000,956 - 76,300 1,940,133 21,910,578 Scholarships, Grants, and Waivers 2,919,066 - - - 461,881 8,148,575 - - - 11,529,522 Total Expenditures 25,922,862 5,008,285 4,304,374 5,014,618 3,467,425 22,636,363 - 76,300 2,703,562 69,133,789</w:t>
            </w:r>
          </w:p>
        </w:tc>
        <w:tc>
          <w:tcPr>
            <w:tcW w:type="dxa" w:w="2160"/>
          </w:tcPr>
          <w:p>
            <w:r/>
          </w:p>
        </w:tc>
        <w:tc>
          <w:tcPr>
            <w:tcW w:type="dxa" w:w="2160"/>
          </w:tcPr>
          <w:p>
            <w:r/>
          </w:p>
        </w:tc>
        <w:tc>
          <w:tcPr>
            <w:tcW w:type="dxa" w:w="2160"/>
          </w:tcPr>
          <w:p>
            <w:r/>
          </w:p>
        </w:tc>
      </w:tr>
      <w:tr>
        <w:tc>
          <w:tcPr>
            <w:tcW w:type="dxa" w:w="2160"/>
          </w:tcPr>
          <w:p>
            <w:r>
              <w:t>Net Transfers (2,209,782) 146,952 - - 2,077,355 279,379 (293,904) - - -</w:t>
            </w:r>
          </w:p>
        </w:tc>
        <w:tc>
          <w:tcPr>
            <w:tcW w:type="dxa" w:w="2160"/>
          </w:tcPr>
          <w:p>
            <w:r/>
          </w:p>
        </w:tc>
        <w:tc>
          <w:tcPr>
            <w:tcW w:type="dxa" w:w="2160"/>
          </w:tcPr>
          <w:p>
            <w:r/>
          </w:p>
        </w:tc>
        <w:tc>
          <w:tcPr>
            <w:tcW w:type="dxa" w:w="2160"/>
          </w:tcPr>
          <w:p>
            <w:r/>
          </w:p>
        </w:tc>
      </w:tr>
      <w:tr>
        <w:tc>
          <w:tcPr>
            <w:tcW w:type="dxa" w:w="2160"/>
          </w:tcPr>
          <w:p>
            <w:r>
              <w:t>Fund Balance, June 30, 2025 $ 13,557,536 $ 1,257,227 $ 11,532,283 $ 423,381 $ 376,510 $ 2,350,895 $ 7,535,685 $ 5,819 $ 1,773,377 $ 38,812,713</w:t>
            </w:r>
          </w:p>
        </w:tc>
        <w:tc>
          <w:tcPr>
            <w:tcW w:type="dxa" w:w="2160"/>
          </w:tcPr>
          <w:p>
            <w:r/>
          </w:p>
        </w:tc>
        <w:tc>
          <w:tcPr>
            <w:tcW w:type="dxa" w:w="2160"/>
          </w:tcPr>
          <w:p>
            <w:r/>
          </w:p>
        </w:tc>
        <w:tc>
          <w:tcPr>
            <w:tcW w:type="dxa" w:w="2160"/>
          </w:tcPr>
          <w:p>
            <w:r/>
          </w:p>
        </w:tc>
      </w:tr>
    </w:tbl>
    <w:p/>
    <w:p>
      <w:r>
        <w:t>and Settlement Education Fund Cash Working Auxiliary Maintenance Maintenance Enterprises and</w:t>
      </w:r>
    </w:p>
    <w:p>
      <w:r>
        <w:t>Fund Fund Fund Fund Audit</w:t>
      </w:r>
    </w:p>
    <w:p>
      <w:pPr>
        <w:pStyle w:val="ListNumber"/>
      </w:pPr>
      <w:r>
        <w:t>61</w:t>
      </w:r>
    </w:p>
    <w:tbl>
      <w:tblPr>
        <w:tblStyle w:val="TableGrid"/>
        <w:tblW w:type="auto" w:w="0"/>
        <w:tblLook w:firstColumn="1" w:firstRow="1" w:lastColumn="0" w:lastRow="0" w:noHBand="0" w:noVBand="1" w:val="04A0"/>
      </w:tblPr>
      <w:tblGrid>
        <w:gridCol w:w="8640"/>
      </w:tblGrid>
      <w:tr>
        <w:tc>
          <w:tcPr>
            <w:tcW w:type="dxa" w:w="8640"/>
          </w:tcPr>
          <w:p>
            <w:r>
              <w:rPr>
                <w:b/>
              </w:rPr>
              <w:t>RECONCILIATION OF THE UNIFORM FINANCIAL STATEMENT NO. 1</w:t>
            </w:r>
          </w:p>
        </w:tc>
      </w:tr>
      <w:tr>
        <w:tc>
          <w:tcPr>
            <w:tcW w:type="dxa" w:w="8640"/>
          </w:tcPr>
          <w:p>
            <w:r>
              <w:t>TO THE STATEMENT OF NET POSITION</w:t>
            </w:r>
          </w:p>
        </w:tc>
      </w:tr>
      <w:tr>
        <w:tc>
          <w:tcPr>
            <w:tcW w:type="dxa" w:w="8640"/>
          </w:tcPr>
          <w:p>
            <w:r>
              <w:t>JUNE 30, 2025</w:t>
            </w:r>
          </w:p>
        </w:tc>
      </w:tr>
      <w:tr>
        <w:tc>
          <w:tcPr>
            <w:tcW w:type="dxa" w:w="8640"/>
          </w:tcPr>
          <w:p>
            <w:r>
              <w:t>Total Fund Balance - Uniform Financial Statement No. 1 $ 38,812,713</w:t>
            </w:r>
          </w:p>
        </w:tc>
      </w:tr>
    </w:tbl>
    <w:p/>
    <w:p>
      <w:r>
        <w:t>Amounts reported in the basic financial statements for net position are different because:</w:t>
      </w:r>
    </w:p>
    <w:p>
      <w:r>
        <w:t>Capital assets used in College activities are not current financial resources and therefore are not reported in the Uniform Financial Statements.</w:t>
      </w:r>
    </w:p>
    <w:tbl>
      <w:tblPr>
        <w:tblStyle w:val="TableGrid"/>
        <w:tblW w:type="auto" w:w="0"/>
        <w:tblLook w:firstColumn="1" w:firstRow="1" w:lastColumn="0" w:lastRow="0" w:noHBand="0" w:noVBand="1" w:val="04A0"/>
      </w:tblPr>
      <w:tblGrid>
        <w:gridCol w:w="8640"/>
      </w:tblGrid>
      <w:tr>
        <w:tc>
          <w:tcPr>
            <w:tcW w:type="dxa" w:w="8640"/>
          </w:tcPr>
          <w:p>
            <w:r>
              <w:t>64,018,832</w:t>
            </w:r>
          </w:p>
        </w:tc>
      </w:tr>
      <w:tr>
        <w:tc>
          <w:tcPr>
            <w:tcW w:type="dxa" w:w="8640"/>
          </w:tcPr>
          <w:p>
            <w:r>
              <w:t>1,974,734</w:t>
            </w:r>
          </w:p>
        </w:tc>
      </w:tr>
    </w:tbl>
    <w:p/>
    <w:p>
      <w:r>
        <w:t>Right-of-use assets used in College activities are not current financial resources and therefore are not reported in the Uniform Financial Statements.</w:t>
      </w:r>
    </w:p>
    <w:p>
      <w:r>
        <w:t>Pension contributions made after the actuarial valuation date are considered expenditures in the Uniform Financial Statements but are deferred outflows of resources in the basic financial statements.</w:t>
      </w:r>
    </w:p>
    <w:tbl>
      <w:tblPr>
        <w:tblStyle w:val="TableGrid"/>
        <w:tblW w:type="auto" w:w="0"/>
        <w:tblLook w:firstColumn="1" w:firstRow="1" w:lastColumn="0" w:lastRow="0" w:noHBand="0" w:noVBand="1" w:val="04A0"/>
      </w:tblPr>
      <w:tblGrid>
        <w:gridCol w:w="8640"/>
      </w:tblGrid>
      <w:tr>
        <w:tc>
          <w:tcPr>
            <w:tcW w:type="dxa" w:w="8640"/>
          </w:tcPr>
          <w:p>
            <w:r>
              <w:t>193,240</w:t>
            </w:r>
          </w:p>
        </w:tc>
      </w:tr>
    </w:tbl>
    <w:p/>
    <w:p>
      <w:r>
        <w:t>OPEB contributions made after the actuarial measurement date are considered expenditures in the Uniform Financial Statements but are deferred outflows of resources in the basic financial statements.</w:t>
      </w:r>
    </w:p>
    <w:tbl>
      <w:tblPr>
        <w:tblStyle w:val="TableGrid"/>
        <w:tblW w:type="auto" w:w="0"/>
        <w:tblLook w:firstColumn="1" w:firstRow="1" w:lastColumn="0" w:lastRow="0" w:noHBand="0" w:noVBand="1" w:val="04A0"/>
      </w:tblPr>
      <w:tblGrid>
        <w:gridCol w:w="8640"/>
      </w:tblGrid>
      <w:tr>
        <w:tc>
          <w:tcPr>
            <w:tcW w:type="dxa" w:w="8640"/>
          </w:tcPr>
          <w:p>
            <w:r>
              <w:t>169,688</w:t>
            </w:r>
          </w:p>
        </w:tc>
      </w:tr>
    </w:tbl>
    <w:p/>
    <w:p>
      <w:r>
        <w:t>Premiums on fixed debt are other financial sources in the Uniform Financial Statements but are liabilities that are amortized over the life of the fixed debt in the basic financial statements.</w:t>
      </w:r>
    </w:p>
    <w:tbl>
      <w:tblPr>
        <w:tblStyle w:val="TableGrid"/>
        <w:tblW w:type="auto" w:w="0"/>
        <w:tblLook w:firstColumn="1" w:firstRow="1" w:lastColumn="0" w:lastRow="0" w:noHBand="0" w:noVBand="1" w:val="04A0"/>
      </w:tblPr>
      <w:tblGrid>
        <w:gridCol w:w="8640"/>
      </w:tblGrid>
      <w:tr>
        <w:tc>
          <w:tcPr>
            <w:tcW w:type="dxa" w:w="8640"/>
          </w:tcPr>
          <w:p>
            <w:r>
              <w:t>(696,534)</w:t>
            </w:r>
          </w:p>
        </w:tc>
      </w:tr>
    </w:tbl>
    <w:p/>
    <w:p>
      <w:r>
        <w:t>Deferred losses on refunded fixed debt are other financing uses in the Uniform Financial Statements but are reported as deferred outflows of resources that are amortized over the life of the fixed debt in the basic financial statements.</w:t>
      </w:r>
    </w:p>
    <w:tbl>
      <w:tblPr>
        <w:tblStyle w:val="TableGrid"/>
        <w:tblW w:type="auto" w:w="0"/>
        <w:tblLook w:firstColumn="1" w:firstRow="1" w:lastColumn="0" w:lastRow="0" w:noHBand="0" w:noVBand="1" w:val="04A0"/>
      </w:tblPr>
      <w:tblGrid>
        <w:gridCol w:w="8640"/>
      </w:tblGrid>
      <w:tr>
        <w:tc>
          <w:tcPr>
            <w:tcW w:type="dxa" w:w="8640"/>
          </w:tcPr>
          <w:p>
            <w:r>
              <w:t>205,730</w:t>
            </w:r>
          </w:p>
        </w:tc>
      </w:tr>
    </w:tbl>
    <w:p/>
    <w:p>
      <w:r>
        <w:t>Changes in assumptions, experiences, and other calculations are reported as deferred outflows/inflows in the basic financial statements; however, they are not recorded in the Uniform Financial Statements.</w:t>
      </w:r>
    </w:p>
    <w:tbl>
      <w:tblPr>
        <w:tblStyle w:val="TableGrid"/>
        <w:tblW w:type="auto" w:w="0"/>
        <w:tblLook w:firstColumn="1" w:firstRow="1" w:lastColumn="0" w:lastRow="0" w:noHBand="0" w:noVBand="1" w:val="04A0"/>
      </w:tblPr>
      <w:tblGrid>
        <w:gridCol w:w="8640"/>
      </w:tblGrid>
      <w:tr>
        <w:tc>
          <w:tcPr>
            <w:tcW w:type="dxa" w:w="8640"/>
          </w:tcPr>
          <w:p>
            <w:r>
              <w:t>(7,204,227)</w:t>
            </w:r>
          </w:p>
        </w:tc>
      </w:tr>
    </w:tbl>
    <w:p/>
    <w:p>
      <w:r>
        <w:t>Some liabilities reported in the Statement of Net Position do not require the use of current financial resources and therefore are not reported as liabilities in the Uniform Financial Statements. These liabilities consist of:</w:t>
      </w:r>
    </w:p>
    <w:tbl>
      <w:tblPr>
        <w:tblStyle w:val="TableGrid"/>
        <w:tblW w:type="auto" w:w="0"/>
        <w:tblLook w:firstColumn="1" w:firstRow="1" w:lastColumn="0" w:lastRow="0" w:noHBand="0" w:noVBand="1" w:val="04A0"/>
      </w:tblPr>
      <w:tblGrid>
        <w:gridCol w:w="8640"/>
      </w:tblGrid>
      <w:tr>
        <w:tc>
          <w:tcPr>
            <w:tcW w:type="dxa" w:w="8640"/>
          </w:tcPr>
          <w:p>
            <w:r>
              <w:t>Bonds payable (14,530,000) Lease liability (101,132) Subscription liablilty (1,837,714) Postemployment benefits (11,845,443) Compensated absences (3,679,246) Accrued interest (46,824)</w:t>
            </w:r>
          </w:p>
        </w:tc>
      </w:tr>
    </w:tbl>
    <w:p/>
    <w:p>
      <w:r>
        <w:t>Net Position - Statement of Net Position $ 65,433,817</w:t>
      </w:r>
    </w:p>
    <w:p>
      <w:pPr>
        <w:pStyle w:val="ListNumber"/>
      </w:pPr>
      <w:r>
        <w:t>62</w:t>
      </w:r>
    </w:p>
    <w:tbl>
      <w:tblPr>
        <w:tblStyle w:val="TableGrid"/>
        <w:tblW w:type="auto" w:w="0"/>
        <w:tblLook w:firstColumn="1" w:firstRow="1" w:lastColumn="0" w:lastRow="0" w:noHBand="0" w:noVBand="1" w:val="04A0"/>
      </w:tblPr>
      <w:tblGrid>
        <w:gridCol w:w="8640"/>
      </w:tblGrid>
      <w:tr>
        <w:tc>
          <w:tcPr>
            <w:tcW w:type="dxa" w:w="8640"/>
          </w:tcPr>
          <w:p>
            <w:r>
              <w:rPr>
                <w:b/>
              </w:rPr>
              <w:t>RECONCILIATION OF THE UNIFORM FINANCIAL STATEMENT NO. 1</w:t>
            </w:r>
          </w:p>
        </w:tc>
      </w:tr>
      <w:tr>
        <w:tc>
          <w:tcPr>
            <w:tcW w:type="dxa" w:w="8640"/>
          </w:tcPr>
          <w:p>
            <w:r>
              <w:t>FOR THE YEAR ENDED JUNE 30, 2024 TO THE STATEMENT OF REVENUES, EXPENSES, AND CHANGES IN NET POSITION</w:t>
            </w:r>
          </w:p>
        </w:tc>
      </w:tr>
      <w:tr>
        <w:tc>
          <w:tcPr>
            <w:tcW w:type="dxa" w:w="8640"/>
          </w:tcPr>
          <w:p>
            <w:r>
              <w:t>Net Change in Fund Balances - Uniform Financial Statement No. 1 $ (2,704,559)</w:t>
            </w:r>
          </w:p>
        </w:tc>
      </w:tr>
    </w:tbl>
    <w:p/>
    <w:p>
      <w:r>
        <w:t>Amounts reported in the general-purpose Statement of Revenues, Expenses, and Changes in Net Position are different because:</w:t>
      </w:r>
    </w:p>
    <w:p>
      <w:r>
        <w:t>The Uniform Financial Statements report capital outlays as expenditures paid while the basic financial statements report depreciation expense to allocate those expenditures over the lives of the assets. This is the amount by which capital outlays exceeded depreciation in the current period:</w:t>
      </w:r>
    </w:p>
    <w:tbl>
      <w:tblPr>
        <w:tblStyle w:val="TableGrid"/>
        <w:tblW w:type="auto" w:w="0"/>
        <w:tblLook w:firstColumn="1" w:firstRow="1" w:lastColumn="0" w:lastRow="0" w:noHBand="0" w:noVBand="1" w:val="04A0"/>
      </w:tblPr>
      <w:tblGrid>
        <w:gridCol w:w="8640"/>
      </w:tblGrid>
      <w:tr>
        <w:tc>
          <w:tcPr>
            <w:tcW w:type="dxa" w:w="8640"/>
          </w:tcPr>
          <w:p>
            <w:r>
              <w:rPr>
                <w:b/>
              </w:rPr>
              <w:t>Capital outlays $ 9,937,318 Depreciation and amortization expense (3,872,793)</w:t>
            </w:r>
          </w:p>
        </w:tc>
      </w:tr>
      <w:tr>
        <w:tc>
          <w:tcPr>
            <w:tcW w:type="dxa" w:w="8640"/>
          </w:tcPr>
          <w:p>
            <w:r>
              <w:t>6,064,525</w:t>
            </w:r>
          </w:p>
        </w:tc>
      </w:tr>
      <w:tr>
        <w:tc>
          <w:tcPr>
            <w:tcW w:type="dxa" w:w="8640"/>
          </w:tcPr>
          <w:p>
            <w:r>
              <w:t>(21,347)</w:t>
            </w:r>
          </w:p>
        </w:tc>
      </w:tr>
    </w:tbl>
    <w:p/>
    <w:p>
      <w:r>
        <w:t>Net book value of disposed capital assets is not reported in the Uniform Financial Statements.</w:t>
      </w:r>
    </w:p>
    <w:p>
      <w:r>
        <w:t>Contributions to pension funds are recognized as expenditures when paid to the pension fund on the Uniform Financial Statements. These expenses are recorded on the basic financial statements based on the pension expense, corresponding with the most recent measurement period. This is the difference between these amounts.</w:t>
      </w:r>
    </w:p>
    <w:tbl>
      <w:tblPr>
        <w:tblStyle w:val="TableGrid"/>
        <w:tblW w:type="auto" w:w="0"/>
        <w:tblLook w:firstColumn="1" w:firstRow="1" w:lastColumn="0" w:lastRow="0" w:noHBand="0" w:noVBand="1" w:val="04A0"/>
      </w:tblPr>
      <w:tblGrid>
        <w:gridCol w:w="8640"/>
      </w:tblGrid>
      <w:tr>
        <w:tc>
          <w:tcPr>
            <w:tcW w:type="dxa" w:w="8640"/>
          </w:tcPr>
          <w:p>
            <w:r>
              <w:t>(19,208)</w:t>
            </w:r>
          </w:p>
        </w:tc>
      </w:tr>
    </w:tbl>
    <w:p/>
    <w:p>
      <w:r>
        <w:t>Contributions to the OPEB plans are recognized as expenditures when paid to the plans on the Uniform Financial Statements. These expenses are recorded on the basic financial statements based on the OPEB expense, corresponding with the most recent measurement period. This is the difference between these amounts.</w:t>
      </w:r>
    </w:p>
    <w:tbl>
      <w:tblPr>
        <w:tblStyle w:val="TableGrid"/>
        <w:tblW w:type="auto" w:w="0"/>
        <w:tblLook w:firstColumn="1" w:firstRow="1" w:lastColumn="0" w:lastRow="0" w:noHBand="0" w:noVBand="1" w:val="04A0"/>
      </w:tblPr>
      <w:tblGrid>
        <w:gridCol w:w="8640"/>
      </w:tblGrid>
      <w:tr>
        <w:tc>
          <w:tcPr>
            <w:tcW w:type="dxa" w:w="8640"/>
          </w:tcPr>
          <w:p>
            <w:r>
              <w:t>169,688</w:t>
            </w:r>
          </w:p>
        </w:tc>
      </w:tr>
      <w:tr>
        <w:tc>
          <w:tcPr>
            <w:tcW w:type="dxa" w:w="8640"/>
          </w:tcPr>
          <w:p>
            <w:r>
              <w:t>(1,645,796)</w:t>
            </w:r>
          </w:p>
        </w:tc>
      </w:tr>
    </w:tbl>
    <w:p/>
    <w:p>
      <w:r>
        <w:t>Proceeds from long-term debt are recognized as other local revenue in the Uniform Financial Statements but have no impact on net assets in the Statement of Revenues, Expenses, and Changes in Net Position.</w:t>
      </w:r>
    </w:p>
    <w:p>
      <w:r>
        <w:t>Some expenses reported in the Uniform Financial Statements use current financial resources to reduce long-term liabilities reported on the basic financial statements. These activities consist of:</w:t>
      </w:r>
    </w:p>
    <w:tbl>
      <w:tblPr>
        <w:tblStyle w:val="TableGrid"/>
        <w:tblW w:type="auto" w:w="0"/>
        <w:tblLook w:firstColumn="1" w:firstRow="1" w:lastColumn="0" w:lastRow="0" w:noHBand="0" w:noVBand="1" w:val="04A0"/>
      </w:tblPr>
      <w:tblGrid>
        <w:gridCol w:w="8640"/>
      </w:tblGrid>
      <w:tr>
        <w:tc>
          <w:tcPr>
            <w:tcW w:type="dxa" w:w="8640"/>
          </w:tcPr>
          <w:p>
            <w:r>
              <w:rPr>
                <w:b/>
              </w:rPr>
              <w:t>Bonds payable, including amortization of bond premiums 4,473,750 Lease liability 41,633 SBITA liability 124,746 Postemployment benefits 2,214,946 Compensated absences (31,654) Accrued interest 10,475</w:t>
            </w:r>
          </w:p>
        </w:tc>
      </w:tr>
      <w:tr>
        <w:tc>
          <w:tcPr>
            <w:tcW w:type="dxa" w:w="8640"/>
          </w:tcPr>
          <w:p>
            <w:r>
              <w:t>Increase in Net Position - Statement of Revenues, Expenses, and Changes in Net Position $ 8,677,199</w:t>
            </w:r>
          </w:p>
        </w:tc>
      </w:tr>
    </w:tbl>
    <w:p/>
    <w:p>
      <w:pPr>
        <w:pStyle w:val="ListNumber"/>
      </w:pPr>
      <w:r>
        <w:t>63</w:t>
      </w:r>
    </w:p>
    <w:tbl>
      <w:tblPr>
        <w:tblStyle w:val="TableGrid"/>
        <w:tblW w:type="auto" w:w="0"/>
        <w:tblLook w:firstColumn="1" w:firstRow="1" w:lastColumn="0" w:lastRow="0" w:noHBand="0" w:noVBand="1" w:val="04A0"/>
      </w:tblPr>
      <w:tblGrid>
        <w:gridCol w:w="8640"/>
      </w:tblGrid>
      <w:tr>
        <w:tc>
          <w:tcPr>
            <w:tcW w:type="dxa" w:w="8640"/>
          </w:tcPr>
          <w:p>
            <w:r>
              <w:rPr>
                <w:b/>
              </w:rPr>
              <w:t>UNIFORM FINANCIAL STATEMENT #2 SUMMARY OF FIXED ASSETS AND DEBT</w:t>
            </w:r>
          </w:p>
        </w:tc>
      </w:tr>
      <w:tr>
        <w:tc>
          <w:tcPr>
            <w:tcW w:type="dxa" w:w="8640"/>
          </w:tcPr>
          <w:p>
            <w:r>
              <w:t>FISCAL YEAR ENDED JUNE 30, 2025</w:t>
            </w:r>
          </w:p>
        </w:tc>
      </w:tr>
    </w:tbl>
    <w:p/>
    <w:p>
      <w:r>
        <w:t>Fixed Fixed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Account Asset/Debt</w:t>
            </w:r>
          </w:p>
        </w:tc>
        <w:tc>
          <w:tcPr>
            <w:tcW w:type="dxa" w:w="2880"/>
          </w:tcPr>
          <w:p>
            <w:r>
              <w:rPr>
                <w:b/>
              </w:rPr>
              <w:t>Asset/Debt</w:t>
            </w:r>
          </w:p>
        </w:tc>
        <w:tc>
          <w:tcPr>
            <w:tcW w:type="dxa" w:w="2880"/>
          </w:tcPr>
          <w:p>
            <w:r>
              <w:rPr>
                <w:b/>
              </w:rPr>
            </w:r>
          </w:p>
        </w:tc>
      </w:tr>
      <w:tr>
        <w:tc>
          <w:tcPr>
            <w:tcW w:type="dxa" w:w="2880"/>
          </w:tcPr>
          <w:p>
            <w:r>
              <w:t>Groups Account</w:t>
            </w:r>
          </w:p>
        </w:tc>
        <w:tc>
          <w:tcPr>
            <w:tcW w:type="dxa" w:w="2880"/>
          </w:tcPr>
          <w:p>
            <w:r/>
          </w:p>
        </w:tc>
        <w:tc>
          <w:tcPr>
            <w:tcW w:type="dxa" w:w="2880"/>
          </w:tcPr>
          <w:p>
            <w:r/>
          </w:p>
        </w:tc>
      </w:tr>
      <w:tr>
        <w:tc>
          <w:tcPr>
            <w:tcW w:type="dxa" w:w="2880"/>
          </w:tcPr>
          <w:p>
            <w:r>
              <w:t>Groups</w:t>
            </w:r>
          </w:p>
        </w:tc>
        <w:tc>
          <w:tcPr>
            <w:tcW w:type="dxa" w:w="2880"/>
          </w:tcPr>
          <w:p>
            <w:r/>
          </w:p>
        </w:tc>
        <w:tc>
          <w:tcPr>
            <w:tcW w:type="dxa" w:w="2880"/>
          </w:tcPr>
          <w:p>
            <w:r/>
          </w:p>
        </w:tc>
      </w:tr>
      <w:tr>
        <w:tc>
          <w:tcPr>
            <w:tcW w:type="dxa" w:w="2880"/>
          </w:tcPr>
          <w:p>
            <w:r>
              <w:t>July 1, 2024</w:t>
            </w:r>
          </w:p>
        </w:tc>
        <w:tc>
          <w:tcPr>
            <w:tcW w:type="dxa" w:w="2880"/>
          </w:tcPr>
          <w:p>
            <w:r>
              <w:t>Deletions Additions</w:t>
            </w:r>
          </w:p>
        </w:tc>
        <w:tc>
          <w:tcPr>
            <w:tcW w:type="dxa" w:w="2880"/>
          </w:tcPr>
          <w:p>
            <w:r>
              <w:t>June 30, 2025</w:t>
            </w:r>
          </w:p>
        </w:tc>
      </w:tr>
      <w:tr>
        <w:tc>
          <w:tcPr>
            <w:tcW w:type="dxa" w:w="2880"/>
          </w:tcPr>
          <w:p>
            <w:r>
              <w:t>Fixed Assets</w:t>
            </w:r>
          </w:p>
        </w:tc>
        <w:tc>
          <w:tcPr>
            <w:tcW w:type="dxa" w:w="2880"/>
          </w:tcPr>
          <w:p>
            <w:r/>
          </w:p>
        </w:tc>
        <w:tc>
          <w:tcPr>
            <w:tcW w:type="dxa" w:w="2880"/>
          </w:tcPr>
          <w:p>
            <w:r/>
          </w:p>
        </w:tc>
      </w:tr>
      <w:tr>
        <w:tc>
          <w:tcPr>
            <w:tcW w:type="dxa" w:w="2880"/>
          </w:tcPr>
          <w:p>
            <w:r>
              <w:t>Site $ 346,427 $ - $ - $ 346,427 Construction in Progress 1,069,623 5,989,317 (125,239) 6,933,701 Site Improvements 6,341,773 - - 6,341,773 Buildings and Improvements 95,445,503 376,594 - 95,822,097 Equipment 11,252,335 1,541,376 (336,959) 12,456,752 Right to Use Leased Equipment 211,084 211,084 Right to Use SBITAs 539,805 2,155,270 2,695,075 Total Fixed Assets 115,206,550 10,062,557 (462,198) 124,806,909</w:t>
            </w:r>
          </w:p>
        </w:tc>
        <w:tc>
          <w:tcPr>
            <w:tcW w:type="dxa" w:w="2880"/>
          </w:tcPr>
          <w:p>
            <w:r/>
          </w:p>
        </w:tc>
        <w:tc>
          <w:tcPr>
            <w:tcW w:type="dxa" w:w="2880"/>
          </w:tcPr>
          <w:p>
            <w:r/>
          </w:p>
        </w:tc>
      </w:tr>
      <w:tr>
        <w:tc>
          <w:tcPr>
            <w:tcW w:type="dxa" w:w="2880"/>
          </w:tcPr>
          <w:p>
            <w:r>
              <w:t>Less: Accumulated Depreciation</w:t>
            </w:r>
          </w:p>
        </w:tc>
        <w:tc>
          <w:tcPr>
            <w:tcW w:type="dxa" w:w="2880"/>
          </w:tcPr>
          <w:p>
            <w:r/>
          </w:p>
        </w:tc>
        <w:tc>
          <w:tcPr>
            <w:tcW w:type="dxa" w:w="2880"/>
          </w:tcPr>
          <w:p>
            <w:r/>
          </w:p>
        </w:tc>
      </w:tr>
      <w:tr>
        <w:tc>
          <w:tcPr>
            <w:tcW w:type="dxa" w:w="2880"/>
          </w:tcPr>
          <w:p>
            <w:r>
              <w:t>and Amortization 55,256,164 3,872,793 (315,614) 58,813,343</w:t>
            </w:r>
          </w:p>
        </w:tc>
        <w:tc>
          <w:tcPr>
            <w:tcW w:type="dxa" w:w="2880"/>
          </w:tcPr>
          <w:p>
            <w:r/>
          </w:p>
        </w:tc>
        <w:tc>
          <w:tcPr>
            <w:tcW w:type="dxa" w:w="2880"/>
          </w:tcPr>
          <w:p>
            <w:r/>
          </w:p>
        </w:tc>
      </w:tr>
      <w:tr>
        <w:tc>
          <w:tcPr>
            <w:tcW w:type="dxa" w:w="2880"/>
          </w:tcPr>
          <w:p>
            <w:r>
              <w:t>Net Fixed Assets $ 59,950,386 $ 6,189,764 $ (146,584) $ 65,993,566</w:t>
            </w:r>
          </w:p>
        </w:tc>
        <w:tc>
          <w:tcPr>
            <w:tcW w:type="dxa" w:w="2880"/>
          </w:tcPr>
          <w:p>
            <w:r/>
          </w:p>
        </w:tc>
        <w:tc>
          <w:tcPr>
            <w:tcW w:type="dxa" w:w="2880"/>
          </w:tcPr>
          <w:p>
            <w:r/>
          </w:p>
        </w:tc>
      </w:tr>
      <w:tr>
        <w:tc>
          <w:tcPr>
            <w:tcW w:type="dxa" w:w="2880"/>
          </w:tcPr>
          <w:p>
            <w:r>
              <w:t>Fixed Debt</w:t>
            </w:r>
          </w:p>
        </w:tc>
        <w:tc>
          <w:tcPr>
            <w:tcW w:type="dxa" w:w="2880"/>
          </w:tcPr>
          <w:p>
            <w:r/>
          </w:p>
        </w:tc>
        <w:tc>
          <w:tcPr>
            <w:tcW w:type="dxa" w:w="2880"/>
          </w:tcPr>
          <w:p>
            <w:r/>
          </w:p>
        </w:tc>
      </w:tr>
      <w:tr>
        <w:tc>
          <w:tcPr>
            <w:tcW w:type="dxa" w:w="2880"/>
          </w:tcPr>
          <w:p>
            <w:r>
              <w:t>Bonds Payable $ 18,890,000 $ - $ (4,360,000) $ 14,530,000 Bond Premium 855,484 - (158,950) 696,534 Accrued Compensated Absences 1,680,257 1,998,989 - 3,679,246 Lease Liability 142,765 - (41,633) 101,132 Subscription Liability 316,664 1,645,796 (124,746) 1,837,714 Net OPEB Liability 13,103,785 - (1,258,342) 11,845,443</w:t>
            </w:r>
          </w:p>
        </w:tc>
        <w:tc>
          <w:tcPr>
            <w:tcW w:type="dxa" w:w="2880"/>
          </w:tcPr>
          <w:p>
            <w:r/>
          </w:p>
        </w:tc>
        <w:tc>
          <w:tcPr>
            <w:tcW w:type="dxa" w:w="2880"/>
          </w:tcPr>
          <w:p>
            <w:r/>
          </w:p>
        </w:tc>
      </w:tr>
      <w:tr>
        <w:tc>
          <w:tcPr>
            <w:tcW w:type="dxa" w:w="2880"/>
          </w:tcPr>
          <w:p>
            <w:r>
              <w:t>Total Fixed Debt $ 34,988,955 $ 3,644,785 $ (5,943,671) $ 32,690,069</w:t>
            </w:r>
          </w:p>
        </w:tc>
        <w:tc>
          <w:tcPr>
            <w:tcW w:type="dxa" w:w="2880"/>
          </w:tcPr>
          <w:p>
            <w:r/>
          </w:p>
        </w:tc>
        <w:tc>
          <w:tcPr>
            <w:tcW w:type="dxa" w:w="2880"/>
          </w:tcPr>
          <w:p>
            <w:r/>
          </w:p>
        </w:tc>
      </w:tr>
    </w:tbl>
    <w:p/>
    <w:p>
      <w:pPr>
        <w:pStyle w:val="ListNumber"/>
      </w:pPr>
      <w:r>
        <w:t>64</w:t>
      </w:r>
    </w:p>
    <w:p>
      <w:r>
        <w:t>FISCAL YEAR ENDED JUNE 30, 2025 UNIFORM FINANCIAL STATEMENT #3 OPERATING FUNDS REVENUES AND EXPENDITURES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Operations</w:t>
            </w:r>
          </w:p>
        </w:tc>
        <w:tc>
          <w:tcPr>
            <w:tcW w:type="dxa" w:w="2880"/>
          </w:tcPr>
          <w:p>
            <w:r>
              <w:rPr>
                <w:b/>
              </w:rPr>
            </w:r>
          </w:p>
        </w:tc>
        <w:tc>
          <w:tcPr>
            <w:tcW w:type="dxa" w:w="2880"/>
          </w:tcPr>
          <w:p>
            <w:r>
              <w:rPr>
                <w:b/>
              </w:rPr>
            </w:r>
          </w:p>
        </w:tc>
      </w:tr>
      <w:tr>
        <w:tc>
          <w:tcPr>
            <w:tcW w:type="dxa" w:w="2880"/>
          </w:tcPr>
          <w:p>
            <w:r>
              <w:t>and</w:t>
            </w:r>
          </w:p>
        </w:tc>
        <w:tc>
          <w:tcPr>
            <w:tcW w:type="dxa" w:w="2880"/>
          </w:tcPr>
          <w:p>
            <w:r>
              <w:t>Total</w:t>
            </w:r>
          </w:p>
        </w:tc>
        <w:tc>
          <w:tcPr>
            <w:tcW w:type="dxa" w:w="2880"/>
          </w:tcPr>
          <w:p>
            <w:r/>
          </w:p>
        </w:tc>
      </w:tr>
      <w:tr>
        <w:tc>
          <w:tcPr>
            <w:tcW w:type="dxa" w:w="2880"/>
          </w:tcPr>
          <w:p>
            <w:r>
              <w:t>Fund Education</w:t>
            </w:r>
          </w:p>
        </w:tc>
        <w:tc>
          <w:tcPr>
            <w:tcW w:type="dxa" w:w="2880"/>
          </w:tcPr>
          <w:p>
            <w:r>
              <w:t>Fund Maintenance</w:t>
            </w:r>
          </w:p>
        </w:tc>
        <w:tc>
          <w:tcPr>
            <w:tcW w:type="dxa" w:w="2880"/>
          </w:tcPr>
          <w:p>
            <w:r>
              <w:t>Operating</w:t>
            </w:r>
          </w:p>
        </w:tc>
      </w:tr>
      <w:tr>
        <w:tc>
          <w:tcPr>
            <w:tcW w:type="dxa" w:w="2880"/>
          </w:tcPr>
          <w:p>
            <w:r>
              <w:t>Funds</w:t>
            </w:r>
          </w:p>
        </w:tc>
        <w:tc>
          <w:tcPr>
            <w:tcW w:type="dxa" w:w="2880"/>
          </w:tcPr>
          <w:p>
            <w:r/>
          </w:p>
        </w:tc>
        <w:tc>
          <w:tcPr>
            <w:tcW w:type="dxa" w:w="2880"/>
          </w:tcPr>
          <w:p>
            <w:r/>
          </w:p>
        </w:tc>
      </w:tr>
      <w:tr>
        <w:tc>
          <w:tcPr>
            <w:tcW w:type="dxa" w:w="2880"/>
          </w:tcPr>
          <w:p>
            <w:r>
              <w:t>Operating Revenues by Sources</w:t>
            </w:r>
          </w:p>
        </w:tc>
        <w:tc>
          <w:tcPr>
            <w:tcW w:type="dxa" w:w="2880"/>
          </w:tcPr>
          <w:p>
            <w:r/>
          </w:p>
        </w:tc>
        <w:tc>
          <w:tcPr>
            <w:tcW w:type="dxa" w:w="2880"/>
          </w:tcPr>
          <w:p>
            <w:r/>
          </w:p>
        </w:tc>
      </w:tr>
      <w:tr>
        <w:tc>
          <w:tcPr>
            <w:tcW w:type="dxa" w:w="2880"/>
          </w:tcPr>
          <w:p>
            <w:r>
              <w:t>Local Government Revenues:</w:t>
            </w:r>
          </w:p>
        </w:tc>
        <w:tc>
          <w:tcPr>
            <w:tcW w:type="dxa" w:w="2880"/>
          </w:tcPr>
          <w:p>
            <w:r/>
          </w:p>
        </w:tc>
        <w:tc>
          <w:tcPr>
            <w:tcW w:type="dxa" w:w="2880"/>
          </w:tcPr>
          <w:p>
            <w:r/>
          </w:p>
        </w:tc>
      </w:tr>
      <w:tr>
        <w:tc>
          <w:tcPr>
            <w:tcW w:type="dxa" w:w="2880"/>
          </w:tcPr>
          <w:p>
            <w:r>
              <w:t>Local Taxes $ 6,824,719 $ 1,176,533 $ 8,001,252 Corporate Personal Property Replacement Tax 856,341 - 856,341 Total Local Government 7,681,060 1,176,533 8,857,593</w:t>
            </w:r>
          </w:p>
        </w:tc>
        <w:tc>
          <w:tcPr>
            <w:tcW w:type="dxa" w:w="2880"/>
          </w:tcPr>
          <w:p>
            <w:r/>
          </w:p>
        </w:tc>
        <w:tc>
          <w:tcPr>
            <w:tcW w:type="dxa" w:w="2880"/>
          </w:tcPr>
          <w:p>
            <w:r/>
          </w:p>
        </w:tc>
      </w:tr>
      <w:tr>
        <w:tc>
          <w:tcPr>
            <w:tcW w:type="dxa" w:w="2880"/>
          </w:tcPr>
          <w:p>
            <w:r>
              <w:t>State Government:</w:t>
            </w:r>
          </w:p>
        </w:tc>
        <w:tc>
          <w:tcPr>
            <w:tcW w:type="dxa" w:w="2880"/>
          </w:tcPr>
          <w:p>
            <w:r/>
          </w:p>
        </w:tc>
        <w:tc>
          <w:tcPr>
            <w:tcW w:type="dxa" w:w="2880"/>
          </w:tcPr>
          <w:p>
            <w:r/>
          </w:p>
        </w:tc>
      </w:tr>
      <w:tr>
        <w:tc>
          <w:tcPr>
            <w:tcW w:type="dxa" w:w="2880"/>
          </w:tcPr>
          <w:p>
            <w:r>
              <w:t>ICCB Base Operating Grant 2,057,498 1,013,394 3,070,892 ICCB Equalization Grant 4,205,349 2,071,291 6,276,640 ICCB Career and Technical Education 223,406 110,036 333,442 ICCB Performance Grant 20,355 - 20,355 Other ICCB Unrestricted Grants not listed above 90,655 - 90,655 Other State not listed above 237,663 101,855 339,518 Total State Government 6,834,926 3,296,576 10,131,502</w:t>
            </w:r>
          </w:p>
        </w:tc>
        <w:tc>
          <w:tcPr>
            <w:tcW w:type="dxa" w:w="2880"/>
          </w:tcPr>
          <w:p>
            <w:r/>
          </w:p>
        </w:tc>
        <w:tc>
          <w:tcPr>
            <w:tcW w:type="dxa" w:w="2880"/>
          </w:tcPr>
          <w:p>
            <w:r/>
          </w:p>
        </w:tc>
      </w:tr>
      <w:tr>
        <w:tc>
          <w:tcPr>
            <w:tcW w:type="dxa" w:w="2880"/>
          </w:tcPr>
          <w:p>
            <w:r>
              <w:t>Federal Government:</w:t>
            </w:r>
          </w:p>
        </w:tc>
        <w:tc>
          <w:tcPr>
            <w:tcW w:type="dxa" w:w="2880"/>
          </w:tcPr>
          <w:p>
            <w:r/>
          </w:p>
        </w:tc>
        <w:tc>
          <w:tcPr>
            <w:tcW w:type="dxa" w:w="2880"/>
          </w:tcPr>
          <w:p>
            <w:r/>
          </w:p>
        </w:tc>
      </w:tr>
      <w:tr>
        <w:tc>
          <w:tcPr>
            <w:tcW w:type="dxa" w:w="2880"/>
          </w:tcPr>
          <w:p>
            <w:r>
              <w:t>Department of Education 36,300 15,558 51,858 Department of Labor - - - Department of Health &amp; Human Services 208,793 89,482 298,275 Other 284 122 406 Total Federal Government 245,377 105,162 350,539</w:t>
            </w:r>
          </w:p>
        </w:tc>
        <w:tc>
          <w:tcPr>
            <w:tcW w:type="dxa" w:w="2880"/>
          </w:tcPr>
          <w:p>
            <w:r/>
          </w:p>
        </w:tc>
        <w:tc>
          <w:tcPr>
            <w:tcW w:type="dxa" w:w="2880"/>
          </w:tcPr>
          <w:p>
            <w:r/>
          </w:p>
        </w:tc>
      </w:tr>
      <w:tr>
        <w:tc>
          <w:tcPr>
            <w:tcW w:type="dxa" w:w="2880"/>
          </w:tcPr>
          <w:p>
            <w:r>
              <w:t>Student Tuition and Fees:</w:t>
            </w:r>
          </w:p>
        </w:tc>
        <w:tc>
          <w:tcPr>
            <w:tcW w:type="dxa" w:w="2880"/>
          </w:tcPr>
          <w:p>
            <w:r/>
          </w:p>
        </w:tc>
        <w:tc>
          <w:tcPr>
            <w:tcW w:type="dxa" w:w="2880"/>
          </w:tcPr>
          <w:p>
            <w:r/>
          </w:p>
        </w:tc>
      </w:tr>
      <w:tr>
        <w:tc>
          <w:tcPr>
            <w:tcW w:type="dxa" w:w="2880"/>
          </w:tcPr>
          <w:p>
            <w:r>
              <w:t>Tuition 9,803,043 - 9,803,043 Fees 721,821 - 721,821 Total Student Tuition and Fees 10,524,864 - 10,524,864</w:t>
            </w:r>
          </w:p>
        </w:tc>
        <w:tc>
          <w:tcPr>
            <w:tcW w:type="dxa" w:w="2880"/>
          </w:tcPr>
          <w:p>
            <w:r/>
          </w:p>
        </w:tc>
        <w:tc>
          <w:tcPr>
            <w:tcW w:type="dxa" w:w="2880"/>
          </w:tcPr>
          <w:p>
            <w:r/>
          </w:p>
        </w:tc>
      </w:tr>
      <w:tr>
        <w:tc>
          <w:tcPr>
            <w:tcW w:type="dxa" w:w="2880"/>
          </w:tcPr>
          <w:p>
            <w:r>
              <w:t>Other Sources:</w:t>
            </w:r>
          </w:p>
        </w:tc>
        <w:tc>
          <w:tcPr>
            <w:tcW w:type="dxa" w:w="2880"/>
          </w:tcPr>
          <w:p>
            <w:r/>
          </w:p>
        </w:tc>
        <w:tc>
          <w:tcPr>
            <w:tcW w:type="dxa" w:w="2880"/>
          </w:tcPr>
          <w:p>
            <w:r/>
          </w:p>
        </w:tc>
      </w:tr>
      <w:tr>
        <w:tc>
          <w:tcPr>
            <w:tcW w:type="dxa" w:w="2880"/>
          </w:tcPr>
          <w:p>
            <w:r>
              <w:t>Sales and Service Fees 219,009 - 219,009 Facilities Revenue - 140,622 140,622 Investment Revenue 740,061 82,703 822,764 Non-Governmental Grants 6,566 - 6,566 Other 1,370,540 25,461 1,396,001 Total Other Sources 2,336,176 248,786 2,584,962</w:t>
            </w:r>
          </w:p>
        </w:tc>
        <w:tc>
          <w:tcPr>
            <w:tcW w:type="dxa" w:w="2880"/>
          </w:tcPr>
          <w:p>
            <w:r/>
          </w:p>
        </w:tc>
        <w:tc>
          <w:tcPr>
            <w:tcW w:type="dxa" w:w="2880"/>
          </w:tcPr>
          <w:p>
            <w:r/>
          </w:p>
        </w:tc>
      </w:tr>
      <w:tr>
        <w:tc>
          <w:tcPr>
            <w:tcW w:type="dxa" w:w="2880"/>
          </w:tcPr>
          <w:p>
            <w:r>
              <w:t>Total Revenue 27,622,403 4,827,057 32,449,460</w:t>
            </w:r>
          </w:p>
        </w:tc>
        <w:tc>
          <w:tcPr>
            <w:tcW w:type="dxa" w:w="2880"/>
          </w:tcPr>
          <w:p>
            <w:r/>
          </w:p>
        </w:tc>
        <w:tc>
          <w:tcPr>
            <w:tcW w:type="dxa" w:w="2880"/>
          </w:tcPr>
          <w:p>
            <w:r/>
          </w:p>
        </w:tc>
      </w:tr>
      <w:tr>
        <w:tc>
          <w:tcPr>
            <w:tcW w:type="dxa" w:w="2880"/>
          </w:tcPr>
          <w:p>
            <w:r>
              <w:t>Adjusted Revenue $ 27,622,403 $ 4,827,057 $ 32,449,460</w:t>
            </w:r>
          </w:p>
        </w:tc>
        <w:tc>
          <w:tcPr>
            <w:tcW w:type="dxa" w:w="2880"/>
          </w:tcPr>
          <w:p>
            <w:r/>
          </w:p>
        </w:tc>
        <w:tc>
          <w:tcPr>
            <w:tcW w:type="dxa" w:w="2880"/>
          </w:tcPr>
          <w:p>
            <w:r/>
          </w:p>
        </w:tc>
      </w:tr>
    </w:tbl>
    <w:p/>
    <w:p>
      <w:r>
        <w:t>Less Non-Operating Items:* - - -</w:t>
      </w:r>
    </w:p>
    <w:p>
      <w:pPr>
        <w:pStyle w:val="ListBullet"/>
      </w:pPr>
      <w:r>
        <w:t>*Intercollege revenues that do not generate related local college credit hours are subtracted to allow for statewide comparisons.</w:t>
      </w:r>
    </w:p>
    <w:p>
      <w:pPr>
        <w:pStyle w:val="ListNumber"/>
      </w:pPr>
      <w:r>
        <w:t>65</w:t>
      </w:r>
    </w:p>
    <w:p>
      <w:r>
        <w:t>FISCAL YEAR ENDED JUNE 30, 2025 UNIFORM FINANCIAL STATEMENT #3 OPERATING FUNDS REVENUES AND EXPENDITURES</w:t>
      </w:r>
    </w:p>
    <w:tbl>
      <w:tblPr>
        <w:tblStyle w:val="TableGrid"/>
        <w:tblW w:type="auto" w:w="0"/>
        <w:tblLook w:firstColumn="1" w:firstRow="1" w:lastColumn="0" w:lastRow="0" w:noHBand="0" w:noVBand="1" w:val="04A0"/>
      </w:tblPr>
      <w:tblGrid>
        <w:gridCol w:w="4320"/>
        <w:gridCol w:w="4320"/>
      </w:tblGrid>
      <w:tr>
        <w:tc>
          <w:tcPr>
            <w:tcW w:type="dxa" w:w="4320"/>
          </w:tcPr>
          <w:p>
            <w:r>
              <w:rPr>
                <w:b/>
              </w:rPr>
              <w:t>and Operations</w:t>
            </w:r>
          </w:p>
        </w:tc>
        <w:tc>
          <w:tcPr>
            <w:tcW w:type="dxa" w:w="4320"/>
          </w:tcPr>
          <w:p>
            <w:r>
              <w:rPr>
                <w:b/>
              </w:rPr>
            </w:r>
          </w:p>
        </w:tc>
      </w:tr>
      <w:tr>
        <w:tc>
          <w:tcPr>
            <w:tcW w:type="dxa" w:w="4320"/>
          </w:tcPr>
          <w:p>
            <w:r>
              <w:t>Total Operating</w:t>
            </w:r>
          </w:p>
        </w:tc>
        <w:tc>
          <w:tcPr>
            <w:tcW w:type="dxa" w:w="4320"/>
          </w:tcPr>
          <w:p>
            <w:r/>
          </w:p>
        </w:tc>
      </w:tr>
      <w:tr>
        <w:tc>
          <w:tcPr>
            <w:tcW w:type="dxa" w:w="4320"/>
          </w:tcPr>
          <w:p>
            <w:r>
              <w:t>Fund Education</w:t>
            </w:r>
          </w:p>
        </w:tc>
        <w:tc>
          <w:tcPr>
            <w:tcW w:type="dxa" w:w="4320"/>
          </w:tcPr>
          <w:p>
            <w:r>
              <w:t>Funds Fund Maintenance</w:t>
            </w:r>
          </w:p>
        </w:tc>
      </w:tr>
      <w:tr>
        <w:tc>
          <w:tcPr>
            <w:tcW w:type="dxa" w:w="4320"/>
          </w:tcPr>
          <w:p>
            <w:r>
              <w:t>Operating Expenditures</w:t>
            </w:r>
          </w:p>
        </w:tc>
        <w:tc>
          <w:tcPr>
            <w:tcW w:type="dxa" w:w="4320"/>
          </w:tcPr>
          <w:p>
            <w:r/>
          </w:p>
        </w:tc>
      </w:tr>
      <w:tr>
        <w:tc>
          <w:tcPr>
            <w:tcW w:type="dxa" w:w="4320"/>
          </w:tcPr>
          <w:p>
            <w:r>
              <w:t>By Program:</w:t>
            </w:r>
          </w:p>
        </w:tc>
        <w:tc>
          <w:tcPr>
            <w:tcW w:type="dxa" w:w="4320"/>
          </w:tcPr>
          <w:p>
            <w:r/>
          </w:p>
        </w:tc>
      </w:tr>
      <w:tr>
        <w:tc>
          <w:tcPr>
            <w:tcW w:type="dxa" w:w="4320"/>
          </w:tcPr>
          <w:p>
            <w:r>
              <w:t>Instruction $ 9,001,273 $ - $ 9,001,273 Academic Support 2,716,309 - 2,716,309 Student Services 2,771,970 - 2,771,970 Public Service/Continuing Education 625,430 12,593 638,023 Auxiliary Services - - - Operations and Maintenance - 4,426,645 4,426,645 Institutional Support 7,888,814 569,047 8,457,861 Scholarships, Grants, and Waivers 2,919,066 - 2,919,066 Total Expenditures 25,922,862 5,008,285 30,931,147</w:t>
            </w:r>
          </w:p>
        </w:tc>
        <w:tc>
          <w:tcPr>
            <w:tcW w:type="dxa" w:w="4320"/>
          </w:tcPr>
          <w:p>
            <w:r/>
          </w:p>
        </w:tc>
      </w:tr>
      <w:tr>
        <w:tc>
          <w:tcPr>
            <w:tcW w:type="dxa" w:w="4320"/>
          </w:tcPr>
          <w:p>
            <w:r>
              <w:t>Adjusted Expenditures $ 25,922,862 $ 5,008,285 $ 30,931,147</w:t>
            </w:r>
          </w:p>
        </w:tc>
        <w:tc>
          <w:tcPr>
            <w:tcW w:type="dxa" w:w="4320"/>
          </w:tcPr>
          <w:p>
            <w:r/>
          </w:p>
        </w:tc>
      </w:tr>
      <w:tr>
        <w:tc>
          <w:tcPr>
            <w:tcW w:type="dxa" w:w="4320"/>
          </w:tcPr>
          <w:p>
            <w:r>
              <w:t>By Object:</w:t>
            </w:r>
          </w:p>
        </w:tc>
        <w:tc>
          <w:tcPr>
            <w:tcW w:type="dxa" w:w="4320"/>
          </w:tcPr>
          <w:p>
            <w:r/>
          </w:p>
        </w:tc>
      </w:tr>
      <w:tr>
        <w:tc>
          <w:tcPr>
            <w:tcW w:type="dxa" w:w="4320"/>
          </w:tcPr>
          <w:p>
            <w:r>
              <w:t>Salaries $ 15,789,143 $ 2,787,065 $ 18,576,208 Employee Benefits 2,089,526 387,303 2,476,829 Contractual Services 1,501,984 185,755 1,687,739 General Materials and Supplies 1,065,681 432,986 1,498,667 Library Materials** 25,208 - 25,208 Conference and Meeting Expenses 373,101 4,386 377,487 Fixed Charges 142,558 552 143,110 Utilities 9,909 1,135,003 1,144,912 Capital Outlay 1,983,037 75,002 2,058,039 Other 2,967,923 233 2,968,156 Student Grants and Scholarships** 2,919,066 - 2,919,066 Total Expenditures 25,922,862 5,008,285 30,931,147</w:t>
            </w:r>
          </w:p>
        </w:tc>
        <w:tc>
          <w:tcPr>
            <w:tcW w:type="dxa" w:w="4320"/>
          </w:tcPr>
          <w:p>
            <w:r/>
          </w:p>
        </w:tc>
      </w:tr>
      <w:tr>
        <w:tc>
          <w:tcPr>
            <w:tcW w:type="dxa" w:w="4320"/>
          </w:tcPr>
          <w:p>
            <w:r>
              <w:t>Adjusted Expenditures $ 25,922,862 $ 5,008,285 $ 30,931,147</w:t>
            </w:r>
          </w:p>
        </w:tc>
        <w:tc>
          <w:tcPr>
            <w:tcW w:type="dxa" w:w="4320"/>
          </w:tcPr>
          <w:p>
            <w:r/>
          </w:p>
        </w:tc>
      </w:tr>
    </w:tbl>
    <w:p/>
    <w:p>
      <w:r>
        <w:t>Less Non-Operating Items:* - - -</w:t>
      </w:r>
    </w:p>
    <w:p>
      <w:r>
        <w:t>Less Non-Operating Items:* - - -</w:t>
      </w:r>
    </w:p>
    <w:p>
      <w:pPr>
        <w:pStyle w:val="ListBullet"/>
      </w:pPr>
      <w:r>
        <w:t>*Intercollege expenditures that do not generate related local college credit hours are subtracted to allow for statewide comparisons.</w:t>
      </w:r>
    </w:p>
    <w:p>
      <w:pPr>
        <w:pStyle w:val="ListBullet"/>
      </w:pPr>
      <w:r>
        <w:t>**Non-add line</w:t>
      </w:r>
    </w:p>
    <w:p>
      <w:pPr>
        <w:pStyle w:val="ListNumber"/>
      </w:pPr>
      <w:r>
        <w:t>66</w:t>
      </w:r>
    </w:p>
    <w:p>
      <w:pPr>
        <w:pStyle w:val="Heading2"/>
      </w:pPr>
      <w:r>
        <w:t>UNIFORM FINANCIAL STATEMENT #4 RESTRICTED PURPOSES FUND REVENUES AND EXPENDITURES</w:t>
      </w:r>
    </w:p>
    <w:tbl>
      <w:tblPr>
        <w:tblStyle w:val="TableGrid"/>
        <w:tblW w:type="auto" w:w="0"/>
        <w:tblLook w:firstColumn="1" w:firstRow="1" w:lastColumn="0" w:lastRow="0" w:noHBand="0" w:noVBand="1" w:val="04A0"/>
      </w:tblPr>
      <w:tblGrid>
        <w:gridCol w:w="8640"/>
      </w:tblGrid>
      <w:tr>
        <w:tc>
          <w:tcPr>
            <w:tcW w:type="dxa" w:w="8640"/>
          </w:tcPr>
          <w:p>
            <w:r>
              <w:rPr>
                <w:b/>
              </w:rPr>
              <w:t>FISCAL YEAR ENDED JUNE 30, 2025</w:t>
            </w:r>
          </w:p>
        </w:tc>
      </w:tr>
      <w:tr>
        <w:tc>
          <w:tcPr>
            <w:tcW w:type="dxa" w:w="8640"/>
          </w:tcPr>
          <w:p>
            <w:r>
              <w:t>Fund Purposes Restricted</w:t>
            </w:r>
          </w:p>
        </w:tc>
      </w:tr>
      <w:tr>
        <w:tc>
          <w:tcPr>
            <w:tcW w:type="dxa" w:w="8640"/>
          </w:tcPr>
          <w:p>
            <w:r>
              <w:t>Revenues by Source</w:t>
            </w:r>
          </w:p>
        </w:tc>
      </w:tr>
      <w:tr>
        <w:tc>
          <w:tcPr>
            <w:tcW w:type="dxa" w:w="8640"/>
          </w:tcPr>
          <w:p>
            <w:r>
              <w:t>State Government:</w:t>
            </w:r>
          </w:p>
        </w:tc>
      </w:tr>
      <w:tr>
        <w:tc>
          <w:tcPr>
            <w:tcW w:type="dxa" w:w="8640"/>
          </w:tcPr>
          <w:p>
            <w:r>
              <w:t>ICCB - Adult Education 142,034 ICCB - Other 1,324,515 On-Behalf CIP (2,287,489) On-Behalf SURS 9,216,940 Other 1,406,049 Total State Government 9,802,049</w:t>
            </w:r>
          </w:p>
        </w:tc>
      </w:tr>
      <w:tr>
        <w:tc>
          <w:tcPr>
            <w:tcW w:type="dxa" w:w="8640"/>
          </w:tcPr>
          <w:p>
            <w:r>
              <w:t>Federal Government:</w:t>
            </w:r>
          </w:p>
        </w:tc>
      </w:tr>
      <w:tr>
        <w:tc>
          <w:tcPr>
            <w:tcW w:type="dxa" w:w="8640"/>
          </w:tcPr>
          <w:p>
            <w:r>
              <w:t>Department of Education 8,316,569 Department of Labor 107,122 Department of Health and Human Services 1,048,973 Other 106,010 Total Federal Government 9,578,674</w:t>
            </w:r>
          </w:p>
        </w:tc>
      </w:tr>
      <w:tr>
        <w:tc>
          <w:tcPr>
            <w:tcW w:type="dxa" w:w="8640"/>
          </w:tcPr>
          <w:p>
            <w:r>
              <w:t>Other Sources:</w:t>
            </w:r>
          </w:p>
        </w:tc>
      </w:tr>
      <w:tr>
        <w:tc>
          <w:tcPr>
            <w:tcW w:type="dxa" w:w="8640"/>
          </w:tcPr>
          <w:p>
            <w:r>
              <w:t>Tuition and Fees 17,980 Other 1,416,179 Total Other Sources 1,434,159</w:t>
            </w:r>
          </w:p>
        </w:tc>
      </w:tr>
      <w:tr>
        <w:tc>
          <w:tcPr>
            <w:tcW w:type="dxa" w:w="8640"/>
          </w:tcPr>
          <w:p>
            <w:r>
              <w:t>Total Restricted Purposes Fund Revenues $ 20,814,882</w:t>
            </w:r>
          </w:p>
        </w:tc>
      </w:tr>
      <w:tr>
        <w:tc>
          <w:tcPr>
            <w:tcW w:type="dxa" w:w="8640"/>
          </w:tcPr>
          <w:p>
            <w:r>
              <w:t>Expenditures By Program</w:t>
            </w:r>
          </w:p>
        </w:tc>
      </w:tr>
      <w:tr>
        <w:tc>
          <w:tcPr>
            <w:tcW w:type="dxa" w:w="8640"/>
          </w:tcPr>
          <w:p>
            <w:r>
              <w:t>Instruction $ 4,383,266 Academic Support 996,853 Student Services 1,480,343 Public Service/Continuing Education 2,020,557 Auxiliary Services 2,621,769 Operations and Maintenance 984,044 Institutional Support 2,000,956 Scholarships, Grants, and Waivers 8,148,575</w:t>
            </w:r>
          </w:p>
        </w:tc>
      </w:tr>
      <w:tr>
        <w:tc>
          <w:tcPr>
            <w:tcW w:type="dxa" w:w="8640"/>
          </w:tcPr>
          <w:p>
            <w:r>
              <w:t>Total Restricted Purposes Fund Expenditures $ 22,636,363</w:t>
            </w:r>
          </w:p>
        </w:tc>
      </w:tr>
      <w:tr>
        <w:tc>
          <w:tcPr>
            <w:tcW w:type="dxa" w:w="8640"/>
          </w:tcPr>
          <w:p>
            <w:r>
              <w:t>Expenditures By Object</w:t>
            </w:r>
          </w:p>
        </w:tc>
      </w:tr>
      <w:tr>
        <w:tc>
          <w:tcPr>
            <w:tcW w:type="dxa" w:w="8640"/>
          </w:tcPr>
          <w:p>
            <w:r>
              <w:t>Salaries $ 2,000,014 Employee Benefits (Including SURS &amp; CIP On-Behalf) 7,757,287 Contractual Services 192,374 General Materials and Supplies 1,056,899 Library Materials* - Travel &amp; Conference/Meeting Expenses 74,482 Fixed Charges 89,560 Utilities 24,742 Capital Outlay 3,126,928 Other 8,314,077 Scholarships, Grants, and Waivers* 8,148,575</w:t>
            </w:r>
          </w:p>
        </w:tc>
      </w:tr>
      <w:tr>
        <w:tc>
          <w:tcPr>
            <w:tcW w:type="dxa" w:w="8640"/>
          </w:tcPr>
          <w:p>
            <w:r>
              <w:t>Total Restricted Purposes Fund Expenditures $ 22,636,363</w:t>
            </w:r>
          </w:p>
        </w:tc>
      </w:tr>
    </w:tbl>
    <w:p/>
    <w:p>
      <w:r>
        <w:t>Total Local Government $ -</w:t>
      </w:r>
    </w:p>
    <w:p>
      <w:pPr>
        <w:pStyle w:val="ListBullet"/>
      </w:pPr>
      <w:r>
        <w:t>*Non-add line</w:t>
      </w:r>
    </w:p>
    <w:p>
      <w:pPr>
        <w:pStyle w:val="ListNumber"/>
      </w:pPr>
      <w:r>
        <w:t>67</w:t>
      </w:r>
    </w:p>
    <w:p>
      <w:r>
        <w:t>FISCAL YEAR ENDED JUNE 30, 2025 UNIFORM FINANCIAL STATEMENT #5 CURRENT FUNDS * EXPENDITURES BY ACTIVITY</w:t>
      </w:r>
    </w:p>
    <w:tbl>
      <w:tblPr>
        <w:tblStyle w:val="TableGrid"/>
        <w:tblW w:type="auto" w:w="0"/>
        <w:tblLook w:firstColumn="1" w:firstRow="1" w:lastColumn="0" w:lastRow="0" w:noHBand="0" w:noVBand="1" w:val="04A0"/>
      </w:tblPr>
      <w:tblGrid>
        <w:gridCol w:w="8640"/>
      </w:tblGrid>
      <w:tr>
        <w:tc>
          <w:tcPr>
            <w:tcW w:type="dxa" w:w="8640"/>
          </w:tcPr>
          <w:p>
            <w:r>
              <w:rPr>
                <w:b/>
              </w:rPr>
              <w:t>Instruction</w:t>
            </w:r>
          </w:p>
        </w:tc>
      </w:tr>
      <w:tr>
        <w:tc>
          <w:tcPr>
            <w:tcW w:type="dxa" w:w="8640"/>
          </w:tcPr>
          <w:p>
            <w:r>
              <w:t>Instructional Programs $ 13,224,669 Other 159,870 Total Instruction 13,384,539</w:t>
            </w:r>
          </w:p>
        </w:tc>
      </w:tr>
      <w:tr>
        <w:tc>
          <w:tcPr>
            <w:tcW w:type="dxa" w:w="8640"/>
          </w:tcPr>
          <w:p>
            <w:r>
              <w:t>Academic Support</w:t>
            </w:r>
          </w:p>
        </w:tc>
      </w:tr>
      <w:tr>
        <w:tc>
          <w:tcPr>
            <w:tcW w:type="dxa" w:w="8640"/>
          </w:tcPr>
          <w:p>
            <w:r>
              <w:t>Library Center 308,473 Instructional Materials Center 93,099 Academic Computing Support 403,493 Academic Administration and Planning 2,459,547 Other 448,550 Total Academic Support 3,713,162</w:t>
            </w:r>
          </w:p>
        </w:tc>
      </w:tr>
      <w:tr>
        <w:tc>
          <w:tcPr>
            <w:tcW w:type="dxa" w:w="8640"/>
          </w:tcPr>
          <w:p>
            <w:r>
              <w:t>Student Services</w:t>
            </w:r>
          </w:p>
        </w:tc>
      </w:tr>
      <w:tr>
        <w:tc>
          <w:tcPr>
            <w:tcW w:type="dxa" w:w="8640"/>
          </w:tcPr>
          <w:p>
            <w:r>
              <w:t>Admissions and Records 503,647 Counseling and Career Guidance 2,383,115 Financial Aid Administration 496,410 Other 869,141 Total Student Services Support 4,252,313</w:t>
            </w:r>
          </w:p>
        </w:tc>
      </w:tr>
      <w:tr>
        <w:tc>
          <w:tcPr>
            <w:tcW w:type="dxa" w:w="8640"/>
          </w:tcPr>
          <w:p>
            <w:r>
              <w:t>Public Service/Continuing Education</w:t>
            </w:r>
          </w:p>
        </w:tc>
      </w:tr>
      <w:tr>
        <w:tc>
          <w:tcPr>
            <w:tcW w:type="dxa" w:w="8640"/>
          </w:tcPr>
          <w:p>
            <w:r>
              <w:t>Community Education 351,647 Customized Training (Instructional) 232,229 Community Services 3,153,826 Other 14,995 Total Public Service/Continuing Education 3,752,697</w:t>
            </w:r>
          </w:p>
        </w:tc>
      </w:tr>
      <w:tr>
        <w:tc>
          <w:tcPr>
            <w:tcW w:type="dxa" w:w="8640"/>
          </w:tcPr>
          <w:p>
            <w:r>
              <w:t>Auxiliary Services 4,416,860</w:t>
            </w:r>
          </w:p>
        </w:tc>
      </w:tr>
      <w:tr>
        <w:tc>
          <w:tcPr>
            <w:tcW w:type="dxa" w:w="8640"/>
          </w:tcPr>
          <w:p>
            <w:r>
              <w:t>Operations and Maintenance of Plant</w:t>
            </w:r>
          </w:p>
        </w:tc>
      </w:tr>
      <w:tr>
        <w:tc>
          <w:tcPr>
            <w:tcW w:type="dxa" w:w="8640"/>
          </w:tcPr>
          <w:p>
            <w:r>
              <w:t>Maintenance 1,246,812 Custodial 2,070,234 Grounds 765,533 Campus Security 950,909 Transportation - Utilities 1,135,003 Administration - Other 5,627 Total Operations and Maintenance of Plant 6,174,118</w:t>
            </w:r>
          </w:p>
        </w:tc>
      </w:tr>
      <w:tr>
        <w:tc>
          <w:tcPr>
            <w:tcW w:type="dxa" w:w="8640"/>
          </w:tcPr>
          <w:p>
            <w:r>
              <w:t>Institutional Support</w:t>
            </w:r>
          </w:p>
        </w:tc>
      </w:tr>
      <w:tr>
        <w:tc>
          <w:tcPr>
            <w:tcW w:type="dxa" w:w="8640"/>
          </w:tcPr>
          <w:p>
            <w:r>
              <w:t>Executive Management 1,402,679 Fiscal Operations 1,254,780 Community Relations 1,053,455 Administrative Support Services 1,035,047 Board of Trustees 103,779 General Institution 2,000,702 Institutional Research 355,501 Administrative Data Processing 4,987,306 Other 398,337 Total Institutional Support 12,591,586</w:t>
            </w:r>
          </w:p>
        </w:tc>
      </w:tr>
      <w:tr>
        <w:tc>
          <w:tcPr>
            <w:tcW w:type="dxa" w:w="8640"/>
          </w:tcPr>
          <w:p>
            <w:r>
              <w:t>Scholarships, Student Grants, and Waivers 11,529,522</w:t>
            </w:r>
          </w:p>
        </w:tc>
      </w:tr>
      <w:tr>
        <w:tc>
          <w:tcPr>
            <w:tcW w:type="dxa" w:w="8640"/>
          </w:tcPr>
          <w:p>
            <w:r>
              <w:t>Total Current Funds Expenditures $ 59,814,797</w:t>
            </w:r>
          </w:p>
        </w:tc>
      </w:tr>
    </w:tbl>
    <w:p/>
    <w:p>
      <w:pPr>
        <w:pStyle w:val="ListBullet"/>
      </w:pPr>
      <w:r>
        <w:t>*Current Funds include the Education; Operations and Maintenance; Auxiliary Enterprises; Restricted Purposes; Audit; Liability, Protection, and Settlement; and PBC Operations and Maintenance Funds.</w:t>
      </w:r>
    </w:p>
    <w:p>
      <w:pPr>
        <w:pStyle w:val="ListNumber"/>
      </w:pPr>
      <w:r>
        <w:t>68</w:t>
      </w:r>
    </w:p>
    <w:p>
      <w:pPr>
        <w:pStyle w:val="Heading2"/>
      </w:pPr>
      <w:r>
        <w:t>STATE COMPLIANCE SECTION</w:t>
      </w:r>
    </w:p>
    <w:tbl>
      <w:tblPr>
        <w:tblStyle w:val="TableGrid"/>
        <w:tblW w:type="auto" w:w="0"/>
        <w:tblLook w:firstColumn="1" w:firstRow="1" w:lastColumn="0" w:lastRow="0" w:noHBand="0" w:noVBand="1" w:val="04A0"/>
      </w:tblPr>
      <w:tblGrid>
        <w:gridCol w:w="8640"/>
      </w:tblGrid>
      <w:tr>
        <w:tc>
          <w:tcPr>
            <w:tcW w:type="dxa" w:w="8640"/>
          </w:tcPr>
          <w:p>
            <w:r>
              <w:rPr>
                <w:b/>
              </w:rPr>
              <w:t>Illinois Community College Board State Grants Financial Compliance Section</w:t>
            </w:r>
          </w:p>
        </w:tc>
      </w:tr>
    </w:tbl>
    <w:p/>
    <w:p>
      <w:pPr>
        <w:pStyle w:val="Heading2"/>
      </w:pPr>
      <w:r>
        <w:t>INDEPENDENT AUDITOR'S REPORT ON COMPLIANCE WITH STATE REQUIREMENTS</w:t>
      </w:r>
    </w:p>
    <w:p>
      <w:pPr>
        <w:pStyle w:val="Heading2"/>
      </w:pPr>
      <w:r>
        <w:t>FOR ADULT EDUCATION AND FAMILY LITERACY GRANTS</w:t>
      </w:r>
    </w:p>
    <w:p>
      <w:r>
        <w:t>To the Board of Trustees John A. Logan College Community College District No. 530 Carterville, Illinois 62918 Opinion We have audited the accompanying financial statements of the Adult Education and Family Literacy Grants (State Basic and Performance) (grant program) of John A. Logan College, Community College District No. 530 (the College) as of June 30, 2025, and the related notes to the grant program financial statements as listed in the table of contents. In our opinion, the financial statements referred to above present fairly, in all material respects, the respective financial position of the Adult Education and Family Literacy Grants (State Basic and Performance) of John A. Logan College, Community College District No. 530 as of June 30, 2025, and the respective changes in financial position for the year then ended in conformity with accounting principles generally accepted in the United States of America. Basis for Opinion We conducted our audit in accordance with auditing standards generally accepted in the United States of America. Our responsibilities under those standards are further described in the Auditor's Responsibilities for the Audit of the Financial Statements section of our report. We are required to be independent of the College, and to meet our other ethical responsibilities, in accordance with the relevant ethical requirements relating to our audit. We believe that the audit evidence we have obtained is sufficient and appropriate to provide a basis for our audit opinions. Emphasis of Matter The grant program financial statements on pages 71-72 are intended to present the financial position and changes in financial position of the Adult Education and Family Literacy Grants. They do not purport to, and do not, present fairly the financial position of the College as of June 30, 2025, or the changes in financial position for the year then ended in accordance with accounting principles generally accepted in the United States of America. Our opinion is not modified with respect to this matter. Management’s Responsibility for the Financial Statements Management is responsible for the preparation and fair presentation of these grant program financial statements in accordance with accounting principles general accepted in the United States of America, and for the design, implementation, and maintenance of internal control relevant to the preparation and fair presentation of the financial statements that are free from material misstatement, whether due to fraud or error.</w:t>
      </w:r>
    </w:p>
    <w:p>
      <w:pPr>
        <w:pStyle w:val="ListNumber"/>
      </w:pPr>
      <w:r>
        <w:t>69</w:t>
      </w:r>
    </w:p>
    <w:p>
      <w:r>
        <w:t>Auditor's Responsibilities for the Audit of the Financial Statements Our objectives are to obtain reasonable assurance about whether the financial statements as a whole are free from material misstatement, whether due to fraud or error, and to issue an auditor's report that includes our opinions. Reasonable assurance is a high level of assurance but is not absolute assurance and therefore is not a guarantee that an audit conducted in accordance with generally accepted auditing standards will always detect a material misstatement when it exists. The risk of not detecting a material misstatement resulting from fraud is higher than for one resulting from error, as fraud may involve collusion, forgery, intentional omissions, misrepresentations, or the override of internal control. Misstatements are considered material if there is a substantial likelihood that, individually or in the aggregate, they would influence the judgment made by a reasonable user based on the financial statements. In performing an audit in accordance with generally accepted auditing standards, we:</w:t>
      </w:r>
    </w:p>
    <w:p>
      <w:pPr>
        <w:pStyle w:val="ListBullet"/>
      </w:pPr>
      <w:r>
        <w:t>• Exercise professional judgment and maintain professional skepticism throughout the audit. • Identify and assess the risks of material misstatement of the financial statements, whether due to fraud or error, and design and perform audit procedures responsive to those risks. Such procedures include examining, on a test basis, evidence regarding the amounts and disclosures in the financial statements. • Obtain an understanding of internal control relevant to the audit in order to design audit procedures that are appropriate in the circumstances, but not for the purpose of expressing an opinion on the effectiveness of the College's internal control. Accordingly, no such opinion is expressed. • Evaluate the appropriateness of accounting policies used and the reasonableness of significant accounting estimates made by management, as well as evaluate the overall presentation of the financial statements. We are required to communicate with those charged with governance regarding, among other matters, the planned scope and timing of the audit, significant audit findings, and certain internal control-related matters that we identified during the audit. Other Reporting Required by Government Auditing Standards In accordance with Government Auditing Standards , we have also issued our report dated February 19, 2026, on our consideration of the College’s internal control over financial reporting and on our tests of its compliance with certain provisions of laws, regulations, contracts, and grant agreements, and other matters. The purpose of that report is solely to describe the scope of our testing of internal control over financial reporting and compliance and the results of that testing, and not to provide an opinion on the effectiveness of the College’s internal control over financial reporting or on compliance. That report is an integral part of an audit performed in accordance with Government Auditing Standards in considering the College’s internal control over financial reporting and compliance.</w:t>
      </w:r>
    </w:p>
    <w:tbl>
      <w:tblPr>
        <w:tblStyle w:val="TableGrid"/>
        <w:tblW w:type="auto" w:w="0"/>
        <w:tblLook w:firstColumn="1" w:firstRow="1" w:lastColumn="0" w:lastRow="0" w:noHBand="0" w:noVBand="1" w:val="04A0"/>
      </w:tblPr>
      <w:tblGrid>
        <w:gridCol w:w="8640"/>
      </w:tblGrid>
      <w:tr>
        <w:tc>
          <w:tcPr>
            <w:tcW w:type="dxa" w:w="8640"/>
          </w:tcPr>
          <w:p>
            <w:r>
              <w:rPr>
                <w:b/>
              </w:rPr>
              <w:t>KEMPER CPA GROUP LLP Certified Public Accountants and Consultants Marion, Illinois February 19, 2026</w:t>
            </w:r>
          </w:p>
        </w:tc>
      </w:tr>
    </w:tbl>
    <w:p/>
    <w:p>
      <w:pPr>
        <w:pStyle w:val="ListNumber"/>
      </w:pPr>
      <w:r>
        <w:t>70</w:t>
      </w:r>
    </w:p>
    <w:p>
      <w:pPr>
        <w:pStyle w:val="Heading2"/>
      </w:pPr>
      <w:r>
        <w:t>STATE ADULT EDUCATION RESTRICTED FUNDS</w:t>
      </w:r>
    </w:p>
    <w:tbl>
      <w:tblPr>
        <w:tblStyle w:val="TableGrid"/>
        <w:tblW w:type="auto" w:w="0"/>
        <w:tblLook w:firstColumn="1" w:firstRow="1" w:lastColumn="0" w:lastRow="0" w:noHBand="0" w:noVBand="1" w:val="04A0"/>
      </w:tblPr>
      <w:tblGrid>
        <w:gridCol w:w="8640"/>
      </w:tblGrid>
      <w:tr>
        <w:tc>
          <w:tcPr>
            <w:tcW w:type="dxa" w:w="8640"/>
          </w:tcPr>
          <w:p>
            <w:r>
              <w:rPr>
                <w:b/>
              </w:rPr>
              <w:t>JUNE 30, 2025 BALANCE SHEET</w:t>
            </w:r>
          </w:p>
        </w:tc>
      </w:tr>
    </w:tbl>
    <w:p/>
    <w:p>
      <w:r>
        <w:t>Total (Memorandum Only) Performance Basic</w:t>
      </w:r>
    </w:p>
    <w:tbl>
      <w:tblPr>
        <w:tblStyle w:val="TableGrid"/>
        <w:tblW w:type="auto" w:w="0"/>
        <w:tblLook w:firstColumn="1" w:firstRow="1" w:lastColumn="0" w:lastRow="0" w:noHBand="0" w:noVBand="1" w:val="04A0"/>
      </w:tblPr>
      <w:tblGrid>
        <w:gridCol w:w="8640"/>
      </w:tblGrid>
      <w:tr>
        <w:tc>
          <w:tcPr>
            <w:tcW w:type="dxa" w:w="8640"/>
          </w:tcPr>
          <w:p>
            <w:r>
              <w:rPr>
                <w:b/>
              </w:rPr>
              <w:t>State</w:t>
            </w:r>
          </w:p>
        </w:tc>
      </w:tr>
      <w:tr>
        <w:tc>
          <w:tcPr>
            <w:tcW w:type="dxa" w:w="8640"/>
          </w:tcPr>
          <w:p>
            <w:r>
              <w:t>Assets</w:t>
            </w:r>
          </w:p>
        </w:tc>
      </w:tr>
      <w:tr>
        <w:tc>
          <w:tcPr>
            <w:tcW w:type="dxa" w:w="8640"/>
          </w:tcPr>
          <w:p>
            <w:r>
              <w:t>Current Assets</w:t>
            </w:r>
          </w:p>
        </w:tc>
      </w:tr>
      <w:tr>
        <w:tc>
          <w:tcPr>
            <w:tcW w:type="dxa" w:w="8640"/>
          </w:tcPr>
          <w:p>
            <w:r>
              <w:t>Cash Held by John A. Logan College $ 9,513 $ 4,043 $ 13,556</w:t>
            </w:r>
          </w:p>
        </w:tc>
      </w:tr>
      <w:tr>
        <w:tc>
          <w:tcPr>
            <w:tcW w:type="dxa" w:w="8640"/>
          </w:tcPr>
          <w:p>
            <w:r>
              <w:t>Total Assets $ 9,513 $ 4,043 $ 13,556</w:t>
            </w:r>
          </w:p>
        </w:tc>
      </w:tr>
      <w:tr>
        <w:tc>
          <w:tcPr>
            <w:tcW w:type="dxa" w:w="8640"/>
          </w:tcPr>
          <w:p>
            <w:r>
              <w:t>Liabilities and Fund Balances</w:t>
            </w:r>
          </w:p>
        </w:tc>
      </w:tr>
      <w:tr>
        <w:tc>
          <w:tcPr>
            <w:tcW w:type="dxa" w:w="8640"/>
          </w:tcPr>
          <w:p>
            <w:r>
              <w:t>Current Liabilities</w:t>
            </w:r>
          </w:p>
        </w:tc>
      </w:tr>
      <w:tr>
        <w:tc>
          <w:tcPr>
            <w:tcW w:type="dxa" w:w="8640"/>
          </w:tcPr>
          <w:p>
            <w:r>
              <w:t>Accounts Payable $ 5,265 $ 2,123 $ 7,388 Accrued Expenses 4,248 1,920 6,168 Total Liabilities 9,513 4,043 13,556</w:t>
            </w:r>
          </w:p>
        </w:tc>
      </w:tr>
      <w:tr>
        <w:tc>
          <w:tcPr>
            <w:tcW w:type="dxa" w:w="8640"/>
          </w:tcPr>
          <w:p>
            <w:r>
              <w:t>Fund Balance</w:t>
            </w:r>
          </w:p>
        </w:tc>
      </w:tr>
      <w:tr>
        <w:tc>
          <w:tcPr>
            <w:tcW w:type="dxa" w:w="8640"/>
          </w:tcPr>
          <w:p>
            <w:r>
              <w:t>Total Liabilities and Fund Balances $ 9,513 $ 4,043 $ 13,556</w:t>
            </w:r>
          </w:p>
        </w:tc>
      </w:tr>
    </w:tbl>
    <w:p/>
    <w:p>
      <w:r>
        <w:t>Reserved - - -</w:t>
      </w:r>
    </w:p>
    <w:p>
      <w:pPr>
        <w:pStyle w:val="ListNumber"/>
      </w:pPr>
      <w:r>
        <w:t>71</w:t>
      </w:r>
    </w:p>
    <w:p>
      <w:pPr>
        <w:pStyle w:val="Heading2"/>
      </w:pPr>
      <w:r>
        <w:t>STATE ADULT EDUCATION RESTRICTED FUNDS</w:t>
      </w:r>
    </w:p>
    <w:tbl>
      <w:tblPr>
        <w:tblStyle w:val="TableGrid"/>
        <w:tblW w:type="auto" w:w="0"/>
        <w:tblLook w:firstColumn="1" w:firstRow="1" w:lastColumn="0" w:lastRow="0" w:noHBand="0" w:noVBand="1" w:val="04A0"/>
      </w:tblPr>
      <w:tblGrid>
        <w:gridCol w:w="8640"/>
      </w:tblGrid>
      <w:tr>
        <w:tc>
          <w:tcPr>
            <w:tcW w:type="dxa" w:w="8640"/>
          </w:tcPr>
          <w:p>
            <w:r>
              <w:rPr>
                <w:b/>
              </w:rPr>
              <w:t>FOR THE YEAR ENDED JUNE 30, 2025 STATEMENT OF REVENUES, EXPENDITURES, AND CHANGES IN FUND BALANCE</w:t>
            </w:r>
          </w:p>
        </w:tc>
      </w:tr>
    </w:tbl>
    <w:p/>
    <w:p>
      <w:r>
        <w:t>Total (Memorandum Only) Performance Basic</w:t>
      </w:r>
    </w:p>
    <w:tbl>
      <w:tblPr>
        <w:tblStyle w:val="TableGrid"/>
        <w:tblW w:type="auto" w:w="0"/>
        <w:tblLook w:firstColumn="1" w:firstRow="1" w:lastColumn="0" w:lastRow="0" w:noHBand="0" w:noVBand="1" w:val="04A0"/>
      </w:tblPr>
      <w:tblGrid>
        <w:gridCol w:w="8640"/>
      </w:tblGrid>
      <w:tr>
        <w:tc>
          <w:tcPr>
            <w:tcW w:type="dxa" w:w="8640"/>
          </w:tcPr>
          <w:p>
            <w:r>
              <w:rPr>
                <w:b/>
              </w:rPr>
              <w:t>State</w:t>
            </w:r>
          </w:p>
        </w:tc>
      </w:tr>
      <w:tr>
        <w:tc>
          <w:tcPr>
            <w:tcW w:type="dxa" w:w="8640"/>
          </w:tcPr>
          <w:p>
            <w:r>
              <w:t>Revenues</w:t>
            </w:r>
          </w:p>
        </w:tc>
      </w:tr>
      <w:tr>
        <w:tc>
          <w:tcPr>
            <w:tcW w:type="dxa" w:w="8640"/>
          </w:tcPr>
          <w:p>
            <w:r>
              <w:t>Grant $ 92,039 $ 49,995 $ 142,034</w:t>
            </w:r>
          </w:p>
        </w:tc>
      </w:tr>
      <w:tr>
        <w:tc>
          <w:tcPr>
            <w:tcW w:type="dxa" w:w="8640"/>
          </w:tcPr>
          <w:p>
            <w:r>
              <w:t>Expenditures by Program</w:t>
            </w:r>
          </w:p>
        </w:tc>
      </w:tr>
      <w:tr>
        <w:tc>
          <w:tcPr>
            <w:tcW w:type="dxa" w:w="8640"/>
          </w:tcPr>
          <w:p>
            <w:r>
              <w:t>Personnel Services 70,068 38,100 108,168 Fringe Benefits 11,250 5,820 17,070 Travel 1,310 209 1,519 Supplies 7,731 3,137 10,868 Contractual Services - - - Occupancy - 1,200 1,200 Telecommunications 742 - 742 Training and Education - 1,529 1,529 Miscellaneous 938 - 938 Total Expenditures 92,039 49,995 142,034</w:t>
            </w:r>
          </w:p>
        </w:tc>
      </w:tr>
      <w:tr>
        <w:tc>
          <w:tcPr>
            <w:tcW w:type="dxa" w:w="8640"/>
          </w:tcPr>
          <w:p>
            <w:r>
              <w:t>Excess of Revenues</w:t>
            </w:r>
          </w:p>
        </w:tc>
      </w:tr>
      <w:tr>
        <w:tc>
          <w:tcPr>
            <w:tcW w:type="dxa" w:w="8640"/>
          </w:tcPr>
          <w:p>
            <w:r>
              <w:t>Fund Balance, July 1, 2024 - - -</w:t>
            </w:r>
          </w:p>
        </w:tc>
      </w:tr>
      <w:tr>
        <w:tc>
          <w:tcPr>
            <w:tcW w:type="dxa" w:w="8640"/>
          </w:tcPr>
          <w:p>
            <w:r>
              <w:t>Fund Balance, June 30, 2025 $ - $ - $ -</w:t>
            </w:r>
          </w:p>
        </w:tc>
      </w:tr>
    </w:tbl>
    <w:p/>
    <w:p>
      <w:r>
        <w:t>Over (Under) Expenditures - - -</w:t>
      </w:r>
    </w:p>
    <w:p>
      <w:pPr>
        <w:pStyle w:val="ListNumber"/>
      </w:pPr>
      <w:r>
        <w:t>72</w:t>
      </w:r>
    </w:p>
    <w:p>
      <w:pPr>
        <w:pStyle w:val="Heading2"/>
      </w:pPr>
      <w:r>
        <w:t>NOTES TO GRANT PROGRAM FINANCIAL STATEMENTS</w:t>
      </w:r>
    </w:p>
    <w:tbl>
      <w:tblPr>
        <w:tblStyle w:val="TableGrid"/>
        <w:tblW w:type="auto" w:w="0"/>
        <w:tblLook w:firstColumn="1" w:firstRow="1" w:lastColumn="0" w:lastRow="0" w:noHBand="0" w:noVBand="1" w:val="04A0"/>
      </w:tblPr>
      <w:tblGrid>
        <w:gridCol w:w="8640"/>
      </w:tblGrid>
      <w:tr>
        <w:tc>
          <w:tcPr>
            <w:tcW w:type="dxa" w:w="8640"/>
          </w:tcPr>
          <w:p>
            <w:r>
              <w:rPr>
                <w:b/>
              </w:rPr>
              <w:t>JUNE 30, 2025 NOTE 1: PROGRAM DESCRIPTIONS The College is responsible for administering the programs listed below in accordance with “Policy Guidelines for Restricted Grant Expenditures and Reporting” set forth by ICCB in its Fiscal Management Manual. Program funds are accounted for in the College’s current restricted fund. Adult Education and Family Literacy Grant Program ICCB awards funding to eligible applicants to develop, implement, and improve adult education and literacy activities. The provider must use the grant to establish or operate programs that provide services or instruction in one or more of the following categories:</w:t>
            </w:r>
          </w:p>
        </w:tc>
      </w:tr>
    </w:tbl>
    <w:p/>
    <w:p>
      <w:pPr>
        <w:pStyle w:val="ListBullet"/>
      </w:pPr>
      <w:r>
        <w:t>• Adult education and literacy services (including workplace), • Family literacy services, and/or • English literacy programs. ICCB provides funding for adult education and family literacy from State and federal sources. State funds include three categories (1) State Basic, (2) State Public Assistance, and (3) State Performance. Federal funds include two categories: (1) Federal Basic and (2) Federal EL/Civics. Funding is allocated through a competitive process. The funding source determined the applicable statutory regulations, policies, and guidelines, including allowable costs. State Performance – Grants are awarded to adult education and family literacy providers based upon performance outcomes. NOTE 2: SUMMARY OF SIGNIFICANT ACCOUNTING POLICIES A. Basis of Accounting The statements have been prepared on the modified accrual basis. Expenditures are reported when services are rendered or when goods are received. The grant funds shall be expended or obligated prior to June 30 each year, the last day of the fiscal year. Grant funds should be accounted for in the same period as in the credit hour claiming process. Unexpended funds shall be returned to ICCB by October 15 following the end of the fiscal year. Grant revenues are reported in these grant program financial statements when allowable grant expenditures are made. Expenditures are allowable if they comply with “Policy Guidelines for Restricted Grant Expenditures and Reporting” set forth in ICCB’s Fiscal Management Manual. Grant funds should be accounted for in the same period as in the credit hour claiming process. These grant program financial statements cover only the State Adult Education Grant Programs. They are not intended to, and do not, present the financial position or results of operations of the College in its entirety.</w:t>
      </w:r>
    </w:p>
    <w:p>
      <w:pPr>
        <w:pStyle w:val="ListNumber"/>
      </w:pPr>
      <w:r>
        <w:t>73</w:t>
      </w:r>
    </w:p>
    <w:p>
      <w:pPr>
        <w:pStyle w:val="Heading2"/>
      </w:pPr>
      <w:r>
        <w:t>NOTES TO GRANT PROGRAM FINANCIAL STATEMENTS (CONCLUDED)</w:t>
      </w:r>
    </w:p>
    <w:tbl>
      <w:tblPr>
        <w:tblStyle w:val="TableGrid"/>
        <w:tblW w:type="auto" w:w="0"/>
        <w:tblLook w:firstColumn="1" w:firstRow="1" w:lastColumn="0" w:lastRow="0" w:noHBand="0" w:noVBand="1" w:val="04A0"/>
      </w:tblPr>
      <w:tblGrid>
        <w:gridCol w:w="8640"/>
      </w:tblGrid>
      <w:tr>
        <w:tc>
          <w:tcPr>
            <w:tcW w:type="dxa" w:w="8640"/>
          </w:tcPr>
          <w:p>
            <w:r>
              <w:rPr>
                <w:b/>
              </w:rPr>
              <w:t>JUNE 30, 2025 NOTE 2: SUMMARY OF SIGNIFICANT ACCOUNTING POLICIES (CONCLUDED) B. Cash Held by John A. Logan College To facilitate sound management, substantially all grant program cash for the State Adult Education Grant Program is pooled with the College. C. Receivables – Governmental Claims A receivable is recorded for the funds to be received from ICCB at June 30, 2025, for reimbursement of allowable expenditures incurred during the fiscal year. These amounts are considered to be 100% collectible. D. Due to Other Funds This account presents the amount to be reimbursed to other funds for the use of the other funds’ resources to pay for the expenses incurred by the grant program. E. Capital Assets Acquisitions of capital assets, if any, are reported as capital assets in the College’s financial statements. They are recorded as capital outlay and are not capitalized in the grant program financial statements. There were no capital assets purchased with the grant funds during the fiscal year ended June 30, 2025. F. Use of Estimates The preparation of the grant program financial statements in conformity with accounting principles generally accepted in the United States of America requires management to make estimates and assumptions that could affect certain reported amounts and disclosures. Actual results could differ from those estimates and assumptions.</w:t>
            </w:r>
          </w:p>
        </w:tc>
      </w:tr>
    </w:tbl>
    <w:p/>
    <w:p>
      <w:pPr>
        <w:pStyle w:val="ListNumber"/>
      </w:pPr>
      <w:r>
        <w:t>74</w:t>
      </w:r>
    </w:p>
    <w:p>
      <w:pPr>
        <w:pStyle w:val="Heading2"/>
      </w:pPr>
      <w:r>
        <w:t>ENROLLMENT DATA AND OTHER BASES</w:t>
      </w:r>
    </w:p>
    <w:tbl>
      <w:tblPr>
        <w:tblStyle w:val="TableGrid"/>
        <w:tblW w:type="auto" w:w="0"/>
        <w:tblLook w:firstColumn="1" w:firstRow="1" w:lastColumn="0" w:lastRow="0" w:noHBand="0" w:noVBand="1" w:val="04A0"/>
      </w:tblPr>
      <w:tblGrid>
        <w:gridCol w:w="8640"/>
      </w:tblGrid>
      <w:tr>
        <w:tc>
          <w:tcPr>
            <w:tcW w:type="dxa" w:w="8640"/>
          </w:tcPr>
          <w:p>
            <w:r>
              <w:rPr>
                <w:b/>
              </w:rPr>
              <w:t>UPON WHICH CLAIMS ARE FILED</w:t>
            </w:r>
          </w:p>
        </w:tc>
      </w:tr>
    </w:tbl>
    <w:p/>
    <w:p>
      <w:pPr>
        <w:pStyle w:val="Heading2"/>
      </w:pPr>
      <w:r>
        <w:t>INDEPENDENT ACCOUNTANT'S REPORT ON THE SCHEDULE</w:t>
      </w:r>
    </w:p>
    <w:p>
      <w:pPr>
        <w:pStyle w:val="Heading2"/>
      </w:pPr>
      <w:r>
        <w:t>OF ENROLLMENT DATA AND OTHER BASES UPON</w:t>
      </w:r>
    </w:p>
    <w:tbl>
      <w:tblPr>
        <w:tblStyle w:val="TableGrid"/>
        <w:tblW w:type="auto" w:w="0"/>
        <w:tblLook w:firstColumn="1" w:firstRow="1" w:lastColumn="0" w:lastRow="0" w:noHBand="0" w:noVBand="1" w:val="04A0"/>
      </w:tblPr>
      <w:tblGrid>
        <w:gridCol w:w="8640"/>
      </w:tblGrid>
      <w:tr>
        <w:tc>
          <w:tcPr>
            <w:tcW w:type="dxa" w:w="8640"/>
          </w:tcPr>
          <w:p>
            <w:r>
              <w:rPr>
                <w:b/>
              </w:rPr>
              <w:t>WHICH CLAIMS ARE FILED</w:t>
            </w:r>
          </w:p>
        </w:tc>
      </w:tr>
      <w:tr>
        <w:tc>
          <w:tcPr>
            <w:tcW w:type="dxa" w:w="8640"/>
          </w:tcPr>
          <w:p>
            <w:r>
              <w:t>To the Board of Trustees John A. Logan College Community College District No. 530 Carterville, Illinois 62918 We have examined the accompanying Schedule of Enrollment Data and Other Bases Upon Which Claims are Filed of John A. Logan College, Community College District No. 530 for the year ended June 30, 2025 (the Schedule). The College’s management is responsible for preparing the Schedule in accordance with the guidelines of the Illinois Community College Board’s Fiscal Management Manual. Our responsibility is to express an opinion on the Schedule based on our examination. Our examination was conducted in accordance with attestation standards established by the American Institute of Certified Public Accountants. Those standards require that we plan and perform the examination to obtain reasonable assurance about whether the Schedule referred to above is in accordance with the guidelines of the Illinois Community College Board’s Fiscal Management Manual , in all material respects. The nature, timing, and extent of the procedures selected depend on our judgment, including an assessment of the risks of material misstatement of the Schedule referred to above, whether due to fraud or error. We believe that the evidence we obtained is sufficient and appropriate to provide a reasonable basis for our opinion. We are required to be independent and to meet our other ethical responsibilities in accordance with relevant ethical requirements relating to the engagement. In our opinion, the Schedule is presented in accordance with the guidelines of the Illinois Community College Board’s Fiscal Management Manual in all material respects. The supplementary information on pages 78-80 discusses the College’s residency verification steps and is the responsibility of the College’s management. This information has not been subjected to the audit procedures applied in the audit of the Schedule, and accordingly, we do not express an opinion or provide any assurance on it.</w:t>
            </w:r>
          </w:p>
        </w:tc>
      </w:tr>
      <w:tr>
        <w:tc>
          <w:tcPr>
            <w:tcW w:type="dxa" w:w="8640"/>
          </w:tcPr>
          <w:p>
            <w:r>
              <w:t>KEMPER CPA GROUP LLP Certified Public Accountants and Consultants Marion, Illinois February 19, 2026</w:t>
            </w:r>
          </w:p>
        </w:tc>
      </w:tr>
    </w:tbl>
    <w:p/>
    <w:p>
      <w:pPr>
        <w:pStyle w:val="ListNumber"/>
      </w:pPr>
      <w:r>
        <w:t>75</w:t>
      </w:r>
    </w:p>
    <w:p>
      <w:pPr>
        <w:pStyle w:val="Heading2"/>
      </w:pPr>
      <w:r>
        <w:t>RECONCILIATION OF TOTAL REIMBURSABLE SEMESTER CREDIT HOURS</w:t>
      </w:r>
    </w:p>
    <w:tbl>
      <w:tblPr>
        <w:tblStyle w:val="TableGrid"/>
        <w:tblW w:type="auto" w:w="0"/>
        <w:tblLook w:firstColumn="1" w:firstRow="1" w:lastColumn="0" w:lastRow="0" w:noHBand="0" w:noVBand="1" w:val="04A0"/>
      </w:tblPr>
      <w:tblGrid>
        <w:gridCol w:w="8640"/>
      </w:tblGrid>
      <w:tr>
        <w:tc>
          <w:tcPr>
            <w:tcW w:type="dxa" w:w="8640"/>
          </w:tcPr>
          <w:p>
            <w:r>
              <w:rPr>
                <w:b/>
              </w:rPr>
              <w:t>FOR THE YEAR ENDED JUNE 30, 2025</w:t>
            </w:r>
          </w:p>
        </w:tc>
      </w:tr>
    </w:tbl>
    <w:p/>
    <w:p>
      <w:r>
        <w:t>Total Total Unrestricted Restricted Total Credit Hours Total Credit Hours Unrestricted Certified to Restricted Certified to Categories Credit Hours the ICCB Difference Credit Hours the ICCB Difference</w:t>
      </w:r>
    </w:p>
    <w:tbl>
      <w:tblPr>
        <w:tblStyle w:val="TableGrid"/>
        <w:tblW w:type="auto" w:w="0"/>
        <w:tblLook w:firstColumn="1" w:firstRow="1" w:lastColumn="0" w:lastRow="0" w:noHBand="0" w:noVBand="1" w:val="04A0"/>
      </w:tblPr>
      <w:tblGrid>
        <w:gridCol w:w="8640"/>
      </w:tblGrid>
      <w:tr>
        <w:tc>
          <w:tcPr>
            <w:tcW w:type="dxa" w:w="8640"/>
          </w:tcPr>
          <w:p>
            <w:r>
              <w:rPr>
                <w:b/>
              </w:rPr>
              <w:t>Baccalaureate 36,223.0 36,223.0 - 258.5 258.5 - Business Occupational 5,449.5 5,449.5 - 68.0 68.0 - Technical Occupational 6,426.5 6,426.5 - 308.5 308.5 - Health Occupational 7,665.5 7,665.5 - 13.5 13.5 - Remedial Developmental 1,114.0 1,114.0 - - - - Adult Education 515.0 515.0 - 2,525.5 2,525.5 -</w:t>
            </w:r>
          </w:p>
        </w:tc>
      </w:tr>
      <w:tr>
        <w:tc>
          <w:tcPr>
            <w:tcW w:type="dxa" w:w="8640"/>
          </w:tcPr>
          <w:p>
            <w:r>
              <w:t>Total 57,393.5 57,393.5 - 3,174.0 3,174.0 -</w:t>
            </w:r>
          </w:p>
        </w:tc>
      </w:tr>
      <w:tr>
        <w:tc>
          <w:tcPr>
            <w:tcW w:type="dxa" w:w="8640"/>
          </w:tcPr>
          <w:p>
            <w:r>
              <w:t>FOR THE YEAR ENDED JUNE 30, 2025</w:t>
            </w:r>
          </w:p>
        </w:tc>
      </w:tr>
    </w:tbl>
    <w:p/>
    <w:p>
      <w:r>
        <w:t>RECONCILIATION OF IN-DISTRICT/CHARGEBACK AND COOPERATIVE/CONTRACTUAL AGREEMENT CREDIT HOURS</w:t>
      </w:r>
    </w:p>
    <w:p>
      <w:r>
        <w:t>Total Total Attending Attending (Unrestricted As Certified and Restricted) To The ICCB Difference</w:t>
      </w:r>
    </w:p>
    <w:tbl>
      <w:tblPr>
        <w:tblStyle w:val="TableGrid"/>
        <w:tblW w:type="auto" w:w="0"/>
        <w:tblLook w:firstColumn="1" w:firstRow="1" w:lastColumn="0" w:lastRow="0" w:noHBand="0" w:noVBand="1" w:val="04A0"/>
      </w:tblPr>
      <w:tblGrid>
        <w:gridCol w:w="8640"/>
      </w:tblGrid>
      <w:tr>
        <w:tc>
          <w:tcPr>
            <w:tcW w:type="dxa" w:w="8640"/>
          </w:tcPr>
          <w:p>
            <w:r>
              <w:rPr>
                <w:b/>
              </w:rPr>
              <w:t>Reimbursable In-District Residents 52,762.0 52,762.0 -</w:t>
            </w:r>
          </w:p>
        </w:tc>
      </w:tr>
      <w:tr>
        <w:tc>
          <w:tcPr>
            <w:tcW w:type="dxa" w:w="8640"/>
          </w:tcPr>
          <w:p>
            <w:r>
              <w:t>Reimbursable Out-of-District on</w:t>
            </w:r>
          </w:p>
        </w:tc>
      </w:tr>
      <w:tr>
        <w:tc>
          <w:tcPr>
            <w:tcW w:type="dxa" w:w="8640"/>
          </w:tcPr>
          <w:p>
            <w:r>
              <w:t>Chargeback or Contractual Agreement 2,686.0 2,686.0 -</w:t>
            </w:r>
          </w:p>
        </w:tc>
      </w:tr>
      <w:tr>
        <w:tc>
          <w:tcPr>
            <w:tcW w:type="dxa" w:w="8640"/>
          </w:tcPr>
          <w:p>
            <w:r>
              <w:t>Total 55,448.0 55,448.0 -</w:t>
            </w:r>
          </w:p>
        </w:tc>
      </w:tr>
      <w:tr>
        <w:tc>
          <w:tcPr>
            <w:tcW w:type="dxa" w:w="8640"/>
          </w:tcPr>
          <w:p>
            <w:r>
              <w:t>Total Reimbursable Total Certified to Reimbursable ICCB Difference</w:t>
            </w:r>
          </w:p>
        </w:tc>
      </w:tr>
      <w:tr>
        <w:tc>
          <w:tcPr>
            <w:tcW w:type="dxa" w:w="8640"/>
          </w:tcPr>
          <w:p>
            <w:r>
              <w:t>Dual Credit 6,007.0 6,007.0 - Dual Enrollment 2,673.0 2,673.0 -</w:t>
            </w:r>
          </w:p>
        </w:tc>
      </w:tr>
      <w:tr>
        <w:tc>
          <w:tcPr>
            <w:tcW w:type="dxa" w:w="8640"/>
          </w:tcPr>
          <w:p>
            <w:r>
              <w:t>Total 8,680.0 8,680.0 -</w:t>
            </w:r>
          </w:p>
        </w:tc>
      </w:tr>
      <w:tr>
        <w:tc>
          <w:tcPr>
            <w:tcW w:type="dxa" w:w="8640"/>
          </w:tcPr>
          <w:p>
            <w:r>
              <w:t>FOR THE YEAR ENDED JUNE 30, 2025</w:t>
            </w:r>
          </w:p>
        </w:tc>
      </w:tr>
    </w:tbl>
    <w:p/>
    <w:p>
      <w:r>
        <w:t>RECONCILIATION OF TOTAL CORRECTIONAL SEMESTER CREDIT HOURS</w:t>
      </w:r>
    </w:p>
    <w:p>
      <w:r>
        <w:t>Total Reimbursable Total Correctional Reimbursable Credit Hours Correctional Certified to Categories Credit Hours The ICCB Difference</w:t>
      </w:r>
    </w:p>
    <w:p>
      <w:r>
        <w:t>Baccalaureate - - - Business Occupational - - - Technical Occupational - - - Health Occupational - - - Remedial Development - - - Adult Education - - -</w:t>
      </w:r>
    </w:p>
    <w:p>
      <w:r>
        <w:t>Total - - -</w:t>
      </w:r>
    </w:p>
    <w:p>
      <w:pPr>
        <w:pStyle w:val="ListNumber"/>
      </w:pPr>
      <w:r>
        <w:t>77</w:t>
      </w:r>
    </w:p>
    <w:p>
      <w:pPr>
        <w:pStyle w:val="Heading2"/>
      </w:pPr>
      <w:r>
        <w:t>DOCUMENTATION OF RESIDENCY VERIFICATION STEPS</w:t>
      </w:r>
    </w:p>
    <w:tbl>
      <w:tblPr>
        <w:tblStyle w:val="TableGrid"/>
        <w:tblW w:type="auto" w:w="0"/>
        <w:tblLook w:firstColumn="1" w:firstRow="1" w:lastColumn="0" w:lastRow="0" w:noHBand="0" w:noVBand="1" w:val="04A0"/>
      </w:tblPr>
      <w:tblGrid>
        <w:gridCol w:w="8640"/>
      </w:tblGrid>
      <w:tr>
        <w:tc>
          <w:tcPr>
            <w:tcW w:type="dxa" w:w="8640"/>
          </w:tcPr>
          <w:p>
            <w:r>
              <w:rPr>
                <w:b/>
              </w:rPr>
              <w:t>JUNE 30, 2025 In-District Student Description: A student who has lived in Franklin, Jackson, Perry, Randolph, or Williamson counties for at least 30 days prior to the beginning of the semester. Residency Code: In-district Acceptable Documentation: Includes driver’s license, voter registration card, or a property tax statement, and the proof must show an in-district address. If none of the above items are available, the student may establish proof of in-district residency by providing a notarized statement signed by the student and his/her parents stating that the student’s residence is within the boundaries of the district. In the event that parents are not appropriate or available as co-signers on a notarized statement, such a statement can be co-signed by a city clerk or the county clerk in the city or county where the student has a permanent address. Tuition Charge: Current in-district tuition charge Student Employed Full-Time in the District Description: An Illinois resident who lives outside the College’s district but works at least 35 hours per week at a business or industry located in the district. Residency Code: Out-of-district Acceptable Documentation: A signed letter from employer verifying that the student works at least 35 hours in the district. Tuition Charge: Current in-district tuition charge Out-of-District Student Description: A student who has lived outside the district boundaries but within the State of Illinois for at least 30 days prior to the beginning of the semester. Residency Code: Out-of-district Acceptable Documentation: Includes driver’s license, voter registration card, or property tax statement.</w:t>
            </w:r>
          </w:p>
        </w:tc>
      </w:tr>
    </w:tbl>
    <w:p/>
    <w:p>
      <w:r>
        <w:t>Tuition Charge: Current out-of-district tuition charge</w:t>
      </w:r>
    </w:p>
    <w:p>
      <w:pPr>
        <w:pStyle w:val="ListNumber"/>
      </w:pPr>
      <w:r>
        <w:t>78</w:t>
      </w:r>
    </w:p>
    <w:p>
      <w:pPr>
        <w:pStyle w:val="Heading2"/>
      </w:pPr>
      <w:r>
        <w:t>DOCUMENTATION OF RESIDENCY VERIFICATION STEPS (CONTINUED)</w:t>
      </w:r>
    </w:p>
    <w:p>
      <w:r>
        <w:t>JUNE 30, 2025 Chargeback Student Description: A student who lives in Illinois outside the district boundaries but attends the College because his/her home Community College does not offer a specific degree/certificate program. Residency Code: Out-of-district Acceptable Documentation: A signed chargeback agreement from the home community college. Tuition Charge: Current out-of-district tuition charge, but a waiver is processed for the difference between in-district and out-of-district Reciprocal Agreement Student Description: A student who lives in the Shawnee College, Rend Lake College, or Southeastern Illinois Community College district but attends John A. Logan College for the purpose of enrolling in a specific course not offered by the home community college. Since this is an agreement made among these four colleges, a chargeback request is not required. Residency Code: Out-of-district Acceptable Documentation: A letter of reciprocity from the home community college. Tuition Charge: Current in-district tuition charge Out-of-State Student Description: A student who lives outside the State of Illinois. Residency Code: Out-of-state Acceptable documentation: None is required. Tuition Charge: Current out-of-state tuition charge</w:t>
      </w:r>
    </w:p>
    <w:p>
      <w:pPr>
        <w:pStyle w:val="ListNumber"/>
      </w:pPr>
      <w:r>
        <w:t>79</w:t>
      </w:r>
    </w:p>
    <w:p>
      <w:pPr>
        <w:pStyle w:val="Heading2"/>
      </w:pPr>
      <w:r>
        <w:t>DOCUMENTATION OF RESIDENCY VERIFICATION STEPS (CONCLUDED)</w:t>
      </w:r>
    </w:p>
    <w:tbl>
      <w:tblPr>
        <w:tblStyle w:val="TableGrid"/>
        <w:tblW w:type="auto" w:w="0"/>
        <w:tblLook w:firstColumn="1" w:firstRow="1" w:lastColumn="0" w:lastRow="0" w:noHBand="0" w:noVBand="1" w:val="04A0"/>
      </w:tblPr>
      <w:tblGrid>
        <w:gridCol w:w="8640"/>
      </w:tblGrid>
      <w:tr>
        <w:tc>
          <w:tcPr>
            <w:tcW w:type="dxa" w:w="8640"/>
          </w:tcPr>
          <w:p>
            <w:r>
              <w:rPr>
                <w:b/>
              </w:rPr>
              <w:t>JUNE 30, 2025 International Student Description: A student who lives outside of the United States. Residency Code: Foreign Acceptable Documentation: None, other than the typical international student admission paperwork which is completed with the Director of Counseling. Tuition Charge: Current out-of-state tuition charge International Athlete Description: A student who lives outside of the United States but who attends the College for the purpose of playing collegiate sports. Residency Code: Foreign Acceptable Documentation: None, other than the typical international student admission paperwork which is completed with the Director of Counseling. Tuition Charge: Current in-district tuition charge International Student with U.S. In-District Sponsor Description: A student whose permanent residence is outside of the United States but who lives with and is financially sponsored by a resident within the college district. Residency Code: Out-of-country Acceptable Documentation: A signed letter from an in-district resident verifying financial sponsorship. Tuition Charge: Current in-district tuition charge</w:t>
            </w:r>
          </w:p>
        </w:tc>
      </w:tr>
    </w:tbl>
    <w:p/>
    <w:p>
      <w:pPr>
        <w:pStyle w:val="ListNumber"/>
      </w:pPr>
      <w:r>
        <w:t>80</w:t>
      </w:r>
    </w:p>
    <w:p>
      <w:pPr>
        <w:pStyle w:val="Heading2"/>
      </w:pPr>
      <w:r>
        <w:t>STATE OF ILLINOIS CONSOLIDATED YEAR-END FINANCIAL REPORT</w:t>
      </w:r>
    </w:p>
    <w:p>
      <w:pPr>
        <w:pStyle w:val="Heading2"/>
      </w:pPr>
      <w:r>
        <w:t>INDEPENDENT AUDITOR’S REPORT ON</w:t>
      </w:r>
    </w:p>
    <w:p>
      <w:pPr>
        <w:pStyle w:val="Heading2"/>
      </w:pPr>
      <w:r>
        <w:t>THE STATE OF ILLINOIS CONSOLIDATED YEAR-END FINANCIAL REPORT</w:t>
      </w:r>
    </w:p>
    <w:tbl>
      <w:tblPr>
        <w:tblStyle w:val="TableGrid"/>
        <w:tblW w:type="auto" w:w="0"/>
        <w:tblLook w:firstColumn="1" w:firstRow="1" w:lastColumn="0" w:lastRow="0" w:noHBand="0" w:noVBand="1" w:val="04A0"/>
      </w:tblPr>
      <w:tblGrid>
        <w:gridCol w:w="8640"/>
      </w:tblGrid>
      <w:tr>
        <w:tc>
          <w:tcPr>
            <w:tcW w:type="dxa" w:w="8640"/>
          </w:tcPr>
          <w:p>
            <w:r>
              <w:rPr>
                <w:b/>
              </w:rPr>
              <w:t>To the Board of Trustees John A. Logan College Community College District No. 530 Carterville, Illinois 62918 We have audited the financial statements of John A. Logan College, Community College District No. 530 (the College) as of and for the year ended June 30, 2025, and have issued our report thereon dated February 19, 2026, which expressed an unmodified opinion on those financial statements, and appears on pages 1-3. Our audit was conducted for the purpose of forming an opinion on the financial statements as a whole. The “Consolidated Year-End Financial Report” for the State of Illinois on pages 82a-82l, for the fiscal year ended June 30, 2025, is presented for purposes of additional analysis, as required by the State of Illinois, and is not a required part of the financial statements. Such information is the responsibility of management and was derived from and relates directly to the underlying accounting and other records used to prepare the financial statements. The information has been subjected to the auditing procedures applied in the audit of the financial statements and certain additional procedures, including comparing and reconciling such information directly to the underlying accounting and other records used to prepare the financial statements or to the financial statements themselves, and other additional procedures in accordance with auditing standards generally accepted in the United States of America. In our opinion, the information is fairly stated in all material respects in relation to the financial statements as a whole. This report is intended solely for the information and use of management of the College and the State of Illinois and is not intended to be and should not be used by anyone other than those specified parties.</w:t>
            </w:r>
          </w:p>
        </w:tc>
      </w:tr>
      <w:tr>
        <w:tc>
          <w:tcPr>
            <w:tcW w:type="dxa" w:w="8640"/>
          </w:tcPr>
          <w:p>
            <w:r>
              <w:t>KEMPER CPA GROUP LLP Certified Public Accountants and Consultants Marion, Illinois February 19, 2026</w:t>
            </w:r>
          </w:p>
        </w:tc>
      </w:tr>
    </w:tbl>
    <w:p/>
    <w:p>
      <w:pPr>
        <w:pStyle w:val="ListNumber"/>
      </w:pPr>
      <w:r>
        <w:t>81</w:t>
      </w:r>
    </w:p>
    <w:p>
      <w:r>
        <w:t>Illinois Grant Accountability and Transparency Consolidated Year-End Financial Report Page 1 of 7 01/06/26</w:t>
      </w:r>
    </w:p>
    <w:p>
      <w:r>
        <w:t>Grantee Name John A Logan College</w:t>
      </w:r>
    </w:p>
    <w:tbl>
      <w:tblPr>
        <w:tblStyle w:val="TableGrid"/>
        <w:tblW w:type="auto" w:w="0"/>
        <w:tblLook w:firstColumn="1" w:firstRow="1" w:lastColumn="0" w:lastRow="0" w:noHBand="0" w:noVBand="1" w:val="04A0"/>
      </w:tblPr>
      <w:tblGrid>
        <w:gridCol w:w="8640"/>
      </w:tblGrid>
      <w:tr>
        <w:tc>
          <w:tcPr>
            <w:tcW w:type="dxa" w:w="8640"/>
          </w:tcPr>
          <w:p>
            <w:r>
              <w:rPr>
                <w:b/>
              </w:rPr>
              <w:t>ID Numbers Audit:57935 Audit:57935 Grantee:673225 Grantee:673225 UEI:JFLWC7MNURM5 UEI:JFLWC7MNURM5 UEI:JFLWC7MNURM5 FEIN:370905504 FEIN:370905504</w:t>
            </w:r>
          </w:p>
        </w:tc>
      </w:tr>
      <w:tr>
        <w:tc>
          <w:tcPr>
            <w:tcW w:type="dxa" w:w="8640"/>
          </w:tcPr>
          <w:p>
            <w:r>
              <w:t>Audit Period 7/1/2024 12:00:00 AM - 6/30/2025 12:00:00 AM</w:t>
            </w:r>
          </w:p>
        </w:tc>
      </w:tr>
      <w:tr>
        <w:tc>
          <w:tcPr>
            <w:tcW w:type="dxa" w:w="8640"/>
          </w:tcPr>
          <w:p>
            <w:r>
              <w:t>Last Update 1/6/2026 1:58:26 PM</w:t>
            </w:r>
          </w:p>
        </w:tc>
      </w:tr>
      <w:tr>
        <w:tc>
          <w:tcPr>
            <w:tcW w:type="dxa" w:w="8640"/>
          </w:tcPr>
          <w:p>
            <w:r>
              <w:t>Program Count 6</w:t>
            </w:r>
          </w:p>
        </w:tc>
      </w:tr>
      <w:tr>
        <w:tc>
          <w:tcPr>
            <w:tcW w:type="dxa" w:w="8640"/>
          </w:tcPr>
          <w:p>
            <w:r>
              <w:t>EXPENDITURES BY PROGRAM CSFA #</w:t>
            </w:r>
          </w:p>
        </w:tc>
      </w:tr>
      <w:tr>
        <w:tc>
          <w:tcPr>
            <w:tcW w:type="dxa" w:w="8640"/>
          </w:tcPr>
          <w:p>
            <w:r>
              <w:t>142,034.00 69,597.00 211,631.00 0.00</w:t>
            </w:r>
          </w:p>
        </w:tc>
      </w:tr>
      <w:tr>
        <w:tc>
          <w:tcPr>
            <w:tcW w:type="dxa" w:w="8640"/>
          </w:tcPr>
          <w:p>
            <w:r>
              <w:t>435,482.21 1,346,919.42 1,782,401.63 0.00</w:t>
            </w:r>
          </w:p>
        </w:tc>
      </w:tr>
      <w:tr>
        <w:tc>
          <w:tcPr>
            <w:tcW w:type="dxa" w:w="8640"/>
          </w:tcPr>
          <w:p>
            <w:r>
              <w:t>420-35-3071 Energy Transition Community Grant Program Energy Transition Community Grant Program Energy Transition Community Grant Program Energy Transition Community Grant Program Energy Transition Community Grant Program Energy Transition Community Grant Program 272,769.00 0.00 272,769.00 0.00</w:t>
            </w:r>
          </w:p>
        </w:tc>
      </w:tr>
      <w:tr>
        <w:tc>
          <w:tcPr>
            <w:tcW w:type="dxa" w:w="8640"/>
          </w:tcPr>
          <w:p>
            <w:r>
              <w:t>601-00-1591 Nurse Educator Fellowship Program Nurse Educator Fellowship Program Nurse Educator Fellowship Program 10,000.00 0.00 10,000.00 0.00</w:t>
            </w:r>
          </w:p>
        </w:tc>
      </w:tr>
      <w:tr>
        <w:tc>
          <w:tcPr>
            <w:tcW w:type="dxa" w:w="8640"/>
          </w:tcPr>
          <w:p>
            <w:r>
              <w:t>684-00-0465 Postsecondary Perkins Basic Grants - Federal CTE Postsecondary Perkins Basic Grants - Federal CTE Postsecondary Perkins Basic Grants - Federal CTE Postsecondary Perkins Basic Grants - Federal CTE Postsecondary Perkins Basic Grants - Federal CTE Postsecondary Perkins Basic Grants - Federal CTE 0.00 347,414.53 347,414.53 0.00</w:t>
            </w:r>
          </w:p>
        </w:tc>
      </w:tr>
      <w:tr>
        <w:tc>
          <w:tcPr>
            <w:tcW w:type="dxa" w:w="8640"/>
          </w:tcPr>
          <w:p>
            <w:r>
              <w:t>586-13-0542 Truants' Alternative/Optional Ed Truants' Alternative/Optional Ed Truants' Alternative/Optional Ed 153,867.00 0.00 153,867.00 0.00</w:t>
            </w:r>
          </w:p>
        </w:tc>
      </w:tr>
      <w:tr>
        <w:tc>
          <w:tcPr>
            <w:tcW w:type="dxa" w:w="8640"/>
          </w:tcPr>
          <w:p>
            <w:r>
              <w:t>All other federal expenditures All other federal expenditures 8,348,530.05 8,348,530.05</w:t>
            </w:r>
          </w:p>
        </w:tc>
      </w:tr>
      <w:tr>
        <w:tc>
          <w:tcPr>
            <w:tcW w:type="dxa" w:w="8640"/>
          </w:tcPr>
          <w:p>
            <w:r>
              <w:t>TOTALS TOTALS TOTALS TOTALS 1,014,152.21 10,112,461.00 11,126,613.21 0.00</w:t>
            </w:r>
          </w:p>
        </w:tc>
      </w:tr>
      <w:tr>
        <w:tc>
          <w:tcPr>
            <w:tcW w:type="dxa" w:w="8640"/>
          </w:tcPr>
          <w:p>
            <w:r>
              <w:t>EXPENDITURES BY CATEGORY Amount</w:t>
            </w:r>
          </w:p>
        </w:tc>
      </w:tr>
      <w:tr>
        <w:tc>
          <w:tcPr>
            <w:tcW w:type="dxa" w:w="8640"/>
          </w:tcPr>
          <w:p>
            <w:r>
              <w:t>1,081,097.16 Personal Services (Salaries and Wages) Personal Services (Salaries and Wages) Personal Services (Salaries and Wages)</w:t>
            </w:r>
          </w:p>
        </w:tc>
      </w:tr>
      <w:tr>
        <w:tc>
          <w:tcPr>
            <w:tcW w:type="dxa" w:w="8640"/>
          </w:tcPr>
          <w:p>
            <w:r>
              <w:t>317,767.64 Fringe Benefits</w:t>
            </w:r>
          </w:p>
        </w:tc>
      </w:tr>
      <w:tr>
        <w:tc>
          <w:tcPr>
            <w:tcW w:type="dxa" w:w="8640"/>
          </w:tcPr>
          <w:p>
            <w:r>
              <w:t>20,903.88 Travel Travel Travel Travel Travel</w:t>
            </w:r>
          </w:p>
        </w:tc>
      </w:tr>
      <w:tr>
        <w:tc>
          <w:tcPr>
            <w:tcW w:type="dxa" w:w="8640"/>
          </w:tcPr>
          <w:p>
            <w:r>
              <w:t>23,486.36 Equipment</w:t>
            </w:r>
          </w:p>
        </w:tc>
      </w:tr>
      <w:tr>
        <w:tc>
          <w:tcPr>
            <w:tcW w:type="dxa" w:w="8640"/>
          </w:tcPr>
          <w:p>
            <w:r>
              <w:t>220,318.62 Supplies</w:t>
            </w:r>
          </w:p>
        </w:tc>
      </w:tr>
      <w:tr>
        <w:tc>
          <w:tcPr>
            <w:tcW w:type="dxa" w:w="8640"/>
          </w:tcPr>
          <w:p>
            <w:r>
              <w:t>20,173.36 Contractual Services Contractual Services</w:t>
            </w:r>
          </w:p>
        </w:tc>
      </w:tr>
      <w:tr>
        <w:tc>
          <w:tcPr>
            <w:tcW w:type="dxa" w:w="8640"/>
          </w:tcPr>
          <w:p>
            <w:r>
              <w:t>10,000.00 Consultant (Professional Services)</w:t>
            </w:r>
          </w:p>
        </w:tc>
      </w:tr>
      <w:tr>
        <w:tc>
          <w:tcPr>
            <w:tcW w:type="dxa" w:w="8640"/>
          </w:tcPr>
          <w:p>
            <w:r>
              <w:t>103,200.00 Occupancy - Rent and Utilities Occupancy - Rent and Utilities</w:t>
            </w:r>
          </w:p>
        </w:tc>
      </w:tr>
      <w:tr>
        <w:tc>
          <w:tcPr>
            <w:tcW w:type="dxa" w:w="8640"/>
          </w:tcPr>
          <w:p>
            <w:r>
              <w:t>742.36 Telecommunications Telecommunications</w:t>
            </w:r>
          </w:p>
        </w:tc>
      </w:tr>
      <w:tr>
        <w:tc>
          <w:tcPr>
            <w:tcW w:type="dxa" w:w="8640"/>
          </w:tcPr>
          <w:p>
            <w:r>
              <w:t>1,734.00 Training and Education Training and Education Training and Education</w:t>
            </w:r>
          </w:p>
        </w:tc>
      </w:tr>
      <w:tr>
        <w:tc>
          <w:tcPr>
            <w:tcW w:type="dxa" w:w="8640"/>
          </w:tcPr>
          <w:p>
            <w:r>
              <w:t>140,921.30 Miscellaneous Costs</w:t>
            </w:r>
          </w:p>
        </w:tc>
      </w:tr>
      <w:tr>
        <w:tc>
          <w:tcPr>
            <w:tcW w:type="dxa" w:w="8640"/>
          </w:tcPr>
          <w:p>
            <w:r>
              <w:t>411,102.48 Indirect Costs</w:t>
            </w:r>
          </w:p>
        </w:tc>
      </w:tr>
      <w:tr>
        <w:tc>
          <w:tcPr>
            <w:tcW w:type="dxa" w:w="8640"/>
          </w:tcPr>
          <w:p>
            <w:r>
              <w:t>153,867.00 Expenditure-Grant Projects during the Audit Period Expenditure-Grant Projects during the Audit Period Expenditure-Grant Projects during the Audit Period Expenditure-Grant Projects during the Audit Period</w:t>
            </w:r>
          </w:p>
        </w:tc>
      </w:tr>
      <w:tr>
        <w:tc>
          <w:tcPr>
            <w:tcW w:type="dxa" w:w="8640"/>
          </w:tcPr>
          <w:p>
            <w:r>
              <w:t>272,769.00 Expenditures for all budget lines for DCEO grants Expenditures for all budget lines for DCEO grants</w:t>
            </w:r>
          </w:p>
        </w:tc>
      </w:tr>
      <w:tr>
        <w:tc>
          <w:tcPr>
            <w:tcW w:type="dxa" w:w="8640"/>
          </w:tcPr>
          <w:p>
            <w:r>
              <w:t>2,778,083.16 TOTAL TOTAL TOTAL TOTAL</w:t>
            </w:r>
          </w:p>
        </w:tc>
      </w:tr>
    </w:tbl>
    <w:p/>
    <w:p>
      <w:r>
        <w:t>EXPENDITURES BY PROGRAM CSFA # Program Name State Federal Total Match</w:t>
      </w:r>
    </w:p>
    <w:p>
      <w:r>
        <w:t>684-01-1625 Adult Education and Literacy Basic Grants - Federal and State Adult Education and Literacy Basic Grants - Federal and State Adult Education and Literacy Basic Grants - Federal and State</w:t>
      </w:r>
    </w:p>
    <w:p>
      <w:r>
        <w:t>Adult Education and Literacy Basic Grants - Federal and State Adult Education and Literacy Basic Grants - Federal and State Adult Education and Literacy Basic Grants - Federal and State</w:t>
      </w:r>
    </w:p>
    <w:p>
      <w:r>
        <w:t>444-84-2884 Child Care Resource and Referral Program - Child Care Assistance Program Child Care Resource and Referral Program - Child Care Assistance Program Child Care Resource and Referral Program - Child Care Assistance Program Child Care Resource and Referral Program - Child Care Assistance Program Child Care Resource and Referral Program - Child Care Assistance Program</w:t>
      </w:r>
    </w:p>
    <w:p>
      <w:r>
        <w:t>Child Care Resource and Referral Program - Child Care Assistance Program Child Care Resource and Referral Program - Child Care Assistance Program</w:t>
      </w:r>
    </w:p>
    <w:p>
      <w:r>
        <w:t>EXPENDITURES BY CATEGORY Amount Category</w:t>
      </w:r>
    </w:p>
    <w:p>
      <w:r>
        <w:t>82a</w:t>
      </w:r>
    </w:p>
    <w:p>
      <w:r>
        <w:t>Illinois Grant Accountability and Transparency Consolidated Year-End Financial Report Page 2 of 7 01/06/26</w:t>
      </w:r>
    </w:p>
    <w:p>
      <w:r>
        <w:t>State Agency Illinois Community College Board Illinois Community College Board</w:t>
      </w:r>
    </w:p>
    <w:tbl>
      <w:tblPr>
        <w:tblStyle w:val="TableGrid"/>
        <w:tblW w:type="auto" w:w="0"/>
        <w:tblLook w:firstColumn="1" w:firstRow="1" w:lastColumn="0" w:lastRow="0" w:noHBand="0" w:noVBand="1" w:val="04A0"/>
      </w:tblPr>
      <w:tblGrid>
        <w:gridCol w:w="8640"/>
      </w:tblGrid>
      <w:tr>
        <w:tc>
          <w:tcPr>
            <w:tcW w:type="dxa" w:w="8640"/>
          </w:tcPr>
          <w:p>
            <w:r>
              <w:rPr>
                <w:b/>
              </w:rPr>
              <w:t>CSFA Number 684-01-1625</w:t>
            </w:r>
          </w:p>
        </w:tc>
      </w:tr>
    </w:tbl>
    <w:p/>
    <w:p>
      <w:r>
        <w:t>Program Name Adult Education and Literacy Basic Grants - Federal and State Adult Education and Literacy Basic Grants - Federal and State Adult Education and Literacy Basic Grants - Federal and State Adult Education and Literacy Basic Grants - Federal and State Adult Education and Literacy Basic Grants - Federal and State</w:t>
      </w:r>
    </w:p>
    <w:p>
      <w:r>
        <w:t>Popular Name Adult Education Grant Adult Education Grant</w:t>
      </w:r>
    </w:p>
    <w:tbl>
      <w:tblPr>
        <w:tblStyle w:val="TableGrid"/>
        <w:tblW w:type="auto" w:w="0"/>
        <w:tblLook w:firstColumn="1" w:firstRow="1" w:lastColumn="0" w:lastRow="0" w:noHBand="0" w:noVBand="1" w:val="04A0"/>
      </w:tblPr>
      <w:tblGrid>
        <w:gridCol w:w="8640"/>
      </w:tblGrid>
      <w:tr>
        <w:tc>
          <w:tcPr>
            <w:tcW w:type="dxa" w:w="8640"/>
          </w:tcPr>
          <w:p>
            <w:r>
              <w:rPr>
                <w:b/>
              </w:rPr>
              <w:t>Program Contact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 Name:Kathy Olesen-Tracey Phone:2175572740 Email:kathy.olesen-tracey@illinois.gov</w:t>
            </w:r>
          </w:p>
        </w:tc>
      </w:tr>
      <w:tr>
        <w:tc>
          <w:tcPr>
            <w:tcW w:type="dxa" w:w="8640"/>
          </w:tcPr>
          <w:p>
            <w:r>
              <w:t>State Amount Expended 142034.00</w:t>
            </w:r>
          </w:p>
        </w:tc>
      </w:tr>
      <w:tr>
        <w:tc>
          <w:tcPr>
            <w:tcW w:type="dxa" w:w="8640"/>
          </w:tcPr>
          <w:p>
            <w:r>
              <w:t>Federal Amount Expended 69597.00</w:t>
            </w:r>
          </w:p>
        </w:tc>
      </w:tr>
      <w:tr>
        <w:tc>
          <w:tcPr>
            <w:tcW w:type="dxa" w:w="8640"/>
          </w:tcPr>
          <w:p>
            <w:r>
              <w:t>Expenditures by Category</w:t>
            </w:r>
          </w:p>
        </w:tc>
      </w:tr>
      <w:tr>
        <w:tc>
          <w:tcPr>
            <w:tcW w:type="dxa" w:w="8640"/>
          </w:tcPr>
          <w:p>
            <w:r>
              <w:t>163,910.76 Personal Services (Salaries and Wages) Personal Services (Salaries and Wages) Personal Services (Salaries and Wages)</w:t>
            </w:r>
          </w:p>
        </w:tc>
      </w:tr>
      <w:tr>
        <w:tc>
          <w:tcPr>
            <w:tcW w:type="dxa" w:w="8640"/>
          </w:tcPr>
          <w:p>
            <w:r>
              <w:t>24,396.15 Fringe Benefits</w:t>
            </w:r>
          </w:p>
        </w:tc>
      </w:tr>
      <w:tr>
        <w:tc>
          <w:tcPr>
            <w:tcW w:type="dxa" w:w="8640"/>
          </w:tcPr>
          <w:p>
            <w:r>
              <w:t>1,519.46 Travel Travel Travel Travel Travel</w:t>
            </w:r>
          </w:p>
        </w:tc>
      </w:tr>
      <w:tr>
        <w:tc>
          <w:tcPr>
            <w:tcW w:type="dxa" w:w="8640"/>
          </w:tcPr>
          <w:p>
            <w:r>
              <w:t>14,680.54 Supplies</w:t>
            </w:r>
          </w:p>
        </w:tc>
      </w:tr>
      <w:tr>
        <w:tc>
          <w:tcPr>
            <w:tcW w:type="dxa" w:w="8640"/>
          </w:tcPr>
          <w:p>
            <w:r>
              <w:t>2,400.00 Occupancy - Rent and Utilities Occupancy - Rent and Utilities</w:t>
            </w:r>
          </w:p>
        </w:tc>
      </w:tr>
      <w:tr>
        <w:tc>
          <w:tcPr>
            <w:tcW w:type="dxa" w:w="8640"/>
          </w:tcPr>
          <w:p>
            <w:r>
              <w:t>742.36 Telecommunications Telecommunications</w:t>
            </w:r>
          </w:p>
        </w:tc>
      </w:tr>
      <w:tr>
        <w:tc>
          <w:tcPr>
            <w:tcW w:type="dxa" w:w="8640"/>
          </w:tcPr>
          <w:p>
            <w:r>
              <w:t>1,529.00 Training and Education Training and Education Training and Education</w:t>
            </w:r>
          </w:p>
        </w:tc>
      </w:tr>
      <w:tr>
        <w:tc>
          <w:tcPr>
            <w:tcW w:type="dxa" w:w="8640"/>
          </w:tcPr>
          <w:p>
            <w:r>
              <w:t>2,452.73 Miscellaneous Costs</w:t>
            </w:r>
          </w:p>
        </w:tc>
      </w:tr>
      <w:tr>
        <w:tc>
          <w:tcPr>
            <w:tcW w:type="dxa" w:w="8640"/>
          </w:tcPr>
          <w:p>
            <w:r>
              <w:t>211,631.00 TOTAL TOTAL TOTAL TOTAL</w:t>
            </w:r>
          </w:p>
        </w:tc>
      </w:tr>
    </w:tbl>
    <w:p/>
    <w:p>
      <w:r>
        <w:t>82b</w:t>
      </w:r>
    </w:p>
    <w:p>
      <w:r>
        <w:t>Illinois Grant Accountability and Transparency Consolidated Year-End Financial Report Page 3 of 7 01/06/26</w:t>
      </w:r>
    </w:p>
    <w:p>
      <w:r>
        <w:t>State Agency Department Of Human Services</w:t>
      </w:r>
    </w:p>
    <w:tbl>
      <w:tblPr>
        <w:tblStyle w:val="TableGrid"/>
        <w:tblW w:type="auto" w:w="0"/>
        <w:tblLook w:firstColumn="1" w:firstRow="1" w:lastColumn="0" w:lastRow="0" w:noHBand="0" w:noVBand="1" w:val="04A0"/>
      </w:tblPr>
      <w:tblGrid>
        <w:gridCol w:w="8640"/>
      </w:tblGrid>
      <w:tr>
        <w:tc>
          <w:tcPr>
            <w:tcW w:type="dxa" w:w="8640"/>
          </w:tcPr>
          <w:p>
            <w:r>
              <w:rPr>
                <w:b/>
              </w:rPr>
              <w:t>CSFA Number 444-84-2884</w:t>
            </w:r>
          </w:p>
        </w:tc>
      </w:tr>
    </w:tbl>
    <w:p/>
    <w:p>
      <w:r>
        <w:t>Program Name Child Care Resource and Referral Program - Child Care Assistance Program Child Care Resource and Referral Program - Child Care Assistance Program Child Care Resource and Referral Program - Child Care Assistance Program Child Care Resource and Referral Program - Child Care Assistance Program Child Care Resource and Referral Program - Child Care Assistance Program Child Care Resource and Referral Program - Child Care Assistance Program</w:t>
      </w:r>
    </w:p>
    <w:p>
      <w:r>
        <w:t>Popular Name Child Care Resource and Referral Program Child Care Resource and Referral Program Child Care Resource and Referral Program Child Care Resource and Referral Program Child Care Resource and Referral Program</w:t>
      </w:r>
    </w:p>
    <w:tbl>
      <w:tblPr>
        <w:tblStyle w:val="TableGrid"/>
        <w:tblW w:type="auto" w:w="0"/>
        <w:tblLook w:firstColumn="1" w:firstRow="1" w:lastColumn="0" w:lastRow="0" w:noHBand="0" w:noVBand="1" w:val="04A0"/>
      </w:tblPr>
      <w:tblGrid>
        <w:gridCol w:w="8640"/>
      </w:tblGrid>
      <w:tr>
        <w:tc>
          <w:tcPr>
            <w:tcW w:type="dxa" w:w="8640"/>
          </w:tcPr>
          <w:p>
            <w:r>
              <w:rPr>
                <w:b/>
              </w:rPr>
              <w:t>Program Contact Name:Hollie Hoole Phone:217/785-2559 Email:Hollie.Hoole@illinois.gov Name:Hollie Hoole Phone:217/785-2559 Email:Hollie.Hoole@illinois.gov Name:Hollie Hoole Phone:217/785-2559 Email:Hollie.Hoole@illinois.gov Name:Hollie Hoole Phone:217/785-2559 Email:Hollie.Hoole@illinois.gov Name:Hollie Hoole Phone:217/785-2559 Email:Hollie.Hoole@illinois.gov Name:Hollie Hoole Phone:217/785-2559 Email:Hollie.Hoole@illinois.gov Name:Hollie Hoole Phone:217/785-2559 Email:Hollie.Hoole@illinois.gov</w:t>
            </w:r>
          </w:p>
        </w:tc>
      </w:tr>
      <w:tr>
        <w:tc>
          <w:tcPr>
            <w:tcW w:type="dxa" w:w="8640"/>
          </w:tcPr>
          <w:p>
            <w:r>
              <w:t>State Amount Expended 435482.21</w:t>
            </w:r>
          </w:p>
        </w:tc>
      </w:tr>
      <w:tr>
        <w:tc>
          <w:tcPr>
            <w:tcW w:type="dxa" w:w="8640"/>
          </w:tcPr>
          <w:p>
            <w:r>
              <w:t>Federal Amount Expended 1346919.42</w:t>
            </w:r>
          </w:p>
        </w:tc>
      </w:tr>
      <w:tr>
        <w:tc>
          <w:tcPr>
            <w:tcW w:type="dxa" w:w="8640"/>
          </w:tcPr>
          <w:p>
            <w:r>
              <w:t>Expenditures by Category</w:t>
            </w:r>
          </w:p>
        </w:tc>
      </w:tr>
      <w:tr>
        <w:tc>
          <w:tcPr>
            <w:tcW w:type="dxa" w:w="8640"/>
          </w:tcPr>
          <w:p>
            <w:r>
              <w:t>838,324.38 Personal Services (Salaries and Wages) Personal Services (Salaries and Wages) Personal Services (Salaries and Wages)</w:t>
            </w:r>
          </w:p>
        </w:tc>
      </w:tr>
      <w:tr>
        <w:tc>
          <w:tcPr>
            <w:tcW w:type="dxa" w:w="8640"/>
          </w:tcPr>
          <w:p>
            <w:r>
              <w:t>281,674.11 Fringe Benefits</w:t>
            </w:r>
          </w:p>
        </w:tc>
      </w:tr>
      <w:tr>
        <w:tc>
          <w:tcPr>
            <w:tcW w:type="dxa" w:w="8640"/>
          </w:tcPr>
          <w:p>
            <w:r>
              <w:t>1,626.73 Travel Travel Travel Travel Travel</w:t>
            </w:r>
          </w:p>
        </w:tc>
      </w:tr>
      <w:tr>
        <w:tc>
          <w:tcPr>
            <w:tcW w:type="dxa" w:w="8640"/>
          </w:tcPr>
          <w:p>
            <w:r>
              <w:t>5,053.34 Supplies</w:t>
            </w:r>
          </w:p>
        </w:tc>
      </w:tr>
      <w:tr>
        <w:tc>
          <w:tcPr>
            <w:tcW w:type="dxa" w:w="8640"/>
          </w:tcPr>
          <w:p>
            <w:r>
              <w:t>11,775.00 Contractual Services Contractual Services</w:t>
            </w:r>
          </w:p>
        </w:tc>
      </w:tr>
      <w:tr>
        <w:tc>
          <w:tcPr>
            <w:tcW w:type="dxa" w:w="8640"/>
          </w:tcPr>
          <w:p>
            <w:r>
              <w:t>10,000.00 Consultant (Professional Services)</w:t>
            </w:r>
          </w:p>
        </w:tc>
      </w:tr>
      <w:tr>
        <w:tc>
          <w:tcPr>
            <w:tcW w:type="dxa" w:w="8640"/>
          </w:tcPr>
          <w:p>
            <w:r>
              <w:t>100,800.00 Occupancy - Rent and Utilities Occupancy - Rent and Utilities</w:t>
            </w:r>
          </w:p>
        </w:tc>
      </w:tr>
      <w:tr>
        <w:tc>
          <w:tcPr>
            <w:tcW w:type="dxa" w:w="8640"/>
          </w:tcPr>
          <w:p>
            <w:r>
              <w:t>138,468.57 Miscellaneous Costs</w:t>
            </w:r>
          </w:p>
        </w:tc>
      </w:tr>
      <w:tr>
        <w:tc>
          <w:tcPr>
            <w:tcW w:type="dxa" w:w="8640"/>
          </w:tcPr>
          <w:p>
            <w:r>
              <w:t>394,679.50 Indirect Costs</w:t>
            </w:r>
          </w:p>
        </w:tc>
      </w:tr>
      <w:tr>
        <w:tc>
          <w:tcPr>
            <w:tcW w:type="dxa" w:w="8640"/>
          </w:tcPr>
          <w:p>
            <w:r>
              <w:t>1,782,401.63 TOTAL TOTAL TOTAL TOTAL</w:t>
            </w:r>
          </w:p>
        </w:tc>
      </w:tr>
    </w:tbl>
    <w:p/>
    <w:p>
      <w:r>
        <w:t>82c</w:t>
      </w:r>
    </w:p>
    <w:p>
      <w:r>
        <w:t>Illinois Grant Accountability and Transparency Consolidated Year-End Financial Report Page 4 of 7 01/06/26</w:t>
      </w:r>
    </w:p>
    <w:p>
      <w:r>
        <w:t>State Agency Department Of Commerce And Economic Opportunity Department Of Commerce And Economic Opportunity</w:t>
      </w:r>
    </w:p>
    <w:tbl>
      <w:tblPr>
        <w:tblStyle w:val="TableGrid"/>
        <w:tblW w:type="auto" w:w="0"/>
        <w:tblLook w:firstColumn="1" w:firstRow="1" w:lastColumn="0" w:lastRow="0" w:noHBand="0" w:noVBand="1" w:val="04A0"/>
      </w:tblPr>
      <w:tblGrid>
        <w:gridCol w:w="8640"/>
      </w:tblGrid>
      <w:tr>
        <w:tc>
          <w:tcPr>
            <w:tcW w:type="dxa" w:w="8640"/>
          </w:tcPr>
          <w:p>
            <w:r>
              <w:rPr>
                <w:b/>
              </w:rPr>
              <w:t>CSFA Number 420-35-3071</w:t>
            </w:r>
          </w:p>
        </w:tc>
      </w:tr>
      <w:tr>
        <w:tc>
          <w:tcPr>
            <w:tcW w:type="dxa" w:w="8640"/>
          </w:tcPr>
          <w:p>
            <w:r>
              <w:t>Program Contact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 Name:Matthew Swaine Phone:217-720- 5910 Email:CEO.CEJACommTransition@illinois.gov</w:t>
            </w:r>
          </w:p>
        </w:tc>
      </w:tr>
      <w:tr>
        <w:tc>
          <w:tcPr>
            <w:tcW w:type="dxa" w:w="8640"/>
          </w:tcPr>
          <w:p>
            <w:r>
              <w:t>State Amount Expended 272769.00</w:t>
            </w:r>
          </w:p>
        </w:tc>
      </w:tr>
      <w:tr>
        <w:tc>
          <w:tcPr>
            <w:tcW w:type="dxa" w:w="8640"/>
          </w:tcPr>
          <w:p>
            <w:r>
              <w:t>Federal Amount Expended 0.00</w:t>
            </w:r>
          </w:p>
        </w:tc>
      </w:tr>
      <w:tr>
        <w:tc>
          <w:tcPr>
            <w:tcW w:type="dxa" w:w="8640"/>
          </w:tcPr>
          <w:p>
            <w:r>
              <w:t>Expenditures by Category</w:t>
            </w:r>
          </w:p>
        </w:tc>
      </w:tr>
      <w:tr>
        <w:tc>
          <w:tcPr>
            <w:tcW w:type="dxa" w:w="8640"/>
          </w:tcPr>
          <w:p>
            <w:r>
              <w:t>272,769.00 Expenditures for all budget lines for DCEO grants Expenditures for all budget lines for DCEO grants</w:t>
            </w:r>
          </w:p>
        </w:tc>
      </w:tr>
      <w:tr>
        <w:tc>
          <w:tcPr>
            <w:tcW w:type="dxa" w:w="8640"/>
          </w:tcPr>
          <w:p>
            <w:r>
              <w:t>272,769.00 TOTAL TOTAL TOTAL TOTAL</w:t>
            </w:r>
          </w:p>
        </w:tc>
      </w:tr>
    </w:tbl>
    <w:p/>
    <w:p>
      <w:r>
        <w:t>Program Name Energy Transition Community Grant Program Energy Transition Community Grant Program Energy Transition Community Grant Program Energy Transition Community Grant Program Energy Transition Community Grant Program Energy Transition Community Grant Program</w:t>
      </w:r>
    </w:p>
    <w:p>
      <w:r>
        <w:t>Popular Name Energy Transition Community Grant Program Energy Transition Community Grant Program Energy Transition Community Grant Program Energy Transition Community Grant Program Energy Transition Community Grant Program Energy Transition Community Grant Program</w:t>
      </w:r>
    </w:p>
    <w:p>
      <w:r>
        <w:t>82d</w:t>
      </w:r>
    </w:p>
    <w:p>
      <w:r>
        <w:t>Illinois Grant Accountability and Transparency Consolidated Year-End Financial Report Page 5 of 7 01/06/26</w:t>
      </w:r>
    </w:p>
    <w:p>
      <w:r>
        <w:t>State Agency Board Of Higher Education</w:t>
      </w:r>
    </w:p>
    <w:tbl>
      <w:tblPr>
        <w:tblStyle w:val="TableGrid"/>
        <w:tblW w:type="auto" w:w="0"/>
        <w:tblLook w:firstColumn="1" w:firstRow="1" w:lastColumn="0" w:lastRow="0" w:noHBand="0" w:noVBand="1" w:val="04A0"/>
      </w:tblPr>
      <w:tblGrid>
        <w:gridCol w:w="8640"/>
      </w:tblGrid>
      <w:tr>
        <w:tc>
          <w:tcPr>
            <w:tcW w:type="dxa" w:w="8640"/>
          </w:tcPr>
          <w:p>
            <w:r>
              <w:rPr>
                <w:b/>
              </w:rPr>
              <w:t>CSFA Number 601-00-1591</w:t>
            </w:r>
          </w:p>
        </w:tc>
      </w:tr>
    </w:tbl>
    <w:p/>
    <w:p>
      <w:r>
        <w:t>Program Name Nurse Educator Fellowship Program Nurse Educator Fellowship Program Nurse Educator Fellowship Program</w:t>
      </w:r>
    </w:p>
    <w:p>
      <w:r>
        <w:t>Popular Name Nurse Educator Fellowship Program Nurse Educator Fellowship Program Nurse Educator Fellowship Program</w:t>
      </w:r>
    </w:p>
    <w:tbl>
      <w:tblPr>
        <w:tblStyle w:val="TableGrid"/>
        <w:tblW w:type="auto" w:w="0"/>
        <w:tblLook w:firstColumn="1" w:firstRow="1" w:lastColumn="0" w:lastRow="0" w:noHBand="0" w:noVBand="1" w:val="04A0"/>
      </w:tblPr>
      <w:tblGrid>
        <w:gridCol w:w="8640"/>
      </w:tblGrid>
      <w:tr>
        <w:tc>
          <w:tcPr>
            <w:tcW w:type="dxa" w:w="8640"/>
          </w:tcPr>
          <w:p>
            <w:r>
              <w:rPr>
                <w:b/>
              </w:rPr>
              <w:t>Program Contact Name:Brook Stewart Phone:217-866-1473 Email:stewart@ibhe.org Name:Brook Stewart Phone:217-866-1473 Email:stewart@ibhe.org Name:Brook Stewart Phone:217-866-1473 Email:stewart@ibhe.org Name:Brook Stewart Phone:217-866-1473 Email:stewart@ibhe.org Name:Brook Stewart Phone:217-866-1473 Email:stewart@ibhe.org Name:Brook Stewart Phone:217-866-1473 Email:stewart@ibhe.org Name:Brook Stewart Phone:217-866-1473 Email:stewart@ibhe.org Name:Brook Stewart Phone:217-866-1473 Email:stewart@ibhe.org</w:t>
            </w:r>
          </w:p>
        </w:tc>
      </w:tr>
      <w:tr>
        <w:tc>
          <w:tcPr>
            <w:tcW w:type="dxa" w:w="8640"/>
          </w:tcPr>
          <w:p>
            <w:r>
              <w:t>State Amount Expended 10000.00</w:t>
            </w:r>
          </w:p>
        </w:tc>
      </w:tr>
      <w:tr>
        <w:tc>
          <w:tcPr>
            <w:tcW w:type="dxa" w:w="8640"/>
          </w:tcPr>
          <w:p>
            <w:r>
              <w:t>Federal Amount Expended 0.00</w:t>
            </w:r>
          </w:p>
        </w:tc>
      </w:tr>
      <w:tr>
        <w:tc>
          <w:tcPr>
            <w:tcW w:type="dxa" w:w="8640"/>
          </w:tcPr>
          <w:p>
            <w:r>
              <w:t>Expenditures by Category</w:t>
            </w:r>
          </w:p>
        </w:tc>
      </w:tr>
      <w:tr>
        <w:tc>
          <w:tcPr>
            <w:tcW w:type="dxa" w:w="8640"/>
          </w:tcPr>
          <w:p>
            <w:r>
              <w:t>8,729.01 Personal Services (Salaries and Wages) Personal Services (Salaries and Wages) Personal Services (Salaries and Wages)</w:t>
            </w:r>
          </w:p>
        </w:tc>
      </w:tr>
      <w:tr>
        <w:tc>
          <w:tcPr>
            <w:tcW w:type="dxa" w:w="8640"/>
          </w:tcPr>
          <w:p>
            <w:r>
              <w:t>1,270.99 Fringe Benefits</w:t>
            </w:r>
          </w:p>
        </w:tc>
      </w:tr>
      <w:tr>
        <w:tc>
          <w:tcPr>
            <w:tcW w:type="dxa" w:w="8640"/>
          </w:tcPr>
          <w:p>
            <w:r>
              <w:t>10,000.00 TOTAL TOTAL TOTAL TOTAL</w:t>
            </w:r>
          </w:p>
        </w:tc>
      </w:tr>
    </w:tbl>
    <w:p/>
    <w:p>
      <w:r>
        <w:t>82e</w:t>
      </w:r>
    </w:p>
    <w:p>
      <w:r>
        <w:t>Illinois Grant Accountability and Transparency Consolidated Year-End Financial Report Page 6 of 7 01/06/26</w:t>
      </w:r>
    </w:p>
    <w:p>
      <w:r>
        <w:t>State Agency Illinois Community College Board Illinois Community College Board</w:t>
      </w:r>
    </w:p>
    <w:tbl>
      <w:tblPr>
        <w:tblStyle w:val="TableGrid"/>
        <w:tblW w:type="auto" w:w="0"/>
        <w:tblLook w:firstColumn="1" w:firstRow="1" w:lastColumn="0" w:lastRow="0" w:noHBand="0" w:noVBand="1" w:val="04A0"/>
      </w:tblPr>
      <w:tblGrid>
        <w:gridCol w:w="8640"/>
      </w:tblGrid>
      <w:tr>
        <w:tc>
          <w:tcPr>
            <w:tcW w:type="dxa" w:w="8640"/>
          </w:tcPr>
          <w:p>
            <w:r>
              <w:rPr>
                <w:b/>
              </w:rPr>
              <w:t>CSFA Number 684-00-0465</w:t>
            </w:r>
          </w:p>
        </w:tc>
      </w:tr>
      <w:tr>
        <w:tc>
          <w:tcPr>
            <w:tcW w:type="dxa" w:w="8640"/>
          </w:tcPr>
          <w:p>
            <w:r>
              <w:t>Popular Name Perkins Grant Perkins Grant Perkins Grant</w:t>
            </w:r>
          </w:p>
        </w:tc>
      </w:tr>
      <w:tr>
        <w:tc>
          <w:tcPr>
            <w:tcW w:type="dxa" w:w="8640"/>
          </w:tcPr>
          <w:p>
            <w:r>
              <w:t>Program Contact Name:Janelle Washington Phone:217-785-0068 Email:janelle.washington@illinois.gov Name:Janelle Washington Phone:217-785-0068 Email:janelle.washington@illinois.gov Name:Janelle Washington Phone:217-785-0068 Email:janelle.washington@illinois.gov Name:Janelle Washington Phone:217-785-0068 Email:janelle.washington@illinois.gov Name:Janelle Washington Phone:217-785-0068 Email:janelle.washington@illinois.gov Name:Janelle Washington Phone:217-785-0068 Email:janelle.washington@illinois.gov Name:Janelle Washington Phone:217-785-0068 Email:janelle.washington@illinois.gov Name:Janelle Washington Phone:217-785-0068 Email:janelle.washington@illinois.gov Name:Janelle Washington Phone:217-785-0068 Email:janelle.washington@illinois.gov</w:t>
            </w:r>
          </w:p>
        </w:tc>
      </w:tr>
      <w:tr>
        <w:tc>
          <w:tcPr>
            <w:tcW w:type="dxa" w:w="8640"/>
          </w:tcPr>
          <w:p>
            <w:r>
              <w:t>State Amount Expended 0.00</w:t>
            </w:r>
          </w:p>
        </w:tc>
      </w:tr>
      <w:tr>
        <w:tc>
          <w:tcPr>
            <w:tcW w:type="dxa" w:w="8640"/>
          </w:tcPr>
          <w:p>
            <w:r>
              <w:t>Federal Amount Expended 347414.53</w:t>
            </w:r>
          </w:p>
        </w:tc>
      </w:tr>
      <w:tr>
        <w:tc>
          <w:tcPr>
            <w:tcW w:type="dxa" w:w="8640"/>
          </w:tcPr>
          <w:p>
            <w:r>
              <w:t>Expenditures by Category</w:t>
            </w:r>
          </w:p>
        </w:tc>
      </w:tr>
      <w:tr>
        <w:tc>
          <w:tcPr>
            <w:tcW w:type="dxa" w:w="8640"/>
          </w:tcPr>
          <w:p>
            <w:r>
              <w:t>70,133.01 Personal Services (Salaries and Wages) Personal Services (Salaries and Wages) Personal Services (Salaries and Wages)</w:t>
            </w:r>
          </w:p>
        </w:tc>
      </w:tr>
      <w:tr>
        <w:tc>
          <w:tcPr>
            <w:tcW w:type="dxa" w:w="8640"/>
          </w:tcPr>
          <w:p>
            <w:r>
              <w:t>10,426.39 Fringe Benefits</w:t>
            </w:r>
          </w:p>
        </w:tc>
      </w:tr>
      <w:tr>
        <w:tc>
          <w:tcPr>
            <w:tcW w:type="dxa" w:w="8640"/>
          </w:tcPr>
          <w:p>
            <w:r>
              <w:t>17,757.69 Travel Travel Travel Travel Travel</w:t>
            </w:r>
          </w:p>
        </w:tc>
      </w:tr>
      <w:tr>
        <w:tc>
          <w:tcPr>
            <w:tcW w:type="dxa" w:w="8640"/>
          </w:tcPr>
          <w:p>
            <w:r>
              <w:t>23,486.36 Equipment</w:t>
            </w:r>
          </w:p>
        </w:tc>
      </w:tr>
      <w:tr>
        <w:tc>
          <w:tcPr>
            <w:tcW w:type="dxa" w:w="8640"/>
          </w:tcPr>
          <w:p>
            <w:r>
              <w:t>200,584.74 Supplies</w:t>
            </w:r>
          </w:p>
        </w:tc>
      </w:tr>
      <w:tr>
        <w:tc>
          <w:tcPr>
            <w:tcW w:type="dxa" w:w="8640"/>
          </w:tcPr>
          <w:p>
            <w:r>
              <w:t>8,398.36 Contractual Services Contractual Services</w:t>
            </w:r>
          </w:p>
        </w:tc>
      </w:tr>
      <w:tr>
        <w:tc>
          <w:tcPr>
            <w:tcW w:type="dxa" w:w="8640"/>
          </w:tcPr>
          <w:p>
            <w:r>
              <w:t>205.00 Training and Education Training and Education Training and Education</w:t>
            </w:r>
          </w:p>
        </w:tc>
      </w:tr>
      <w:tr>
        <w:tc>
          <w:tcPr>
            <w:tcW w:type="dxa" w:w="8640"/>
          </w:tcPr>
          <w:p>
            <w:r>
              <w:t>16,422.98 Indirect Costs</w:t>
            </w:r>
          </w:p>
        </w:tc>
      </w:tr>
      <w:tr>
        <w:tc>
          <w:tcPr>
            <w:tcW w:type="dxa" w:w="8640"/>
          </w:tcPr>
          <w:p>
            <w:r>
              <w:t>347,414.53 TOTAL TOTAL TOTAL TOTAL</w:t>
            </w:r>
          </w:p>
        </w:tc>
      </w:tr>
    </w:tbl>
    <w:p/>
    <w:p>
      <w:r>
        <w:t>Program Name Postsecondary Perkins Basic Grants - Federal CTE Postsecondary Perkins Basic Grants - Federal CTE Postsecondary Perkins Basic Grants - Federal CTE Postsecondary Perkins Basic Grants - Federal CTE Postsecondary Perkins Basic Grants - Federal CTE Postsecondary Perkins Basic Grants - Federal CTE</w:t>
      </w:r>
    </w:p>
    <w:p>
      <w:r>
        <w:t>82f</w:t>
      </w:r>
    </w:p>
    <w:p>
      <w:r>
        <w:t>Illinois Grant Accountability and Transparency Consolidated Year-End Financial Report Page 7 of 7 01/06/26</w:t>
      </w:r>
    </w:p>
    <w:p>
      <w:r>
        <w:t>State Agency State Board Of Education</w:t>
      </w:r>
    </w:p>
    <w:tbl>
      <w:tblPr>
        <w:tblStyle w:val="TableGrid"/>
        <w:tblW w:type="auto" w:w="0"/>
        <w:tblLook w:firstColumn="1" w:firstRow="1" w:lastColumn="0" w:lastRow="0" w:noHBand="0" w:noVBand="1" w:val="04A0"/>
      </w:tblPr>
      <w:tblGrid>
        <w:gridCol w:w="8640"/>
      </w:tblGrid>
      <w:tr>
        <w:tc>
          <w:tcPr>
            <w:tcW w:type="dxa" w:w="8640"/>
          </w:tcPr>
          <w:p>
            <w:r>
              <w:rPr>
                <w:b/>
              </w:rPr>
              <w:t>CSFA Number 586-13-0542</w:t>
            </w:r>
          </w:p>
        </w:tc>
      </w:tr>
    </w:tbl>
    <w:p/>
    <w:p>
      <w:r>
        <w:t>Program Name Truants' Alternative/Optional Ed This program was added by the grantee Truants' Alternative/Optional Ed This program was added by the grantee Truants' Alternative/Optional Ed This program was added by the grantee Truants' Alternative/Optional Ed This program was added by the grantee</w:t>
      </w:r>
    </w:p>
    <w:p>
      <w:r>
        <w:t>Popular Name Truants' Alternative and Optional Education Program (TAOEP); Truants' Alternative/Optional Ed Truants' Alternative and Optional Education Program (TAOEP); Truants' Alternative/Optional Ed Truants' Alternative and Optional Education Program (TAOEP); Truants' Alternative/Optional Ed Truants' Alternative and Optional Education Program (TAOEP); Truants' Alternative/Optional Ed Truants' Alternative and Optional Education Program (TAOEP); Truants' Alternative/Optional Ed Truants' Alternative and Optional Education Program (TAOEP); Truants' Alternative/Optional Ed Truants' Alternative and Optional Education Program (TAOEP); Truants' Alternative/Optional Ed Truants' Alternative and Optional Education Program (TAOEP); Truants' Alternative/Optional Ed</w:t>
      </w:r>
    </w:p>
    <w:tbl>
      <w:tblPr>
        <w:tblStyle w:val="TableGrid"/>
        <w:tblW w:type="auto" w:w="0"/>
        <w:tblLook w:firstColumn="1" w:firstRow="1" w:lastColumn="0" w:lastRow="0" w:noHBand="0" w:noVBand="1" w:val="04A0"/>
      </w:tblPr>
      <w:tblGrid>
        <w:gridCol w:w="8640"/>
      </w:tblGrid>
      <w:tr>
        <w:tc>
          <w:tcPr>
            <w:tcW w:type="dxa" w:w="8640"/>
          </w:tcPr>
          <w:p>
            <w:r>
              <w:rPr>
                <w:b/>
              </w:rPr>
              <w:t>Program Contact Name:Brian Houser Phone:217-782-5270 Email:bhouser@isbe.net Name:Brian Houser Phone:217-782-5270 Email:bhouser@isbe.net Name:Brian Houser Phone:217-782-5270 Email:bhouser@isbe.net Name:Brian Houser Phone:217-782-5270 Email:bhouser@isbe.net Name:Brian Houser Phone:217-782-5270 Email:bhouser@isbe.net Name:Brian Houser Phone:217-782-5270 Email:bhouser@isbe.net</w:t>
            </w:r>
          </w:p>
        </w:tc>
      </w:tr>
      <w:tr>
        <w:tc>
          <w:tcPr>
            <w:tcW w:type="dxa" w:w="8640"/>
          </w:tcPr>
          <w:p>
            <w:r>
              <w:t>State Amount Expended 153867.00</w:t>
            </w:r>
          </w:p>
        </w:tc>
      </w:tr>
      <w:tr>
        <w:tc>
          <w:tcPr>
            <w:tcW w:type="dxa" w:w="8640"/>
          </w:tcPr>
          <w:p>
            <w:r>
              <w:t>Federal Amount Expended 0.00</w:t>
            </w:r>
          </w:p>
        </w:tc>
      </w:tr>
      <w:tr>
        <w:tc>
          <w:tcPr>
            <w:tcW w:type="dxa" w:w="8640"/>
          </w:tcPr>
          <w:p>
            <w:r>
              <w:t>Expenditures by Category</w:t>
            </w:r>
          </w:p>
        </w:tc>
      </w:tr>
      <w:tr>
        <w:tc>
          <w:tcPr>
            <w:tcW w:type="dxa" w:w="8640"/>
          </w:tcPr>
          <w:p>
            <w:r>
              <w:t>153,867.00 Expenditure-Grant Projects during the Audit Period Expenditure-Grant Projects during the Audit Period Expenditure-Grant Projects during the Audit Period Expenditure-Grant Projects during the Audit Period</w:t>
            </w:r>
          </w:p>
        </w:tc>
      </w:tr>
      <w:tr>
        <w:tc>
          <w:tcPr>
            <w:tcW w:type="dxa" w:w="8640"/>
          </w:tcPr>
          <w:p>
            <w:r>
              <w:t>153,867.00 TOTAL TOTAL TOTAL TOTAL</w:t>
            </w:r>
          </w:p>
        </w:tc>
      </w:tr>
    </w:tbl>
    <w:p/>
    <w:p>
      <w:r>
        <w:t>82g</w:t>
      </w:r>
    </w:p>
    <w:p>
      <w:pPr>
        <w:pStyle w:val="Heading2"/>
      </w:pPr>
      <w:r>
        <w:t>FEDERAL COMPLIANCE SECTION</w:t>
      </w:r>
    </w:p>
    <w:p>
      <w:r>
        <w:t>INDEPENDENT AUDITOR'S REPORT ON COMPLIANCE FOR EACH MAJOR FEDERAL PROGRAM AND ON INTERNAL CONTROL OVER</w:t>
      </w:r>
    </w:p>
    <w:p>
      <w:r>
        <w:t>COMPLIANCE REQUIRED BY THE UNIFORM GUIDANCE To the Board of Trustees John A. Logan College Community College District No. 530 Carterville, Illinois 62918 Report on Compliance for Each Major Federal Program Opinion on Each Major Federal Program We have audited John A. Logan College, Community College District No. 530’s (the College) compliance with the types of compliance requirements identified as subject to audit in the OMB Compliance Supplement that could have a direct and material effect on each of the College’s major federal programs for the year ended June 30, 2025. The College’s major federal programs are identified in the summary of auditor’s results section of the accompanying schedule of findings and questioned costs. In our opinion, the College complied, in all material respects, with the compliance requirements referred to above that could have a direct and material effect on each of its major federal programs for the year ended June 30, 2025. Basis for Opinion on Each Major Federal Program We conducted our audit of compliance in accordance with auditing standards generally accepted in the United States of America; the standards applicable to financial audits contained in Government Auditing Standards issued by the Comptroller General of the United States; and the audit requirements of Title 2 U.S. Code of Federal Regulations Part 200, Uniform Administrative Requirements, Cost Principles, and Audit Requirements for Federal Awards (Uniform Guidance). Our responsibilities under those standards and the Uniform Guidance are further described in the Auditor’s Responsibilities for the Audit of Compliance section of our report. We are required to be independent of the College and to meet our other ethical responsibilities, in accordance with relevant ethical requirements relating to our audit. We believe that the audit evidence we have obtained is sufficient and appropriate to provide a basis for our opinion on compliance for each major federal program. Our audit does not provide a legal determination of the College’s compliance with the compliance requirements referred to above. Responsibilities of Management for Compliance Management is responsible for compliance with the requirements referred to above and for the design, implementation, and maintenance of effective internal control over compliance with the requirements of laws, statutes, regulations, rules, and provisions of contracts or grant agreements applicable to the College’s federal programs.</w:t>
      </w:r>
    </w:p>
    <w:p>
      <w:pPr>
        <w:pStyle w:val="ListNumber"/>
      </w:pPr>
      <w:r>
        <w:t>83</w:t>
      </w:r>
    </w:p>
    <w:p>
      <w:r>
        <w:t>Auditor’s Responsibilities for the Audit of Compliance Our objectives are to obtain reasonable assurance about whether material noncompliance with the compliance requirements referred to above occurred, whether due to fraud or error, and express an opinion on the College’s compliance based on our audit. Reasonable assurance is a high level of assurance but is not absolute assurance and therefore is not a guarantee that an audit conducted in accordance with generally accepted auditing standards, Government Auditing Standards , and the Uniform Guidance will always detect material noncompliance when it exists. The risk of not detecting material noncompliance resulting from fraud is higher than for that resulting from error, as fraud may involve collusion, forgery, intentional omissions, misrepresentations, or the override of internal control. Noncompliance with the compliance requirements referred to above is considered material if there is a substantial likelihood that, individually or in the aggregate, it would influence the judgment made by a reasonable user of the report on compliance about the College’s compliance with the requirements of each major federal program as a whole. In performing an audit in accordance with generally accepted auditing standards, Government Auditing Standards , and the Uniform Guidance, we:</w:t>
      </w:r>
    </w:p>
    <w:p>
      <w:pPr>
        <w:pStyle w:val="ListBullet"/>
      </w:pPr>
      <w:r>
        <w:t>• Exercise professional judgment and maintain professional skepticism throughout the audit. • Identify and assess the risks of material noncompliance, whether due to fraud or error, and design and perform audit procedures responsive to those risks. Such procedures include examining, on a test basis, evidence regarding the College’s compliance with the compliance requirements referred to above and performing such other procedures as we considered necessary in the circumstances. • Obtain an understanding of the College’s internal control over compliance relevant to the audit in order to design audit procedures that are appropriate in the circumstances and to test and report on internal control over compliance in accordance with the Uniform Guidance, but not for the purpose of expressing an opinion on the effectiveness of the College’s internal control over compliance. Accordingly, no such opinion is expressed. We are required to communicate with those charged with governance regarding, among other matters, the planned scope and timing of the audit and any significant deficiencies and material weaknesses in internal control over compliance that we identified during the audit. Report on Internal Control Over Compliance A deficiency in internal control over compliance exists when the design or operation of a control over compliance does not allow management or employees, in the normal course of performing their assigned functions, to prevent, or detect and correct, noncompliance with a type of compliance requirement of a federal program on a timely basis. A material weakness in internal control over compliance is a deficiency, or combination of deficiencies, in internal control over compliance, such that there is a reasonable possibility that material noncompliance with a type of compliance requirement of a federal program will not be prevented, or detected and corrected, on a timely basis. A significant deficiency in internal control over compliance is a deficiency, or a combination of deficiencies, in internal control over compliance with a type of compliance requirement of a federal program that is less severe than a material weakness in internal control over compliance, yet important enough to merit attention by those charged with governance.</w:t>
      </w:r>
    </w:p>
    <w:p>
      <w:pPr>
        <w:pStyle w:val="ListNumber"/>
      </w:pPr>
      <w:r>
        <w:t>84</w:t>
      </w:r>
    </w:p>
    <w:p>
      <w:r>
        <w:t>Our consideration of internal control over compliance was for the limited purpose described in the Auditor’s Responsibilities for the Audit of Compliance section above and was not designed to identify all deficiencies in internal control over compliance that might be material weaknesses or significant deficiencies in internal control over compliance. Given these limitations, during our audit we did not identify any deficiencies in internal control over compliance that we consider to be material weaknesses, as defined above. However, material weaknesses or significant deficiencies in internal control over compliance may exist that were not identified. Our audit was not designed for the purpose of expressing an opinion on the effectiveness of internal control over compliance. Accordingly, no such opinion is expressed. The purpose of this report on internal control over compliance is solely to describe the scope of our testing of internal control over compliance and the results of that testing based on the requirements of the Uniform Guidance. Accordingly, this report is not suitable for any other purpose.</w:t>
      </w:r>
    </w:p>
    <w:tbl>
      <w:tblPr>
        <w:tblStyle w:val="TableGrid"/>
        <w:tblW w:type="auto" w:w="0"/>
        <w:tblLook w:firstColumn="1" w:firstRow="1" w:lastColumn="0" w:lastRow="0" w:noHBand="0" w:noVBand="1" w:val="04A0"/>
      </w:tblPr>
      <w:tblGrid>
        <w:gridCol w:w="8640"/>
      </w:tblGrid>
      <w:tr>
        <w:tc>
          <w:tcPr>
            <w:tcW w:type="dxa" w:w="8640"/>
          </w:tcPr>
          <w:p>
            <w:r>
              <w:rPr>
                <w:b/>
              </w:rPr>
              <w:t>KEMPER CPA GROUP LLP Certified Public Accountants and Consultants Marion, Illinois February 19, 2026</w:t>
            </w:r>
          </w:p>
        </w:tc>
      </w:tr>
    </w:tbl>
    <w:p/>
    <w:p>
      <w:pPr>
        <w:pStyle w:val="ListNumber"/>
      </w:pPr>
      <w:r>
        <w:t>85</w:t>
      </w:r>
    </w:p>
    <w:p>
      <w:pPr>
        <w:pStyle w:val="Heading2"/>
      </w:pPr>
      <w:r>
        <w:t>SCHEDULE OF EXPENDITURES OF FEDERAL AWARDS</w:t>
      </w:r>
    </w:p>
    <w:tbl>
      <w:tblPr>
        <w:tblStyle w:val="TableGrid"/>
        <w:tblW w:type="auto" w:w="0"/>
        <w:tblLook w:firstColumn="1" w:firstRow="1" w:lastColumn="0" w:lastRow="0" w:noHBand="0" w:noVBand="1" w:val="04A0"/>
      </w:tblPr>
      <w:tblGrid>
        <w:gridCol w:w="8640"/>
      </w:tblGrid>
      <w:tr>
        <w:tc>
          <w:tcPr>
            <w:tcW w:type="dxa" w:w="8640"/>
          </w:tcPr>
          <w:p>
            <w:r>
              <w:rPr>
                <w:b/>
              </w:rPr>
              <w:t>FOR THE YEAR ENDED JUNE 30, 2025</w:t>
            </w:r>
          </w:p>
        </w:tc>
      </w:tr>
      <w:tr>
        <w:tc>
          <w:tcPr>
            <w:tcW w:type="dxa" w:w="8640"/>
          </w:tcPr>
          <w:p>
            <w:r>
              <w:t>Assistance Contract or Listing Pass-Through Number Identifying Number</w:t>
            </w:r>
          </w:p>
        </w:tc>
      </w:tr>
      <w:tr>
        <w:tc>
          <w:tcPr>
            <w:tcW w:type="dxa" w:w="8640"/>
          </w:tcPr>
          <w:p>
            <w:r>
              <w:t>Federal Provided to Subrecipients</w:t>
            </w:r>
          </w:p>
        </w:tc>
      </w:tr>
      <w:tr>
        <w:tc>
          <w:tcPr>
            <w:tcW w:type="dxa" w:w="8640"/>
          </w:tcPr>
          <w:p>
            <w:r>
              <w:t>U.S. Department of Education</w:t>
            </w:r>
          </w:p>
        </w:tc>
      </w:tr>
      <w:tr>
        <w:tc>
          <w:tcPr>
            <w:tcW w:type="dxa" w:w="8640"/>
          </w:tcPr>
          <w:p>
            <w:r>
              <w:t>Direct Grant</w:t>
            </w:r>
          </w:p>
        </w:tc>
      </w:tr>
      <w:tr>
        <w:tc>
          <w:tcPr>
            <w:tcW w:type="dxa" w:w="8640"/>
          </w:tcPr>
          <w:p>
            <w:r>
              <w:t>TRIO Cluster</w:t>
            </w:r>
          </w:p>
        </w:tc>
      </w:tr>
      <w:tr>
        <w:tc>
          <w:tcPr>
            <w:tcW w:type="dxa" w:w="8640"/>
          </w:tcPr>
          <w:p>
            <w:r>
              <w:t>TRIO Student Support Services 84.042A P042A200753-23 $ - $ 44,833 TRIO Student Support Services 84.042A P042A200753-24 - 297,892 Total TRIO Cluster - 342,725</w:t>
            </w:r>
          </w:p>
        </w:tc>
      </w:tr>
      <w:tr>
        <w:tc>
          <w:tcPr>
            <w:tcW w:type="dxa" w:w="8640"/>
          </w:tcPr>
          <w:p>
            <w:r>
              <w:t>Student Financial Assistance Cluster</w:t>
            </w:r>
          </w:p>
        </w:tc>
      </w:tr>
      <w:tr>
        <w:tc>
          <w:tcPr>
            <w:tcW w:type="dxa" w:w="8640"/>
          </w:tcPr>
          <w:p>
            <w:r>
              <w:t>Federal Pell Grant Program (M) 84.063 P063P230542 - 526,896 Federal Pell Grant Program (M) 84.063 P063P240542 - 6,836,931 Federal Supplemental Educational Opportunity Grants (M) 84.007 P007A231184 - 7,357 Federal Supplemental Educational Opportunity Grants (M) 84.007 P007A241184 - 120,413 Federal Work-Study Program (M) 84.033 P033A231184 - 8,526 Federal Work-Study Program (M) 84.033 P033A241184 108,567</w:t>
            </w:r>
          </w:p>
        </w:tc>
      </w:tr>
      <w:tr>
        <w:tc>
          <w:tcPr>
            <w:tcW w:type="dxa" w:w="8640"/>
          </w:tcPr>
          <w:p>
            <w:r>
              <w:t>Total Student Financial Assistance Cluster - 7,608,690</w:t>
            </w:r>
          </w:p>
        </w:tc>
      </w:tr>
      <w:tr>
        <w:tc>
          <w:tcPr>
            <w:tcW w:type="dxa" w:w="8640"/>
          </w:tcPr>
          <w:p>
            <w:r>
              <w:t>Adult Education - Basic Grants to States 84.002 AE-53001-25 - 69,597</w:t>
            </w:r>
          </w:p>
        </w:tc>
      </w:tr>
      <w:tr>
        <w:tc>
          <w:tcPr>
            <w:tcW w:type="dxa" w:w="8640"/>
          </w:tcPr>
          <w:p>
            <w:r>
              <w:t>Career and Technical Education - Basic Grants to States 84.048 CTE-530-25 - 347,415</w:t>
            </w:r>
          </w:p>
        </w:tc>
      </w:tr>
      <w:tr>
        <w:tc>
          <w:tcPr>
            <w:tcW w:type="dxa" w:w="8640"/>
          </w:tcPr>
          <w:p>
            <w:r>
              <w:t>Total U.S. Department of Education - 8,368,427</w:t>
            </w:r>
          </w:p>
        </w:tc>
      </w:tr>
      <w:tr>
        <w:tc>
          <w:tcPr>
            <w:tcW w:type="dxa" w:w="8640"/>
          </w:tcPr>
          <w:p>
            <w:r>
              <w:t>U.S. Department of Labor</w:t>
            </w:r>
          </w:p>
        </w:tc>
      </w:tr>
      <w:tr>
        <w:tc>
          <w:tcPr>
            <w:tcW w:type="dxa" w:w="8640"/>
          </w:tcPr>
          <w:p>
            <w:r>
              <w:t>Passed through Parkland College</w:t>
            </w:r>
          </w:p>
        </w:tc>
      </w:tr>
      <w:tr>
        <w:tc>
          <w:tcPr>
            <w:tcW w:type="dxa" w:w="8640"/>
          </w:tcPr>
          <w:p>
            <w:r>
              <w:t>Strengthening Community Colleges Training Grant 17.261 CC-38940-22-60-A-17 - 107,122</w:t>
            </w:r>
          </w:p>
        </w:tc>
      </w:tr>
      <w:tr>
        <w:tc>
          <w:tcPr>
            <w:tcW w:type="dxa" w:w="8640"/>
          </w:tcPr>
          <w:p>
            <w:r>
              <w:t>Total U.S. Department of Labor - 107,122</w:t>
            </w:r>
          </w:p>
        </w:tc>
      </w:tr>
      <w:tr>
        <w:tc>
          <w:tcPr>
            <w:tcW w:type="dxa" w:w="8640"/>
          </w:tcPr>
          <w:p>
            <w:r>
              <w:t>U.S. Department of Health and Human Services</w:t>
            </w:r>
          </w:p>
        </w:tc>
      </w:tr>
      <w:tr>
        <w:tc>
          <w:tcPr>
            <w:tcW w:type="dxa" w:w="8640"/>
          </w:tcPr>
          <w:p>
            <w:r>
              <w:t>Direct Grant</w:t>
            </w:r>
          </w:p>
        </w:tc>
      </w:tr>
      <w:tr>
        <w:tc>
          <w:tcPr>
            <w:tcW w:type="dxa" w:w="8640"/>
          </w:tcPr>
          <w:p>
            <w:r>
              <w:t>Congressional Directives 93.493 6 CE1HS53756-01-03 - 4,533</w:t>
            </w:r>
          </w:p>
        </w:tc>
      </w:tr>
      <w:tr>
        <w:tc>
          <w:tcPr>
            <w:tcW w:type="dxa" w:w="8640"/>
          </w:tcPr>
          <w:p>
            <w:r>
              <w:t>Passed through the Illinois Department of Human Services:</w:t>
            </w:r>
          </w:p>
        </w:tc>
      </w:tr>
      <w:tr>
        <w:tc>
          <w:tcPr>
            <w:tcW w:type="dxa" w:w="8640"/>
          </w:tcPr>
          <w:p>
            <w:r>
              <w:t>Child Care and Development Fund Cluster</w:t>
            </w:r>
          </w:p>
        </w:tc>
      </w:tr>
      <w:tr>
        <w:tc>
          <w:tcPr>
            <w:tcW w:type="dxa" w:w="8640"/>
          </w:tcPr>
          <w:p>
            <w:r>
              <w:t>Child Care Mandatory and Matching Funds of the Child Care and Development Fund 93.596 FCSDI04632 - 1,346,919</w:t>
            </w:r>
          </w:p>
        </w:tc>
      </w:tr>
      <w:tr>
        <w:tc>
          <w:tcPr>
            <w:tcW w:type="dxa" w:w="8640"/>
          </w:tcPr>
          <w:p>
            <w:r>
              <w:t>Total Child Care and Development Fund Cluster - 1,346,919</w:t>
            </w:r>
          </w:p>
        </w:tc>
      </w:tr>
      <w:tr>
        <w:tc>
          <w:tcPr>
            <w:tcW w:type="dxa" w:w="8640"/>
          </w:tcPr>
          <w:p>
            <w:r>
              <w:t>Passed through Southern Illinois University Carbondale</w:t>
            </w:r>
          </w:p>
        </w:tc>
      </w:tr>
      <w:tr>
        <w:tc>
          <w:tcPr>
            <w:tcW w:type="dxa" w:w="8640"/>
          </w:tcPr>
          <w:p>
            <w:r>
              <w:t>Biomedical Research and Research Training 93.859 SIUC 20-02 - 328</w:t>
            </w:r>
          </w:p>
        </w:tc>
      </w:tr>
      <w:tr>
        <w:tc>
          <w:tcPr>
            <w:tcW w:type="dxa" w:w="8640"/>
          </w:tcPr>
          <w:p>
            <w:r>
              <w:t>Total U.S. Department of Health and Human Services - 1,351,780</w:t>
            </w:r>
          </w:p>
        </w:tc>
      </w:tr>
      <w:tr>
        <w:tc>
          <w:tcPr>
            <w:tcW w:type="dxa" w:w="8640"/>
          </w:tcPr>
          <w:p>
            <w:r>
              <w:t>U.S. Department of Veterans Affairs</w:t>
            </w:r>
          </w:p>
        </w:tc>
      </w:tr>
      <w:tr>
        <w:tc>
          <w:tcPr>
            <w:tcW w:type="dxa" w:w="8640"/>
          </w:tcPr>
          <w:p>
            <w:r>
              <w:t>Direct Grant</w:t>
            </w:r>
          </w:p>
        </w:tc>
      </w:tr>
      <w:tr>
        <w:tc>
          <w:tcPr>
            <w:tcW w:type="dxa" w:w="8640"/>
          </w:tcPr>
          <w:p>
            <w:r>
              <w:t>Post-9/11 Veterans Education Assistance - GI Bill Chapter 33 64.028 N/A - 106,416</w:t>
            </w:r>
          </w:p>
        </w:tc>
      </w:tr>
      <w:tr>
        <w:tc>
          <w:tcPr>
            <w:tcW w:type="dxa" w:w="8640"/>
          </w:tcPr>
          <w:p>
            <w:r>
              <w:t>Total U.S. Department of Veterans Affairs - 106,416</w:t>
            </w:r>
          </w:p>
        </w:tc>
      </w:tr>
      <w:tr>
        <w:tc>
          <w:tcPr>
            <w:tcW w:type="dxa" w:w="8640"/>
          </w:tcPr>
          <w:p>
            <w:r>
              <w:t>U.S. Department of Commerce</w:t>
            </w:r>
          </w:p>
        </w:tc>
      </w:tr>
      <w:tr>
        <w:tc>
          <w:tcPr>
            <w:tcW w:type="dxa" w:w="8640"/>
          </w:tcPr>
          <w:p>
            <w:r>
              <w:t>Direct Grant</w:t>
            </w:r>
          </w:p>
        </w:tc>
      </w:tr>
      <w:tr>
        <w:tc>
          <w:tcPr>
            <w:tcW w:type="dxa" w:w="8640"/>
          </w:tcPr>
          <w:p>
            <w:r>
              <w:t>Economic Development Cluster</w:t>
            </w:r>
          </w:p>
        </w:tc>
      </w:tr>
      <w:tr>
        <w:tc>
          <w:tcPr>
            <w:tcW w:type="dxa" w:w="8640"/>
          </w:tcPr>
          <w:p>
            <w:r>
              <w:t>Investments for Public Works and Economic Development Facilities 11.300 06-01-06399 - 178,716</w:t>
            </w:r>
          </w:p>
        </w:tc>
      </w:tr>
      <w:tr>
        <w:tc>
          <w:tcPr>
            <w:tcW w:type="dxa" w:w="8640"/>
          </w:tcPr>
          <w:p>
            <w:r>
              <w:t>Total Economic Development Cluster - 178,716</w:t>
            </w:r>
          </w:p>
        </w:tc>
      </w:tr>
      <w:tr>
        <w:tc>
          <w:tcPr>
            <w:tcW w:type="dxa" w:w="8640"/>
          </w:tcPr>
          <w:p>
            <w:r>
              <w:t>Total U.S. Department of Commerce - 178,716</w:t>
            </w:r>
          </w:p>
        </w:tc>
      </w:tr>
      <w:tr>
        <w:tc>
          <w:tcPr>
            <w:tcW w:type="dxa" w:w="8640"/>
          </w:tcPr>
          <w:p>
            <w:r>
              <w:t>Total Federal Awards $ - $ 10,112,461</w:t>
            </w:r>
          </w:p>
        </w:tc>
      </w:tr>
    </w:tbl>
    <w:p/>
    <w:p>
      <w:r>
        <w:t>Federal Grantor/Pass-Through Grant/Program or Cluster Title Expenditures</w:t>
      </w:r>
    </w:p>
    <w:p>
      <w:r>
        <w:t>The accompanying notes are an integral part of this schedule.</w:t>
      </w:r>
    </w:p>
    <w:p>
      <w:pPr>
        <w:pStyle w:val="ListNumber"/>
      </w:pPr>
      <w:r>
        <w:t>86</w:t>
      </w:r>
    </w:p>
    <w:p>
      <w:pPr>
        <w:pStyle w:val="Heading2"/>
      </w:pPr>
      <w:r>
        <w:t>NOTES TO THE SCHEDULE OF EXPENDITURES OF FEDERAL AWARDS</w:t>
      </w:r>
    </w:p>
    <w:tbl>
      <w:tblPr>
        <w:tblStyle w:val="TableGrid"/>
        <w:tblW w:type="auto" w:w="0"/>
        <w:tblLook w:firstColumn="1" w:firstRow="1" w:lastColumn="0" w:lastRow="0" w:noHBand="0" w:noVBand="1" w:val="04A0"/>
      </w:tblPr>
      <w:tblGrid>
        <w:gridCol w:w="8640"/>
      </w:tblGrid>
      <w:tr>
        <w:tc>
          <w:tcPr>
            <w:tcW w:type="dxa" w:w="8640"/>
          </w:tcPr>
          <w:p>
            <w:r>
              <w:rPr>
                <w:b/>
              </w:rPr>
              <w:t>FOR THE YEAR ENDED JUNE 30, 2025 NOTE 1: BASIS OF PRESENTATION A. General</w:t>
            </w:r>
          </w:p>
        </w:tc>
      </w:tr>
      <w:tr>
        <w:tc>
          <w:tcPr>
            <w:tcW w:type="dxa" w:w="8640"/>
          </w:tcPr>
          <w:p>
            <w:r>
              <w:t>The accompanying Schedule of Expenditures of Federal Awards (the Schedule) includes the federal award activity of John A. Logan College, Community College District No. 530 (the College) under programs of the federal government for the year ended June 30, 2025. The information in this Schedule is presented in accordance with the requirements of Title I U.S. Code of Federal Regulation (CFR) Part 200, Uniform Administrative Requirements, Cost Principles, and Audit Requirements for Federal Awards (Uniform Guidance). Because the Schedule presents only a selected portion of the operations of the College, it is not intended to and does not present the financial position, changes in net position, or cash flows of the College. B. Basis of Accounting Expenditures reported on the Schedule are reported on the accrual basis of accounting. Such expenditures are recognized following the cost principles contained in the Uniform Guidance, wherein certain types of expenditures are not allowable or limited as to reimbursements. NOTE 2: SUBRECIPIENTS No federal awards were provided to subrecipients for the year ended June 30, 2025 as detailed on the Schedule. NOTE 3: NONCASH AWARDS There were no noncash awards reported on the Schedule for the year ended June 30, 2025. NOTE 4: LOANS OR LOAN GUARANTEES OUTSTANDING There were no loan programs for the year ended June 30, 2025. NOTE 5: INDIRECT COST RATE The College has a plan for allocation of common and indirect costs related to grant programs in accordance with the Uniform Guidance. The indirect cost rate used to allocate amounts to grant programs during the fiscal year ended June 30, 2025, is primarily based on a federally negotiated higher education rate agreement. The College has elected not to use the 10% de Minimis indirect cost rate.</w:t>
            </w:r>
          </w:p>
        </w:tc>
      </w:tr>
    </w:tbl>
    <w:p/>
    <w:p>
      <w:pPr>
        <w:pStyle w:val="ListNumber"/>
      </w:pPr>
      <w:r>
        <w:t>87</w:t>
      </w:r>
    </w:p>
    <w:p>
      <w:pPr>
        <w:pStyle w:val="Heading2"/>
      </w:pPr>
      <w:r>
        <w:t>SCHEDULE OF FINDINGS AND QUESTIONED COSTS</w:t>
      </w:r>
    </w:p>
    <w:tbl>
      <w:tblPr>
        <w:tblStyle w:val="TableGrid"/>
        <w:tblW w:type="auto" w:w="0"/>
        <w:tblLook w:firstColumn="1" w:firstRow="1" w:lastColumn="0" w:lastRow="0" w:noHBand="0" w:noVBand="1" w:val="04A0"/>
      </w:tblPr>
      <w:tblGrid>
        <w:gridCol w:w="8640"/>
      </w:tblGrid>
      <w:tr>
        <w:tc>
          <w:tcPr>
            <w:tcW w:type="dxa" w:w="8640"/>
          </w:tcPr>
          <w:p>
            <w:r>
              <w:rPr>
                <w:b/>
              </w:rPr>
              <w:t>FOR THE YEAR ENDED JUNE 30, 2025</w:t>
            </w:r>
          </w:p>
        </w:tc>
      </w:tr>
      <w:tr>
        <w:tc>
          <w:tcPr>
            <w:tcW w:type="dxa" w:w="8640"/>
          </w:tcPr>
          <w:p>
            <w:r>
              <w:t>SECTION I – SUMMARY OF AUDITOR’S RESULTS Financial Statements 1. Type of auditor’s report issued: Unmodified 2. Internal control over financial reporting: a.) Material weaknesses identified? No b.) Significant deficiencies identified that are not considered to be material weaknesses? None Reported c.) Noncompliance material to the financial statements noted? No Federal Awards 1. Internal control over major program: a.) Material weaknesses identified? No b.) Significant deficiencies identified that are not considered to be material weaknesses? None Reported 2. Type of auditor’s report issued on compliance for major programs: Unmodified 3. Any audit findings disclosed that are required to be reported in accordance with section 510 (a) of the Uniform Guidance? No 4. Identification of major programs: CFDA Number Name of Federal Program Student Financial Assistance Cluster: 84.007 Federal Supplemental Educational Opportunity Grants 84.033 Federal Work-Study Program 84.063 Federal Pell Grant Program</w:t>
            </w:r>
          </w:p>
        </w:tc>
      </w:tr>
    </w:tbl>
    <w:p/>
    <w:p>
      <w:pPr>
        <w:pStyle w:val="ListNumber"/>
      </w:pPr>
      <w:r>
        <w:t>5. Dollar threshold used to distinguish between Type A and Type B programs: $750,000 6. Auditee qualified as a low-risk auditee? Yes 88</w:t>
      </w:r>
    </w:p>
    <w:p>
      <w:pPr>
        <w:pStyle w:val="Heading2"/>
      </w:pPr>
      <w:r>
        <w:t>SCHEDULE OF FINDINGS AND QUESTIONED COSTS (CONTINUED)</w:t>
      </w:r>
    </w:p>
    <w:tbl>
      <w:tblPr>
        <w:tblStyle w:val="TableGrid"/>
        <w:tblW w:type="auto" w:w="0"/>
        <w:tblLook w:firstColumn="1" w:firstRow="1" w:lastColumn="0" w:lastRow="0" w:noHBand="0" w:noVBand="1" w:val="04A0"/>
      </w:tblPr>
      <w:tblGrid>
        <w:gridCol w:w="8640"/>
      </w:tblGrid>
      <w:tr>
        <w:tc>
          <w:tcPr>
            <w:tcW w:type="dxa" w:w="8640"/>
          </w:tcPr>
          <w:p>
            <w:r>
              <w:rPr>
                <w:b/>
              </w:rPr>
              <w:t>FOR THE YEAR ENDED JUNE 30, 2025</w:t>
            </w:r>
          </w:p>
        </w:tc>
      </w:tr>
    </w:tbl>
    <w:p/>
    <w:p>
      <w:r>
        <w:t>SECTION II – FINANCIAL STATEMENT FINDINGS None Reported</w:t>
      </w:r>
    </w:p>
    <w:p>
      <w:pPr>
        <w:pStyle w:val="ListNumber"/>
      </w:pPr>
      <w:r>
        <w:t>89</w:t>
      </w:r>
    </w:p>
    <w:p>
      <w:pPr>
        <w:pStyle w:val="Heading2"/>
      </w:pPr>
      <w:r>
        <w:t>SCHEDULE OF FINDINGS AND QUESTIONED COSTS (CONTINUED)</w:t>
      </w:r>
    </w:p>
    <w:p>
      <w:r>
        <w:t>FOR THE YEAR ENDED JUNE 30, 2025 SECTION III – FEDERAL AWARD FINDINGS AND QUESTIONED COSTS None Reported</w:t>
      </w:r>
    </w:p>
    <w:p>
      <w:pPr>
        <w:pStyle w:val="ListNumber"/>
      </w:pPr>
      <w:r>
        <w:t>90</w:t>
      </w:r>
    </w:p>
    <w:p>
      <w:pPr>
        <w:pStyle w:val="Heading2"/>
      </w:pPr>
      <w:r>
        <w:t>SUMMARY SCHEDULE OF PRIOR AUDIT FINDINGS</w:t>
      </w:r>
    </w:p>
    <w:tbl>
      <w:tblPr>
        <w:tblStyle w:val="TableGrid"/>
        <w:tblW w:type="auto" w:w="0"/>
        <w:tblLook w:firstColumn="1" w:firstRow="1" w:lastColumn="0" w:lastRow="0" w:noHBand="0" w:noVBand="1" w:val="04A0"/>
      </w:tblPr>
      <w:tblGrid>
        <w:gridCol w:w="8640"/>
      </w:tblGrid>
      <w:tr>
        <w:tc>
          <w:tcPr>
            <w:tcW w:type="dxa" w:w="8640"/>
          </w:tcPr>
          <w:p>
            <w:r>
              <w:rPr>
                <w:b/>
              </w:rPr>
              <w:t>FOR THE YEAR ENDED JUNE 30, 2025</w:t>
            </w:r>
          </w:p>
        </w:tc>
      </w:tr>
    </w:tbl>
    <w:p/>
    <w:p>
      <w:r>
        <w:t>Finding No. Condition Current Status 2024-001 During the compliance testing of “Special Tests and Not Repeated Provisions” requirements related to Enrollment Reporting, we noted the following exceptions: Two (2) students were not reported to the Clearinghouse after withdrawing from the institution.</w:t>
      </w:r>
    </w:p>
    <w:p>
      <w:pPr>
        <w:pStyle w:val="ListNumber"/>
      </w:pPr>
      <w:r>
        <w:t>91</w:t>
      </w:r>
    </w:p>
    <w:p>
      <w:pPr>
        <w:pStyle w:val="Heading1"/>
      </w:pPr>
      <w:r>
        <w:t>Manual review notes</w:t>
      </w:r>
    </w:p>
    <w:p>
      <w:pPr>
        <w:pStyle w:val="ListBullet"/>
      </w:pPr>
      <w:r>
        <w:t>DOCUMENT_TITLE_MISSING: No usable document title was found in metadata; projection should derive or review a title.</w:t>
      </w:r>
    </w:p>
    <w:p>
      <w:pPr>
        <w:pStyle w:val="ListBullet"/>
      </w:pPr>
      <w:r>
        <w:t>IMAGE_ONLY_PAGES_REQUIRE_REVIEW: One or more pages are image-only or scanned; recovered text/structure must be reviewed before final output.</w:t>
      </w:r>
    </w:p>
    <w:p>
      <w:pPr>
        <w:pStyle w:val="ListBullet"/>
      </w:pPr>
      <w:r>
        <w:t>TABLE_STRUCTURE_REVIEW: 660 table-cell candidate block(s) across 112 table region(s) were detected; table boundaries and headers need normalization/review.</w:t>
      </w:r>
    </w:p>
    <w:p>
      <w:pPr>
        <w:pStyle w:val="ListBullet"/>
      </w:pPr>
      <w:r>
        <w:t>TABLE_HEADERS_UNCERTAIN: Table region candidates were grouped, but header rows and spanning-cell relationships have not been resolved.</w:t>
      </w:r>
    </w:p>
    <w:p>
      <w:pPr>
        <w:pStyle w:val="ListBullet"/>
      </w:pPr>
      <w:r>
        <w:t>FIGURE_CANDIDATES_REQUIRE_REVIEW: Image or figure-like evidence was detected; meaningful figures need text alternatives before final output.</w:t>
      </w:r>
    </w:p>
    <w:p>
      <w:pPr>
        <w:pStyle w:val="ListBullet"/>
      </w:pPr>
      <w:r>
        <w:t>DOCUMENT_TITLE_MISSING [document_metadata.title]: No usable document title was found in metadata.</w:t>
      </w:r>
    </w:p>
    <w:p>
      <w:pPr>
        <w:pStyle w:val="ListBullet"/>
      </w:pPr>
      <w:r>
        <w:t>IMAGE_ONLY_PAGE_OCR_REQUIRED [page:75]: Image-only page has no normalized text evidence; OCR or another recovery path is required.</w:t>
      </w:r>
    </w:p>
    <w:p>
      <w:pPr>
        <w:pStyle w:val="ListBullet"/>
      </w:pPr>
      <w:r>
        <w:t>IMAGE_ONLY_PAGE_OCR_REQUIRED [page:94]: Image-only page has no normalized text evidence; OCR or another recovery path is required.</w:t>
      </w:r>
    </w:p>
    <w:p>
      <w:pPr>
        <w:pStyle w:val="ListBullet"/>
      </w:pPr>
      <w:r>
        <w:t>TABLE_BOUNDARY_REVIEW [page_0007_table_001]: This table region has one or fewer inferred rows, so the table boundary may be too narrow.</w:t>
      </w:r>
    </w:p>
    <w:p>
      <w:pPr>
        <w:pStyle w:val="ListBullet"/>
      </w:pPr>
      <w:r>
        <w:t>TABLE_BOUNDARY_REVIEW [page_0008_table_001]: This table region has one or fewer inferred rows, so the table boundary may be too narrow.</w:t>
      </w:r>
    </w:p>
    <w:p>
      <w:pPr>
        <w:pStyle w:val="ListBullet"/>
      </w:pPr>
      <w:r>
        <w:t>TABLE_BOUNDARY_REVIEW [page_0009_table_001]: This table region has one or fewer inferred rows, so the table boundary may be too narrow.</w:t>
      </w:r>
    </w:p>
    <w:p>
      <w:pPr>
        <w:pStyle w:val="ListBullet"/>
      </w:pPr>
      <w:r>
        <w:t>TABLE_HEADERS_UNCERTAIN [page_0011_table_001]: This normalized table region does not have a confident header-row candidate.</w:t>
      </w:r>
    </w:p>
    <w:p>
      <w:pPr>
        <w:pStyle w:val="ListBullet"/>
      </w:pPr>
      <w:r>
        <w:t>TABLE_HEADERS_UNCERTAIN [page_0014_table_001]: This normalized table region does not have a confident header-row candidate.</w:t>
      </w:r>
    </w:p>
    <w:p>
      <w:pPr>
        <w:pStyle w:val="ListBullet"/>
      </w:pPr>
      <w:r>
        <w:t>TABLE_BOUNDARY_REVIEW [page_0018_table_001]: This table region has one or fewer inferred rows, so the table boundary may be too narrow.</w:t>
      </w:r>
    </w:p>
    <w:p>
      <w:pPr>
        <w:pStyle w:val="ListBullet"/>
      </w:pPr>
      <w:r>
        <w:t>TABLE_BOUNDARY_REVIEW [page_0024_table_001]: This table region has one or fewer inferred rows, so the table boundary may be too narrow.</w:t>
      </w:r>
    </w:p>
    <w:p>
      <w:pPr>
        <w:pStyle w:val="ListBullet"/>
      </w:pPr>
      <w:r>
        <w:t>TABLE_BOUNDARY_REVIEW [page_0026_table_001]: This table region has one or fewer inferred rows, so the table boundary may be too narrow.</w:t>
      </w:r>
    </w:p>
    <w:p>
      <w:pPr>
        <w:pStyle w:val="ListBullet"/>
      </w:pPr>
      <w:r>
        <w:t>TABLE_HEADERS_UNCERTAIN [page_0029_table_001]: This normalized table region does not have a confident header-row candidate.</w:t>
      </w:r>
    </w:p>
    <w:p>
      <w:pPr>
        <w:pStyle w:val="ListBullet"/>
      </w:pPr>
      <w:r>
        <w:t>TABLE_BOUNDARY_REVIEW [page_0029_table_001]: This table region has one or fewer inferred rows, so the table boundary may be too narrow.</w:t>
      </w:r>
    </w:p>
    <w:p>
      <w:pPr>
        <w:pStyle w:val="ListBullet"/>
      </w:pPr>
      <w:r>
        <w:t>TABLE_BOUNDARY_REVIEW [page_0030_table_001]: This table region has one or fewer inferred rows, so the table boundary may be too narrow.</w:t>
      </w:r>
    </w:p>
    <w:p>
      <w:pPr>
        <w:pStyle w:val="ListBullet"/>
      </w:pPr>
      <w:r>
        <w:t>TABLE_HEADERS_UNCERTAIN [page_0034_table_001]: This normalized table region does not have a confident header-row candidate.</w:t>
      </w:r>
    </w:p>
    <w:p>
      <w:pPr>
        <w:pStyle w:val="ListBullet"/>
      </w:pPr>
      <w:r>
        <w:t>TABLE_HEADERS_UNCERTAIN [page_0035_table_001]: This normalized table region does not have a confident header-row candidate.</w:t>
      </w:r>
    </w:p>
    <w:p>
      <w:pPr>
        <w:pStyle w:val="ListBullet"/>
      </w:pPr>
      <w:r>
        <w:t>TABLE_BOUNDARY_REVIEW [page_0036_table_001]: This table region has one or fewer inferred rows, so the table boundary may be too narrow.</w:t>
      </w:r>
    </w:p>
    <w:p>
      <w:pPr>
        <w:pStyle w:val="ListBullet"/>
      </w:pPr>
      <w:r>
        <w:t>TABLE_HEADERS_UNCERTAIN [page_0038_table_001]: This normalized table region does not have a confident header-row candidate.</w:t>
      </w:r>
    </w:p>
    <w:p>
      <w:pPr>
        <w:pStyle w:val="ListBullet"/>
      </w:pPr>
      <w:r>
        <w:t>TABLE_BOUNDARY_REVIEW [page_0039_table_001]: This table region has one or fewer inferred rows, so the table boundary may be too narrow.</w:t>
      </w:r>
    </w:p>
    <w:p>
      <w:pPr>
        <w:pStyle w:val="ListBullet"/>
      </w:pPr>
      <w:r>
        <w:t>TABLE_BOUNDARY_REVIEW [page_0046_table_001]: This table region has one or fewer inferred rows, so the table boundary may be too narrow.</w:t>
      </w:r>
    </w:p>
    <w:p>
      <w:pPr>
        <w:pStyle w:val="ListBullet"/>
      </w:pPr>
      <w:r>
        <w:t>TABLE_BOUNDARY_REVIEW [page_0049_table_001]: This table region has one or fewer inferred rows, so the table boundary may be too narrow.</w:t>
      </w:r>
    </w:p>
    <w:p>
      <w:pPr>
        <w:pStyle w:val="ListBullet"/>
      </w:pPr>
      <w:r>
        <w:t>TABLE_BOUNDARY_REVIEW [page_0055_table_001]: This table region has one or fewer inferred rows, so the table boundary may be too narrow.</w:t>
      </w:r>
    </w:p>
    <w:p>
      <w:pPr>
        <w:pStyle w:val="ListBullet"/>
      </w:pPr>
      <w:r>
        <w:t>TABLE_BOUNDARY_REVIEW [page_0056_table_001]: This table region has one or fewer inferred rows, so the table boundary may be too narrow.</w:t>
      </w:r>
    </w:p>
    <w:p>
      <w:pPr>
        <w:pStyle w:val="ListBullet"/>
      </w:pPr>
      <w:r>
        <w:t>TABLE_HEADERS_UNCERTAIN [page_0058_table_001]: This normalized table region does not have a confident header-row candidate.</w:t>
      </w:r>
    </w:p>
    <w:p>
      <w:pPr>
        <w:pStyle w:val="ListBullet"/>
      </w:pPr>
      <w:r>
        <w:t>TABLE_HEADERS_UNCERTAIN [page_0060_table_001]: This normalized table region does not have a confident header-row candidate.</w:t>
      </w:r>
    </w:p>
    <w:p>
      <w:pPr>
        <w:pStyle w:val="ListBullet"/>
      </w:pPr>
      <w:r>
        <w:t>TABLE_HEADERS_UNCERTAIN [page_0061_table_001]: This normalized table region does not have a confident header-row candidate.</w:t>
      </w:r>
    </w:p>
    <w:p>
      <w:pPr>
        <w:pStyle w:val="ListBullet"/>
      </w:pPr>
      <w:r>
        <w:t>TABLE_HEADERS_UNCERTAIN [page_0062_table_001]: This normalized table region does not have a confident header-row candidate.</w:t>
      </w:r>
    </w:p>
    <w:p>
      <w:pPr>
        <w:pStyle w:val="ListBullet"/>
      </w:pPr>
      <w:r>
        <w:t>TABLE_BOUNDARY_REVIEW [page_0062_table_001]: This table region has one or fewer inferred rows, so the table boundary may be too narrow.</w:t>
      </w:r>
    </w:p>
    <w:p>
      <w:pPr>
        <w:pStyle w:val="ListBullet"/>
      </w:pPr>
      <w:r>
        <w:t>TABLE_HEADERS_UNCERTAIN [page_0063_table_001]: This normalized table region does not have a confident header-row candidate.</w:t>
      </w:r>
    </w:p>
    <w:p>
      <w:pPr>
        <w:pStyle w:val="ListBullet"/>
      </w:pPr>
      <w:r>
        <w:t>TABLE_BOUNDARY_REVIEW [page_0063_table_001]: This table region has one or fewer inferred rows, so the table boundary may be too narrow.</w:t>
      </w:r>
    </w:p>
    <w:p>
      <w:pPr>
        <w:pStyle w:val="ListBullet"/>
      </w:pPr>
      <w:r>
        <w:t>TABLE_HEADERS_UNCERTAIN [page_0064_table_001]: This normalized table region does not have a confident header-row candidate.</w:t>
      </w:r>
    </w:p>
    <w:p>
      <w:pPr>
        <w:pStyle w:val="ListBullet"/>
      </w:pPr>
      <w:r>
        <w:t>TABLE_HEADERS_UNCERTAIN [page_0065_table_001]: This normalized table region does not have a confident header-row candidate.</w:t>
      </w:r>
    </w:p>
    <w:p>
      <w:pPr>
        <w:pStyle w:val="ListBullet"/>
      </w:pPr>
      <w:r>
        <w:t>TABLE_BOUNDARY_REVIEW [page_0065_table_001]: This table region has one or fewer inferred rows, so the table boundary may be too narrow.</w:t>
      </w:r>
    </w:p>
    <w:p>
      <w:pPr>
        <w:pStyle w:val="ListBullet"/>
      </w:pPr>
      <w:r>
        <w:t>TABLE_HEADERS_UNCERTAIN [page_0070_table_001]: This normalized table region does not have a confident header-row candidate.</w:t>
      </w:r>
    </w:p>
    <w:p>
      <w:pPr>
        <w:pStyle w:val="ListBullet"/>
      </w:pPr>
      <w:r>
        <w:t>TABLE_HEADERS_UNCERTAIN [page_0071_table_001]: This normalized table region does not have a confident header-row candidate.</w:t>
      </w:r>
    </w:p>
    <w:p>
      <w:pPr>
        <w:pStyle w:val="ListBullet"/>
      </w:pPr>
      <w:r>
        <w:t>TABLE_HEADERS_UNCERTAIN [page_0078_table_002]: This normalized table region does not have a confident header-row candidate.</w:t>
      </w:r>
    </w:p>
    <w:p>
      <w:pPr>
        <w:pStyle w:val="ListBullet"/>
      </w:pPr>
      <w:r>
        <w:t>TABLE_HEADERS_UNCERTAIN [page_0078_table_003]: This normalized table region does not have a confident header-row candidate.</w:t>
      </w:r>
    </w:p>
    <w:p>
      <w:pPr>
        <w:pStyle w:val="ListBullet"/>
      </w:pPr>
      <w:r>
        <w:t>TABLE_BOUNDARY_REVIEW [page_0078_table_003]: This table region has one or fewer inferred rows, so the table boundary may be too narrow.</w:t>
      </w:r>
    </w:p>
    <w:p>
      <w:pPr>
        <w:pStyle w:val="ListBullet"/>
      </w:pPr>
      <w:r>
        <w:t>TABLE_HEADERS_UNCERTAIN [page_0078_table_004]: This normalized table region does not have a confident header-row candidate.</w:t>
      </w:r>
    </w:p>
    <w:p>
      <w:pPr>
        <w:pStyle w:val="ListBullet"/>
      </w:pPr>
      <w:r>
        <w:t>TABLE_BOUNDARY_REVIEW [page_0078_table_004]: This table region has one or fewer inferred rows, so the table boundary may be too narrow.</w:t>
      </w:r>
    </w:p>
    <w:p>
      <w:pPr>
        <w:pStyle w:val="ListBullet"/>
      </w:pPr>
      <w:r>
        <w:t>TABLE_HEADERS_UNCERTAIN [page_0078_table_005]: This normalized table region does not have a confident header-row candidate.</w:t>
      </w:r>
    </w:p>
    <w:p>
      <w:pPr>
        <w:pStyle w:val="ListBullet"/>
      </w:pPr>
      <w:r>
        <w:t>TABLE_BOUNDARY_REVIEW [page_0078_table_005]: This table region has one or fewer inferred rows, so the table boundary may be too narrow.</w:t>
      </w:r>
    </w:p>
    <w:p>
      <w:pPr>
        <w:pStyle w:val="ListBullet"/>
      </w:pPr>
      <w:r>
        <w:t>TABLE_HEADERS_UNCERTAIN [page_0078_table_006]: This normalized table region does not have a confident header-row candidate.</w:t>
      </w:r>
    </w:p>
    <w:p>
      <w:pPr>
        <w:pStyle w:val="ListBullet"/>
      </w:pPr>
      <w:r>
        <w:t>TABLE_BOUNDARY_REVIEW [page_0078_table_006]: This table region has one or fewer inferred rows, so the table boundary may be too narrow.</w:t>
      </w:r>
    </w:p>
    <w:p>
      <w:pPr>
        <w:pStyle w:val="ListBullet"/>
      </w:pPr>
      <w:r>
        <w:t>TABLE_HEADERS_UNCERTAIN [page_0078_table_007]: This normalized table region does not have a confident header-row candidate.</w:t>
      </w:r>
    </w:p>
    <w:p>
      <w:pPr>
        <w:pStyle w:val="ListBullet"/>
      </w:pPr>
      <w:r>
        <w:t>TABLE_BOUNDARY_REVIEW [page_0078_table_007]: This table region has one or fewer inferred rows, so the table boundary may be too narrow.</w:t>
      </w:r>
    </w:p>
    <w:p>
      <w:pPr>
        <w:pStyle w:val="ListBullet"/>
      </w:pPr>
      <w:r>
        <w:t>TABLE_HEADERS_UNCERTAIN [page_0078_table_008]: This normalized table region does not have a confident header-row candidate.</w:t>
      </w:r>
    </w:p>
    <w:p>
      <w:pPr>
        <w:pStyle w:val="ListBullet"/>
      </w:pPr>
      <w:r>
        <w:t>TABLE_BOUNDARY_REVIEW [page_0078_table_008]: This table region has one or fewer inferred rows, so the table boundary may be too narrow.</w:t>
      </w:r>
    </w:p>
    <w:p>
      <w:pPr>
        <w:pStyle w:val="ListBullet"/>
      </w:pPr>
      <w:r>
        <w:t>TABLE_HEADERS_UNCERTAIN [page_0079_table_003]: This normalized table region does not have a confident header-row candidate.</w:t>
      </w:r>
    </w:p>
    <w:p>
      <w:pPr>
        <w:pStyle w:val="ListBullet"/>
      </w:pPr>
      <w:r>
        <w:t>TABLE_BOUNDARY_REVIEW [page_0079_table_003]: This table region has one or fewer inferred rows, so the table boundary may be too narrow.</w:t>
      </w:r>
    </w:p>
    <w:p>
      <w:pPr>
        <w:pStyle w:val="ListBullet"/>
      </w:pPr>
      <w:r>
        <w:t>TABLE_HEADERS_UNCERTAIN [page_0079_table_004]: This normalized table region does not have a confident header-row candidate.</w:t>
      </w:r>
    </w:p>
    <w:p>
      <w:pPr>
        <w:pStyle w:val="ListBullet"/>
      </w:pPr>
      <w:r>
        <w:t>TABLE_BOUNDARY_REVIEW [page_0085_table_001]: This table region has one or fewer inferred rows, so the table boundary may be too narrow.</w:t>
      </w:r>
    </w:p>
    <w:p>
      <w:pPr>
        <w:pStyle w:val="ListBullet"/>
      </w:pPr>
      <w:r>
        <w:t>TABLE_BOUNDARY_REVIEW [page_0087_table_001]: This table region has one or fewer inferred rows, so the table boundary may be too narrow.</w:t>
      </w:r>
    </w:p>
    <w:p>
      <w:pPr>
        <w:pStyle w:val="ListBullet"/>
      </w:pPr>
      <w:r>
        <w:t>TABLE_BOUNDARY_REVIEW [page_0088_table_001]: This table region has one or fewer inferred rows, so the table boundary may be too narrow.</w:t>
      </w:r>
    </w:p>
    <w:p>
      <w:pPr>
        <w:pStyle w:val="ListBullet"/>
      </w:pPr>
      <w:r>
        <w:t>TABLE_BOUNDARY_REVIEW [page_0089_table_001]: This table region has one or fewer inferred rows, so the table boundary may be too narrow.</w:t>
      </w:r>
    </w:p>
    <w:p>
      <w:pPr>
        <w:pStyle w:val="ListBullet"/>
      </w:pPr>
      <w:r>
        <w:t>TABLE_BOUNDARY_REVIEW [page_0090_table_001]: This table region has one or fewer inferred rows, so the table boundary may be too narrow.</w:t>
      </w:r>
    </w:p>
    <w:p>
      <w:pPr>
        <w:pStyle w:val="ListBullet"/>
      </w:pPr>
      <w:r>
        <w:t>TABLE_BOUNDARY_REVIEW [page_0091_table_001]: This table region has one or fewer inferred rows, so the table boundary may be too narrow.</w:t>
      </w:r>
    </w:p>
    <w:p>
      <w:pPr>
        <w:pStyle w:val="ListBullet"/>
      </w:pPr>
      <w:r>
        <w:t>TABLE_BOUNDARY_REVIEW [page_0092_table_001]: This table region has one or fewer inferred rows, so the table boundary may be too narrow.</w:t>
      </w:r>
    </w:p>
    <w:p>
      <w:pPr>
        <w:pStyle w:val="ListBullet"/>
      </w:pPr>
      <w:r>
        <w:t>TABLE_BOUNDARY_REVIEW [page_0095_table_001]: This table region has one or fewer inferred rows, so the table boundary may be too narrow.</w:t>
      </w:r>
    </w:p>
    <w:p>
      <w:pPr>
        <w:pStyle w:val="ListBullet"/>
      </w:pPr>
      <w:r>
        <w:t>TABLE_BOUNDARY_REVIEW [page_0096_table_001]: This table region has one or fewer inferred rows, so the table boundary may be too narrow.</w:t>
      </w:r>
    </w:p>
    <w:p>
      <w:pPr>
        <w:pStyle w:val="ListBullet"/>
      </w:pPr>
      <w:r>
        <w:t>TABLE_BOUNDARY_REVIEW [page_0098_table_001]: This table region has one or fewer inferred rows, so the table boundary may be too narrow.</w:t>
      </w:r>
    </w:p>
    <w:p>
      <w:pPr>
        <w:pStyle w:val="ListBullet"/>
      </w:pPr>
      <w:r>
        <w:t>TABLE_BOUNDARY_REVIEW [page_0102_table_001]: This table region has one or fewer inferred rows, so the table boundary may be too narrow.</w:t>
      </w:r>
    </w:p>
    <w:p>
      <w:pPr>
        <w:pStyle w:val="ListBullet"/>
      </w:pPr>
      <w:r>
        <w:t>TABLE_BOUNDARY_REVIEW [page_0103_table_001]: This table region has one or fewer inferred rows, so the table boundary may be too narrow.</w:t>
      </w:r>
    </w:p>
    <w:p>
      <w:pPr>
        <w:pStyle w:val="ListBullet"/>
      </w:pPr>
      <w:r>
        <w:t>TABLE_BOUNDARY_REVIEW [page_0105_table_001]: This table region has one or fewer inferred rows, so the table boundary may be too narrow.</w:t>
      </w:r>
    </w:p>
    <w:p>
      <w:pPr>
        <w:pStyle w:val="ListBullet"/>
      </w:pPr>
      <w:r>
        <w:t>TABLE_BOUNDARY_REVIEW [page_0107_table_001]: This table region has one or fewer inferred rows, so the table boundary may be too narrow.</w:t>
      </w:r>
    </w:p>
    <w:p>
      <w:pPr>
        <w:pStyle w:val="ListBullet"/>
      </w:pPr>
      <w:r>
        <w:t>TABLE_BOUNDARY_REVIEW [page_0111_table_001]: This table region has one or fewer inferred rows, so the table boundary may be too narrow.</w:t>
      </w:r>
    </w:p>
    <w:p>
      <w:pPr>
        <w:pStyle w:val="ListBullet"/>
      </w:pPr>
      <w:r>
        <w:t>TABLE_BOUNDARY_REVIEW [page_0115_table_001]: This table region has one or fewer inferred rows, so the table boundary may be too narrow.</w:t>
      </w:r>
    </w:p>
    <w:p>
      <w:pPr>
        <w:pStyle w:val="ListBullet"/>
      </w:pPr>
      <w:r>
        <w:t>TABLE_BOUNDARY_REVIEW [page_0117_table_001]: This table region has one or fewer inferred rows, so the table boundary may be too narrow.</w:t>
      </w:r>
    </w:p>
    <w:p>
      <w:pPr>
        <w:pStyle w:val="ListBullet"/>
      </w:pPr>
      <w:r>
        <w:t>FIGURE_CANDIDATES_REQUIRE_REVIEW [document_summary.figure_candidate_count]: Image or figure-like evidence was detected, but meaningful-vs-decorative status is unresolved.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finreport25 draft DOCX</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