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52"/>
          <w:szCs w:val="52"/>
        </w:rPr>
        <w:t xml:space="preserve">AI-Human Patient Advocate</w:t>
      </w:r>
    </w:p>
    <w:p>
      <w:pPr>
        <w:spacing w:before="0" w:after="80"/>
        <w:jc w:val="center"/>
      </w:pPr>
      <w:r>
        <w:rPr>
          <w:rFonts w:ascii="Arial" w:cs="Arial" w:eastAsia="Arial" w:hAnsi="Arial"/>
          <w:color w:val="2C6FAC"/>
          <w:sz w:val="32"/>
          <w:szCs w:val="32"/>
        </w:rPr>
        <w:t xml:space="preserve">Strategic Response &amp; Implementation Plan</w:t>
      </w:r>
    </w:p>
    <w:p>
      <w:pPr>
        <w:spacing w:before="0" w:after="80"/>
        <w:jc w:val="center"/>
      </w:pPr>
      <w:r>
        <w:rPr>
          <w:rFonts w:ascii="Arial" w:cs="Arial" w:eastAsia="Arial" w:hAnsi="Arial"/>
          <w:color w:val="888888"/>
          <w:sz w:val="22"/>
          <w:szCs w:val="22"/>
        </w:rPr>
        <w:t xml:space="preserve">specialtyconsultants.co  |  March 2026</w:t>
      </w:r>
    </w:p>
    <w:p>
      <w:pPr>
        <w:pBdr>
          <w:bottom w:val="single" w:color="2C6FAC" w:sz="6" w:space="1"/>
        </w:pBdr>
        <w:spacing w:before="120" w:after="120"/>
      </w:pPr>
    </w:p>
    <w:p>
      <w:pPr>
        <w:pStyle w:val="Heading1"/>
        <w:spacing w:before="320" w:after="160"/>
      </w:pPr>
      <w:r>
        <w:rPr>
          <w:rFonts w:ascii="Arial" w:cs="Arial" w:eastAsia="Arial" w:hAnsi="Arial"/>
          <w:b/>
          <w:bCs/>
          <w:color w:val="1E3A5F"/>
          <w:sz w:val="32"/>
          <w:szCs w:val="32"/>
        </w:rPr>
        <w:t xml:space="preserve">I. Response to Your Blog: Assessing the State of the Art</w:t>
      </w:r>
    </w:p>
    <w:p>
      <w:pPr>
        <w:spacing w:before="60" w:after="80"/>
      </w:pPr>
      <w:r>
        <w:rPr>
          <w:rFonts w:ascii="Arial" w:cs="Arial" w:eastAsia="Arial" w:hAnsi="Arial"/>
          <w:sz w:val="22"/>
          <w:szCs w:val="22"/>
        </w:rPr>
        <w:t xml:space="preserve">Your blog articulates a thesis that is both urgent and architecturally sophisticated. The core argument — that narrow AI deployed in a glass-box, open-source framework serves patients better than trillion-parameter AGI black boxes — is well-supported by the emerging literature. Several threads deserve direct engagement:</w:t>
      </w:r>
    </w:p>
    <w:p>
      <w:pPr>
        <w:spacing w:before="120" w:after="0"/>
      </w:pPr>
    </w:p>
    <w:p>
      <w:pPr>
        <w:spacing w:before="180" w:after="80"/>
      </w:pPr>
      <w:r>
        <w:rPr>
          <w:rFonts w:ascii="Arial" w:cs="Arial" w:eastAsia="Arial" w:hAnsi="Arial"/>
          <w:b/>
          <w:bCs/>
          <w:color w:val="444444"/>
          <w:sz w:val="22"/>
          <w:szCs w:val="22"/>
        </w:rPr>
        <w:t xml:space="preserve">On Agency and the Diminishment of Human Patients</w:t>
      </w:r>
    </w:p>
    <w:p>
      <w:pPr>
        <w:spacing w:before="60" w:after="80"/>
      </w:pPr>
      <w:r>
        <w:rPr>
          <w:rFonts w:ascii="Arial" w:cs="Arial" w:eastAsia="Arial" w:hAnsi="Arial"/>
          <w:sz w:val="22"/>
          <w:szCs w:val="22"/>
        </w:rPr>
        <w:t xml:space="preserve">Your critique of the ChatGPT Health model is sharp. You write that it is 'not clinical' — and the scholarship agrees. A 2024 JAMA Oncology study found that LLM chatbots produced longer, more detailed responses than oncologists but left unresolved safety concerns. The problem is not information volume; it is the absence of accountability, relationship, and clinical authority. Your Patient Advocate restores those things by making the AI a force-multiplier for patient rights rather than a substitute for clinical judgment.</w:t>
      </w:r>
    </w:p>
    <w:p>
      <w:pPr>
        <w:spacing w:before="40" w:after="40"/>
        <w:ind w:left="720"/>
      </w:pPr>
      <w:r>
        <w:rPr>
          <w:rFonts w:ascii="Arial" w:cs="Arial" w:eastAsia="Arial" w:hAnsi="Arial"/>
          <w:i/>
          <w:iCs/>
          <w:color w:val="666666"/>
          <w:sz w:val="18"/>
          <w:szCs w:val="18"/>
        </w:rPr>
        <w:t xml:space="preserve">Chen et al. (2024, JAMA Oncology): LLM responses to cancer questions from social media showed comparable empathy ratings to physicians but raised unresolved safety concerns.</w:t>
      </w:r>
    </w:p>
    <w:p>
      <w:pPr>
        <w:spacing w:before="180" w:after="80"/>
      </w:pPr>
      <w:r>
        <w:rPr>
          <w:rFonts w:ascii="Arial" w:cs="Arial" w:eastAsia="Arial" w:hAnsi="Arial"/>
          <w:b/>
          <w:bCs/>
          <w:color w:val="444444"/>
          <w:sz w:val="22"/>
          <w:szCs w:val="22"/>
        </w:rPr>
        <w:t xml:space="preserve">On the Open Source Philosophy and DeepSeek</w:t>
      </w:r>
    </w:p>
    <w:p>
      <w:pPr>
        <w:spacing w:before="60" w:after="80"/>
      </w:pPr>
      <w:r>
        <w:rPr>
          <w:rFonts w:ascii="Arial" w:cs="Arial" w:eastAsia="Arial" w:hAnsi="Arial"/>
          <w:sz w:val="22"/>
          <w:szCs w:val="22"/>
        </w:rPr>
        <w:t xml:space="preserve">Your argument that 'releasing a public domain model returns the technology to the commons — from which it was stolen via training runs on pirated writing and art' positions open source not merely as cost reduction but as restitution. This is a strong ethical and legal claim. It aligns with the WHO's 2024 guidance on AI ethics, which calls for multi-stakeholder governance and warns against proprietary lock-in in health AI. The EHR billing agent built on DeepSeek is the right first target — billing is where patient rights are most routinely violated, and automation of that process using free, auditable models closes an important equity gap.</w:t>
      </w:r>
    </w:p>
    <w:p>
      <w:pPr>
        <w:spacing w:before="40" w:after="40"/>
        <w:ind w:left="720"/>
      </w:pPr>
      <w:r>
        <w:rPr>
          <w:rFonts w:ascii="Arial" w:cs="Arial" w:eastAsia="Arial" w:hAnsi="Arial"/>
          <w:i/>
          <w:iCs/>
          <w:color w:val="666666"/>
          <w:sz w:val="18"/>
          <w:szCs w:val="18"/>
        </w:rPr>
        <w:t xml:space="preserve">WHO (2024): Guidance on AI ethics and governance for large multimodal models reiterates quality data requirements and advocates for multi-stakeholder frameworks.</w:t>
      </w:r>
    </w:p>
    <w:p>
      <w:pPr>
        <w:spacing w:before="180" w:after="80"/>
      </w:pPr>
      <w:r>
        <w:rPr>
          <w:rFonts w:ascii="Arial" w:cs="Arial" w:eastAsia="Arial" w:hAnsi="Arial"/>
          <w:b/>
          <w:bCs/>
          <w:color w:val="444444"/>
          <w:sz w:val="22"/>
          <w:szCs w:val="22"/>
        </w:rPr>
        <w:t xml:space="preserve">On AI Safety, the National Directorate, and the IAEA Model</w:t>
      </w:r>
    </w:p>
    <w:p>
      <w:pPr>
        <w:spacing w:before="60" w:after="80"/>
      </w:pPr>
      <w:r>
        <w:rPr>
          <w:rFonts w:ascii="Arial" w:cs="Arial" w:eastAsia="Arial" w:hAnsi="Arial"/>
          <w:sz w:val="22"/>
          <w:szCs w:val="22"/>
        </w:rPr>
        <w:t xml:space="preserve">Your proposal for a jointly run US-China agency analogous to the International Atomic Energy Agency is the most geopolitically ambitious claim on the blog. It is also the most realistic structural solution to proliferation risk in a domain where both superpowers share an existential interest. The Stanford Center for AI Safety and White House OSTP briefing the UN Security Council — followed by a framework presented at the India AI Impact Summit — is a sensible sequencing. The parallel to nuclear retaliation doctrine is apt: the value of the deterrence regime is that neither party needs to use the weapon. Stopping trillion-parameter training runs while implementing security intelligence on narrow AI use cases is the pump-brake strategy the field needs.</w:t>
      </w:r>
    </w:p>
    <w:p>
      <w:pPr>
        <w:spacing w:before="40" w:after="40"/>
        <w:ind w:left="720"/>
      </w:pPr>
      <w:r>
        <w:rPr>
          <w:rFonts w:ascii="Arial" w:cs="Arial" w:eastAsia="Arial" w:hAnsi="Arial"/>
          <w:i/>
          <w:iCs/>
          <w:color w:val="666666"/>
          <w:sz w:val="18"/>
          <w:szCs w:val="18"/>
        </w:rPr>
        <w:t xml:space="preserve">Hantel et al. (2024, JAMA Network Open): Perspectives of oncologists on ethical implications of AI for cancer care — calls for governance centered on human oversight and accountability.</w:t>
      </w:r>
    </w:p>
    <w:p>
      <w:pPr>
        <w:spacing w:before="180" w:after="80"/>
      </w:pPr>
      <w:r>
        <w:rPr>
          <w:rFonts w:ascii="Arial" w:cs="Arial" w:eastAsia="Arial" w:hAnsi="Arial"/>
          <w:b/>
          <w:bCs/>
          <w:color w:val="444444"/>
          <w:sz w:val="22"/>
          <w:szCs w:val="22"/>
        </w:rPr>
        <w:t xml:space="preserve">On Q-Griffithsin and the Pharmacology Stack</w:t>
      </w:r>
    </w:p>
    <w:p>
      <w:pPr>
        <w:spacing w:before="60" w:after="80"/>
      </w:pPr>
      <w:r>
        <w:rPr>
          <w:rFonts w:ascii="Arial" w:cs="Arial" w:eastAsia="Arial" w:hAnsi="Arial"/>
          <w:sz w:val="22"/>
          <w:szCs w:val="22"/>
        </w:rPr>
        <w:t xml:space="preserve">The lectin biologic strategy is underrated. Q-Griffithsin manufactured via E. coli or tobacco mosaic virus represents exactly the kind of low-cost, high-yield, open-access biologic that the patent thickets of Big Pharma are designed to prevent. The Decker et al. Frontiers publication is a legitimate scientific foundation. The optigenetic morphogenesis study of red algae you propose could unlock production yield improvements that make Q-Griffithsin pandemic-viable. This line of research is fundable through NIH SBIR/STTR and BARDA pandemic preparedness tracks.</w:t>
      </w:r>
    </w:p>
    <w:p>
      <w:pPr>
        <w:spacing w:before="40" w:after="40"/>
        <w:ind w:left="720"/>
      </w:pPr>
      <w:r>
        <w:rPr>
          <w:rFonts w:ascii="Arial" w:cs="Arial" w:eastAsia="Arial" w:hAnsi="Arial"/>
          <w:i/>
          <w:iCs/>
          <w:color w:val="666666"/>
          <w:sz w:val="18"/>
          <w:szCs w:val="18"/>
        </w:rPr>
        <w:t xml:space="preserve">Decker et al. (2020, Frontiers in Bioengineering and Biotechnology): Q-Griffithsin expression via E. coli — low-cost biologic manufacturing breakthrough.</w:t>
      </w:r>
    </w:p>
    <w:p>
      <w:pPr>
        <w:spacing w:before="180" w:after="80"/>
      </w:pPr>
      <w:r>
        <w:rPr>
          <w:rFonts w:ascii="Arial" w:cs="Arial" w:eastAsia="Arial" w:hAnsi="Arial"/>
          <w:b/>
          <w:bCs/>
          <w:color w:val="444444"/>
          <w:sz w:val="22"/>
          <w:szCs w:val="22"/>
        </w:rPr>
        <w:t xml:space="preserve">On Michael Levin and Top-Down Control</w:t>
      </w:r>
    </w:p>
    <w:p>
      <w:pPr>
        <w:spacing w:before="60" w:after="80"/>
      </w:pPr>
      <w:r>
        <w:rPr>
          <w:rFonts w:ascii="Arial" w:cs="Arial" w:eastAsia="Arial" w:hAnsi="Arial"/>
          <w:sz w:val="22"/>
          <w:szCs w:val="22"/>
        </w:rPr>
        <w:t xml:space="preserve">Levin's electroceutical cancer work and his bioelectric control theory of morphogenesis is the most generative theoretical frame you invoke. Applying it to the placebo effect study and to generative AI in holistic therapy is original. The key scientific bet is whether top-down informational interventions (bioelectric fields, AI-guided cognitive reframing) can produce measurable effects on tumor microenvironments — a question that Levin's lab has empirical traction on in planaria and Xenopus models. Extending it to human oncology with AI scaffolding is a legitimate Phase 3 research proposal.</w:t>
      </w:r>
    </w:p>
    <w:p>
      <w:pPr>
        <w:pBdr>
          <w:bottom w:val="single" w:color="2C6FAC" w:sz="6" w:space="1"/>
        </w:pBdr>
        <w:spacing w:before="120" w:after="120"/>
      </w:pPr>
    </w:p>
    <w:p>
      <w:pPr>
        <w:pStyle w:val="Heading1"/>
        <w:spacing w:before="320" w:after="160"/>
      </w:pPr>
      <w:r>
        <w:rPr>
          <w:rFonts w:ascii="Arial" w:cs="Arial" w:eastAsia="Arial" w:hAnsi="Arial"/>
          <w:b/>
          <w:bCs/>
          <w:color w:val="1E3A5F"/>
          <w:sz w:val="32"/>
          <w:szCs w:val="32"/>
        </w:rPr>
        <w:t xml:space="preserve">II. Scholarly Foundation</w:t>
      </w:r>
    </w:p>
    <w:p>
      <w:pPr>
        <w:spacing w:before="60" w:after="80"/>
      </w:pPr>
      <w:r>
        <w:rPr>
          <w:rFonts w:ascii="Arial" w:cs="Arial" w:eastAsia="Arial" w:hAnsi="Arial"/>
          <w:sz w:val="22"/>
          <w:szCs w:val="22"/>
        </w:rPr>
        <w:t xml:space="preserve">The Patient Advocate Platform is grounded in a growing body of peer-reviewed literature across five domains:</w:t>
      </w:r>
    </w:p>
    <w:p>
      <w:pPr>
        <w:spacing w:before="80" w:after="0"/>
      </w:pPr>
    </w:p>
    <w:p>
      <w:pPr>
        <w:spacing w:before="180" w:after="80"/>
      </w:pPr>
      <w:r>
        <w:rPr>
          <w:rFonts w:ascii="Arial" w:cs="Arial" w:eastAsia="Arial" w:hAnsi="Arial"/>
          <w:b/>
          <w:bCs/>
          <w:color w:val="444444"/>
          <w:sz w:val="22"/>
          <w:szCs w:val="22"/>
        </w:rPr>
        <w:t xml:space="preserve">2.1  Clinical AI in Oncology Scheduling</w:t>
      </w:r>
    </w:p>
    <w:p>
      <w:pPr>
        <w:pStyle w:val="ListParagraph"/>
        <w:numPr>
          <w:ilvl w:val="0"/>
          <w:numId w:val="2"/>
        </w:numPr>
        <w:spacing w:before="40" w:after="40"/>
      </w:pPr>
      <w:r>
        <w:rPr>
          <w:rFonts w:ascii="Arial" w:cs="Arial" w:eastAsia="Arial" w:hAnsi="Arial"/>
          <w:sz w:val="22"/>
          <w:szCs w:val="22"/>
        </w:rPr>
        <w:t xml:space="preserve">CADTH (2024): AI-based patient flow management tools reduce overcrowding and improve clinical outcomes by forecasting and monitoring patient movement from admission to discharge.</w:t>
      </w:r>
    </w:p>
    <w:p>
      <w:pPr>
        <w:pStyle w:val="ListParagraph"/>
        <w:numPr>
          <w:ilvl w:val="0"/>
          <w:numId w:val="2"/>
        </w:numPr>
        <w:spacing w:before="40" w:after="40"/>
      </w:pPr>
      <w:r>
        <w:rPr>
          <w:rFonts w:ascii="Arial" w:cs="Arial" w:eastAsia="Arial" w:hAnsi="Arial"/>
          <w:sz w:val="22"/>
          <w:szCs w:val="22"/>
        </w:rPr>
        <w:t xml:space="preserve">Hailey (2024, Oncology Practice Management): Multifaceted scheduling strategies — including technology-driven reminders and flexible rescheduling — are essential to oncology treatment adherence.</w:t>
      </w:r>
    </w:p>
    <w:p>
      <w:pPr>
        <w:pStyle w:val="ListParagraph"/>
        <w:numPr>
          <w:ilvl w:val="0"/>
          <w:numId w:val="2"/>
        </w:numPr>
        <w:spacing w:before="40" w:after="40"/>
      </w:pPr>
      <w:r>
        <w:rPr>
          <w:rFonts w:ascii="Arial" w:cs="Arial" w:eastAsia="Arial" w:hAnsi="Arial"/>
          <w:sz w:val="22"/>
          <w:szCs w:val="22"/>
        </w:rPr>
        <w:t xml:space="preserve">Steinberg et al. (2023) — MOTOR model: Time-to-event foundation model for risk stratification and proactive patient management in chronic and acute care settings.</w:t>
      </w:r>
    </w:p>
    <w:p>
      <w:pPr>
        <w:spacing w:before="180" w:after="80"/>
      </w:pPr>
      <w:r>
        <w:rPr>
          <w:rFonts w:ascii="Arial" w:cs="Arial" w:eastAsia="Arial" w:hAnsi="Arial"/>
          <w:b/>
          <w:bCs/>
          <w:color w:val="444444"/>
          <w:sz w:val="22"/>
          <w:szCs w:val="22"/>
        </w:rPr>
        <w:t xml:space="preserve">2.2  Ethics and Legal Accountability</w:t>
      </w:r>
    </w:p>
    <w:p>
      <w:pPr>
        <w:pStyle w:val="ListParagraph"/>
        <w:numPr>
          <w:ilvl w:val="0"/>
          <w:numId w:val="2"/>
        </w:numPr>
        <w:spacing w:before="40" w:after="40"/>
      </w:pPr>
      <w:r>
        <w:rPr>
          <w:rFonts w:ascii="Arial" w:cs="Arial" w:eastAsia="Arial" w:hAnsi="Arial"/>
          <w:sz w:val="22"/>
          <w:szCs w:val="22"/>
        </w:rPr>
        <w:t xml:space="preserve">Carey (2024, Advances in Consumer Research): Hospitals should require 'model facts labels,' uncertainty bounds, failure-mode documentation, and audit logs to support complaints and litigation.</w:t>
      </w:r>
    </w:p>
    <w:p>
      <w:pPr>
        <w:pStyle w:val="ListParagraph"/>
        <w:numPr>
          <w:ilvl w:val="0"/>
          <w:numId w:val="2"/>
        </w:numPr>
        <w:spacing w:before="40" w:after="40"/>
      </w:pPr>
      <w:r>
        <w:rPr>
          <w:rFonts w:ascii="Arial" w:cs="Arial" w:eastAsia="Arial" w:hAnsi="Arial"/>
          <w:sz w:val="22"/>
          <w:szCs w:val="22"/>
        </w:rPr>
        <w:t xml:space="preserve">Hantel et al. (2024, JAMA Network Open): Oncologists identify transparency, accountability, and patient autonomy as the core ethical requirements for clinical AI deployment.</w:t>
      </w:r>
    </w:p>
    <w:p>
      <w:pPr>
        <w:pStyle w:val="ListParagraph"/>
        <w:numPr>
          <w:ilvl w:val="0"/>
          <w:numId w:val="2"/>
        </w:numPr>
        <w:spacing w:before="40" w:after="40"/>
      </w:pPr>
      <w:r>
        <w:rPr>
          <w:rFonts w:ascii="Arial" w:cs="Arial" w:eastAsia="Arial" w:hAnsi="Arial"/>
          <w:sz w:val="22"/>
          <w:szCs w:val="22"/>
        </w:rPr>
        <w:t xml:space="preserve">EU AI Act (2024): Classifies many health AI applications as 'high-risk,' requiring conformity assessment and post-market surveillance — directly applicable to the Advocate's scheduling and diagnosis-adjacent modules.</w:t>
      </w:r>
    </w:p>
    <w:p>
      <w:pPr>
        <w:pStyle w:val="ListParagraph"/>
        <w:numPr>
          <w:ilvl w:val="0"/>
          <w:numId w:val="2"/>
        </w:numPr>
        <w:spacing w:before="40" w:after="40"/>
      </w:pPr>
      <w:r>
        <w:rPr>
          <w:rFonts w:ascii="Arial" w:cs="Arial" w:eastAsia="Arial" w:hAnsi="Arial"/>
          <w:sz w:val="22"/>
          <w:szCs w:val="22"/>
        </w:rPr>
        <w:t xml:space="preserve">Sauerbrei et al. (2023): Concrete steps are needed to ensure AI tools positively impact doctor-patient relationships — empathy, trust, shared decision-making, and compassion must be preserved.</w:t>
      </w:r>
    </w:p>
    <w:p>
      <w:pPr>
        <w:spacing w:before="180" w:after="80"/>
      </w:pPr>
      <w:r>
        <w:rPr>
          <w:rFonts w:ascii="Arial" w:cs="Arial" w:eastAsia="Arial" w:hAnsi="Arial"/>
          <w:b/>
          <w:bCs/>
          <w:color w:val="444444"/>
          <w:sz w:val="22"/>
          <w:szCs w:val="22"/>
        </w:rPr>
        <w:t xml:space="preserve">2.3  Explainability and Glass Box Design</w:t>
      </w:r>
    </w:p>
    <w:p>
      <w:pPr>
        <w:pStyle w:val="ListParagraph"/>
        <w:numPr>
          <w:ilvl w:val="0"/>
          <w:numId w:val="2"/>
        </w:numPr>
        <w:spacing w:before="40" w:after="40"/>
      </w:pPr>
      <w:r>
        <w:rPr>
          <w:rFonts w:ascii="Arial" w:cs="Arial" w:eastAsia="Arial" w:hAnsi="Arial"/>
          <w:sz w:val="22"/>
          <w:szCs w:val="22"/>
        </w:rPr>
        <w:t xml:space="preserve">Flora &amp; Pearl (2024, MiBA Community Summit / OncLive): AI tools that reduce decision fatigue must augment — not replace — oncologist judgment; explainability is the technical prerequisite.</w:t>
      </w:r>
    </w:p>
    <w:p>
      <w:pPr>
        <w:pStyle w:val="ListParagraph"/>
        <w:numPr>
          <w:ilvl w:val="0"/>
          <w:numId w:val="2"/>
        </w:numPr>
        <w:spacing w:before="40" w:after="40"/>
      </w:pPr>
      <w:r>
        <w:rPr>
          <w:rFonts w:ascii="Arial" w:cs="Arial" w:eastAsia="Arial" w:hAnsi="Arial"/>
          <w:sz w:val="22"/>
          <w:szCs w:val="22"/>
        </w:rPr>
        <w:t xml:space="preserve">PMC / Cancer Discovery (2024): Explainable AI (XAI) in oncology is a highly active research area; 'black box' models face adoption barriers due to liability and reimbursement gaps.</w:t>
      </w:r>
    </w:p>
    <w:p>
      <w:pPr>
        <w:pStyle w:val="ListParagraph"/>
        <w:numPr>
          <w:ilvl w:val="0"/>
          <w:numId w:val="2"/>
        </w:numPr>
        <w:spacing w:before="40" w:after="40"/>
      </w:pPr>
      <w:r>
        <w:rPr>
          <w:rFonts w:ascii="Arial" w:cs="Arial" w:eastAsia="Arial" w:hAnsi="Arial"/>
          <w:sz w:val="22"/>
          <w:szCs w:val="22"/>
        </w:rPr>
        <w:t xml:space="preserve">Trabulsi (2024, Dartmouth): Oversampling underrepresented communities to reduce algorithmic bias is an ethical imperative — directly applicable to the Clinical Concierge's maternal embodiment and the Patient Advocate's scheduling equity goals.</w:t>
      </w:r>
    </w:p>
    <w:p>
      <w:pPr>
        <w:spacing w:before="180" w:after="80"/>
      </w:pPr>
      <w:r>
        <w:rPr>
          <w:rFonts w:ascii="Arial" w:cs="Arial" w:eastAsia="Arial" w:hAnsi="Arial"/>
          <w:b/>
          <w:bCs/>
          <w:color w:val="444444"/>
          <w:sz w:val="22"/>
          <w:szCs w:val="22"/>
        </w:rPr>
        <w:t xml:space="preserve">2.4  Legal Frameworks for Patient Rights</w:t>
      </w:r>
    </w:p>
    <w:p>
      <w:pPr>
        <w:pStyle w:val="ListParagraph"/>
        <w:numPr>
          <w:ilvl w:val="0"/>
          <w:numId w:val="2"/>
        </w:numPr>
        <w:spacing w:before="40" w:after="40"/>
      </w:pPr>
      <w:r>
        <w:rPr>
          <w:rFonts w:ascii="Arial" w:cs="Arial" w:eastAsia="Arial" w:hAnsi="Arial"/>
          <w:sz w:val="22"/>
          <w:szCs w:val="22"/>
        </w:rPr>
        <w:t xml:space="preserve">Royal Society Open Science (2025): Policymakers must establish regulatory bodies involving AI experts, healthcare professionals, ethicists, and patient advocacy groups.</w:t>
      </w:r>
    </w:p>
    <w:p>
      <w:pPr>
        <w:pStyle w:val="ListParagraph"/>
        <w:numPr>
          <w:ilvl w:val="0"/>
          <w:numId w:val="2"/>
        </w:numPr>
        <w:spacing w:before="40" w:after="40"/>
      </w:pPr>
      <w:r>
        <w:rPr>
          <w:rFonts w:ascii="Arial" w:cs="Arial" w:eastAsia="Arial" w:hAnsi="Arial"/>
          <w:sz w:val="22"/>
          <w:szCs w:val="22"/>
        </w:rPr>
        <w:t xml:space="preserve">BMC Medical Ethics (2025): The 'automation bias' risk — clinicians over-relying on AI — calls for preserved human review rights in all AI-assisted clinical decisions.</w:t>
      </w:r>
    </w:p>
    <w:p>
      <w:pPr>
        <w:pStyle w:val="ListParagraph"/>
        <w:numPr>
          <w:ilvl w:val="0"/>
          <w:numId w:val="2"/>
        </w:numPr>
        <w:spacing w:before="40" w:after="40"/>
      </w:pPr>
      <w:r>
        <w:rPr>
          <w:rFonts w:ascii="Arial" w:cs="Arial" w:eastAsia="Arial" w:hAnsi="Arial"/>
          <w:sz w:val="22"/>
          <w:szCs w:val="22"/>
        </w:rPr>
        <w:t xml:space="preserve">WHO (2024): Governance architectures must center human oversight, transparency, accountability, and equity, including controls for hallucinations, provenance, and model updates.</w:t>
      </w:r>
    </w:p>
    <w:p>
      <w:pPr>
        <w:pBdr>
          <w:bottom w:val="single" w:color="2C6FAC" w:sz="6" w:space="1"/>
        </w:pBdr>
        <w:spacing w:before="120" w:after="120"/>
      </w:pPr>
    </w:p>
    <w:p>
      <w:pPr>
        <w:pStyle w:val="Heading1"/>
        <w:spacing w:before="320" w:after="160"/>
      </w:pPr>
      <w:r>
        <w:rPr>
          <w:rFonts w:ascii="Arial" w:cs="Arial" w:eastAsia="Arial" w:hAnsi="Arial"/>
          <w:b/>
          <w:bCs/>
          <w:color w:val="1E3A5F"/>
          <w:sz w:val="32"/>
          <w:szCs w:val="32"/>
        </w:rPr>
        <w:t xml:space="preserve">III. Plan of Action</w:t>
      </w:r>
    </w:p>
    <w:p>
      <w:pPr>
        <w:pStyle w:val="Heading2"/>
        <w:spacing w:before="240" w:after="120"/>
      </w:pPr>
      <w:r>
        <w:rPr>
          <w:rFonts w:ascii="Arial" w:cs="Arial" w:eastAsia="Arial" w:hAnsi="Arial"/>
          <w:b/>
          <w:bCs/>
          <w:color w:val="2C6FAC"/>
          <w:sz w:val="26"/>
          <w:szCs w:val="26"/>
        </w:rPr>
        <w:t xml:space="preserve">Phase 1 (Now — Month 4): Calendar &amp; Planner Module</w:t>
      </w:r>
    </w:p>
    <w:p>
      <w:pPr>
        <w:spacing w:before="60" w:after="80"/>
      </w:pPr>
      <w:r>
        <w:rPr>
          <w:rFonts w:ascii="Arial" w:cs="Arial" w:eastAsia="Arial" w:hAnsi="Arial"/>
          <w:sz w:val="22"/>
          <w:szCs w:val="22"/>
        </w:rPr>
        <w:t xml:space="preserve">The calendar agent is the correct starting point. It is clinically consequential, technically achievable in Phase 1, and builds patient trust through visible, low-stakes helpfulness before the system moves into higher-stakes clinical territory.</w:t>
      </w:r>
    </w:p>
    <w:p>
      <w:pPr>
        <w:spacing w:before="80" w:after="0"/>
      </w:pPr>
    </w:p>
    <w:p>
      <w:pPr>
        <w:spacing w:before="180" w:after="80"/>
      </w:pPr>
      <w:r>
        <w:rPr>
          <w:rFonts w:ascii="Arial" w:cs="Arial" w:eastAsia="Arial" w:hAnsi="Arial"/>
          <w:b/>
          <w:bCs/>
          <w:color w:val="444444"/>
          <w:sz w:val="22"/>
          <w:szCs w:val="22"/>
        </w:rPr>
        <w:t xml:space="preserve">Immediate Implementation (Weeks 1-2)</w:t>
      </w:r>
    </w:p>
    <w:p>
      <w:pPr>
        <w:pStyle w:val="ListParagraph"/>
        <w:numPr>
          <w:ilvl w:val="0"/>
          <w:numId w:val="2"/>
        </w:numPr>
        <w:spacing w:before="40" w:after="40"/>
      </w:pPr>
      <w:r>
        <w:rPr>
          <w:rFonts w:ascii="Arial" w:cs="Arial" w:eastAsia="Arial" w:hAnsi="Arial"/>
          <w:sz w:val="22"/>
          <w:szCs w:val="22"/>
        </w:rPr>
        <w:t xml:space="preserve">Deploy patient_advocate_calendar.py into the existing LangGraph graph — plug in at the master_brain router alongside the clinical_trials_agent and existing calendar_agent stub.</w:t>
      </w:r>
    </w:p>
    <w:p>
      <w:pPr>
        <w:pStyle w:val="ListParagraph"/>
        <w:numPr>
          <w:ilvl w:val="0"/>
          <w:numId w:val="2"/>
        </w:numPr>
        <w:spacing w:before="40" w:after="40"/>
      </w:pPr>
      <w:r>
        <w:rPr>
          <w:rFonts w:ascii="Arial" w:cs="Arial" w:eastAsia="Arial" w:hAnsi="Arial"/>
          <w:sz w:val="22"/>
          <w:szCs w:val="22"/>
        </w:rPr>
        <w:t xml:space="preserve">Connect CalendarIntelligenceEngine to the vision agent OCR output: parsed ANC, WBC, and fatigue scores from lab screenshots automatically populate lab_values and symptom_log.</w:t>
      </w:r>
    </w:p>
    <w:p>
      <w:pPr>
        <w:pStyle w:val="ListParagraph"/>
        <w:numPr>
          <w:ilvl w:val="0"/>
          <w:numId w:val="2"/>
        </w:numPr>
        <w:spacing w:before="40" w:after="40"/>
      </w:pPr>
      <w:r>
        <w:rPr>
          <w:rFonts w:ascii="Arial" w:cs="Arial" w:eastAsia="Arial" w:hAnsi="Arial"/>
          <w:sz w:val="22"/>
          <w:szCs w:val="22"/>
        </w:rPr>
        <w:t xml:space="preserve">Implement the Glass Box audit trail (transparency_report) as a PostgreSQL table: event_id, suggestion_id, conflict_type, confidence, scholarly_basis, patient_decision, timestamp.</w:t>
      </w:r>
    </w:p>
    <w:p>
      <w:pPr>
        <w:spacing w:before="180" w:after="80"/>
      </w:pPr>
      <w:r>
        <w:rPr>
          <w:rFonts w:ascii="Arial" w:cs="Arial" w:eastAsia="Arial" w:hAnsi="Arial"/>
          <w:b/>
          <w:bCs/>
          <w:color w:val="444444"/>
          <w:sz w:val="22"/>
          <w:szCs w:val="22"/>
        </w:rPr>
        <w:t xml:space="preserve">Weeks 3-6: Human-in-the-Loop Gate</w:t>
      </w:r>
    </w:p>
    <w:p>
      <w:pPr>
        <w:pStyle w:val="ListParagraph"/>
        <w:numPr>
          <w:ilvl w:val="0"/>
          <w:numId w:val="2"/>
        </w:numPr>
        <w:spacing w:before="40" w:after="40"/>
      </w:pPr>
      <w:r>
        <w:rPr>
          <w:rFonts w:ascii="Arial" w:cs="Arial" w:eastAsia="Arial" w:hAnsi="Arial"/>
          <w:sz w:val="22"/>
          <w:szCs w:val="22"/>
        </w:rPr>
        <w:t xml:space="preserve">Build the React Native push notification approval flow: patient receives a card with the AI's reasoning, the scholarly basis, and two buttons — Approve / Reject.</w:t>
      </w:r>
    </w:p>
    <w:p>
      <w:pPr>
        <w:pStyle w:val="ListParagraph"/>
        <w:numPr>
          <w:ilvl w:val="0"/>
          <w:numId w:val="2"/>
        </w:numPr>
        <w:spacing w:before="40" w:after="40"/>
      </w:pPr>
      <w:r>
        <w:rPr>
          <w:rFonts w:ascii="Arial" w:cs="Arial" w:eastAsia="Arial" w:hAnsi="Arial"/>
          <w:sz w:val="22"/>
          <w:szCs w:val="22"/>
        </w:rPr>
        <w:t xml:space="preserve">Rejected suggestions feed the RLHF store: patient preferences retrain the scheduling heuristics (fatigue threshold, nadir window tolerance) on a per-patient basis.</w:t>
      </w:r>
    </w:p>
    <w:p>
      <w:pPr>
        <w:pStyle w:val="ListParagraph"/>
        <w:numPr>
          <w:ilvl w:val="0"/>
          <w:numId w:val="2"/>
        </w:numPr>
        <w:spacing w:before="40" w:after="40"/>
      </w:pPr>
      <w:r>
        <w:rPr>
          <w:rFonts w:ascii="Arial" w:cs="Arial" w:eastAsia="Arial" w:hAnsi="Arial"/>
          <w:sz w:val="22"/>
          <w:szCs w:val="22"/>
        </w:rPr>
        <w:t xml:space="preserve">Wire the ethics_flags field to a dashboard visible to the human case manager (optional premium tier from the roadmap).</w:t>
      </w:r>
    </w:p>
    <w:p>
      <w:pPr>
        <w:pStyle w:val="Heading2"/>
        <w:spacing w:before="240" w:after="120"/>
      </w:pPr>
      <w:r>
        <w:rPr>
          <w:rFonts w:ascii="Arial" w:cs="Arial" w:eastAsia="Arial" w:hAnsi="Arial"/>
          <w:b/>
          <w:bCs/>
          <w:color w:val="2C6FAC"/>
          <w:sz w:val="26"/>
          <w:szCs w:val="26"/>
        </w:rPr>
        <w:t xml:space="preserve">Phase 2 (Months 5-9): RAG Integration &amp; Legal Module</w:t>
      </w:r>
    </w:p>
    <w:p>
      <w:pPr>
        <w:spacing w:before="60" w:after="80"/>
      </w:pPr>
      <w:r>
        <w:rPr>
          <w:rFonts w:ascii="Arial" w:cs="Arial" w:eastAsia="Arial" w:hAnsi="Arial"/>
          <w:sz w:val="22"/>
          <w:szCs w:val="22"/>
        </w:rPr>
        <w:t xml:space="preserve">Once the calendar agent has established trust and accumulated patient preference data, the system is ready to connect scheduling intelligence to clinical knowledge and legal action.</w:t>
      </w:r>
    </w:p>
    <w:p>
      <w:pPr>
        <w:spacing w:before="180" w:after="80"/>
      </w:pPr>
      <w:r>
        <w:rPr>
          <w:rFonts w:ascii="Arial" w:cs="Arial" w:eastAsia="Arial" w:hAnsi="Arial"/>
          <w:b/>
          <w:bCs/>
          <w:color w:val="444444"/>
          <w:sz w:val="22"/>
          <w:szCs w:val="22"/>
        </w:rPr>
        <w:t xml:space="preserve">RAG + ClinicalTrials.gov</w:t>
      </w:r>
    </w:p>
    <w:p>
      <w:pPr>
        <w:pStyle w:val="ListParagraph"/>
        <w:numPr>
          <w:ilvl w:val="0"/>
          <w:numId w:val="2"/>
        </w:numPr>
        <w:spacing w:before="40" w:after="40"/>
      </w:pPr>
      <w:r>
        <w:rPr>
          <w:rFonts w:ascii="Arial" w:cs="Arial" w:eastAsia="Arial" w:hAnsi="Arial"/>
          <w:sz w:val="22"/>
          <w:szCs w:val="22"/>
        </w:rPr>
        <w:t xml:space="preserve">Nightly Research Agent scan: for each patient's vector profile (diagnosis, regimen, lab history), query ClinicalTrials.gov API for trials with scheduling constraints compatible with the patient's calendar — i.e., trials that don't conflict with their nadir windows.</w:t>
      </w:r>
    </w:p>
    <w:p>
      <w:pPr>
        <w:pStyle w:val="ListParagraph"/>
        <w:numPr>
          <w:ilvl w:val="0"/>
          <w:numId w:val="2"/>
        </w:numPr>
        <w:spacing w:before="40" w:after="40"/>
      </w:pPr>
      <w:r>
        <w:rPr>
          <w:rFonts w:ascii="Arial" w:cs="Arial" w:eastAsia="Arial" w:hAnsi="Arial"/>
          <w:sz w:val="22"/>
          <w:szCs w:val="22"/>
        </w:rPr>
        <w:t xml:space="preserve">Sethi-Vision Agent upgrade: move from PyTesseract OCR to a multimodal vision model capable of flagging scan anomalies (not just extracting text), feeding findings directly to the calendar risk engine.</w:t>
      </w:r>
    </w:p>
    <w:p>
      <w:pPr>
        <w:spacing w:before="180" w:after="80"/>
      </w:pPr>
      <w:r>
        <w:rPr>
          <w:rFonts w:ascii="Arial" w:cs="Arial" w:eastAsia="Arial" w:hAnsi="Arial"/>
          <w:b/>
          <w:bCs/>
          <w:color w:val="444444"/>
          <w:sz w:val="22"/>
          <w:szCs w:val="22"/>
        </w:rPr>
        <w:t xml:space="preserve">Ethics Complaint &amp; Legal Motion Module (Phase 2 → 4)</w:t>
      </w:r>
    </w:p>
    <w:p>
      <w:pPr>
        <w:pStyle w:val="ListParagraph"/>
        <w:numPr>
          <w:ilvl w:val="0"/>
          <w:numId w:val="2"/>
        </w:numPr>
        <w:spacing w:before="40" w:after="40"/>
      </w:pPr>
      <w:r>
        <w:rPr>
          <w:rFonts w:ascii="Arial" w:cs="Arial" w:eastAsia="Arial" w:hAnsi="Arial"/>
          <w:sz w:val="22"/>
          <w:szCs w:val="22"/>
        </w:rPr>
        <w:t xml:space="preserve">legal_action_queue is already populated by the ethics_screener_node. Phase 2 builds the filing interface:</w:t>
      </w:r>
    </w:p>
    <w:p>
      <w:pPr>
        <w:pStyle w:val="ListParagraph"/>
        <w:numPr>
          <w:ilvl w:val="0"/>
          <w:numId w:val="2"/>
        </w:numPr>
        <w:spacing w:before="40" w:after="40"/>
      </w:pPr>
      <w:r>
        <w:rPr>
          <w:rFonts w:ascii="Arial" w:cs="Arial" w:eastAsia="Arial" w:hAnsi="Arial"/>
          <w:sz w:val="22"/>
          <w:szCs w:val="22"/>
        </w:rPr>
        <w:t xml:space="preserve">Insurance denial detection: if an approved HIGH-priority calendar event (e.g., infusion) is cancelled or delayed by a payer without clinical justification, the system drafts an internal appeal letter using a template RAG chain.</w:t>
      </w:r>
    </w:p>
    <w:p>
      <w:pPr>
        <w:pStyle w:val="ListParagraph"/>
        <w:numPr>
          <w:ilvl w:val="0"/>
          <w:numId w:val="2"/>
        </w:numPr>
        <w:spacing w:before="40" w:after="40"/>
      </w:pPr>
      <w:r>
        <w:rPr>
          <w:rFonts w:ascii="Arial" w:cs="Arial" w:eastAsia="Arial" w:hAnsi="Arial"/>
          <w:sz w:val="22"/>
          <w:szCs w:val="22"/>
        </w:rPr>
        <w:t xml:space="preserve">State medical board complaint drafting: if the system detects repeated clinically unjustified scheduling obstructions by a provider, it drafts a formal complaint citing HIPAA, AMA ethics codes, and state licensing board standards — always flagged for attorney review before filing.</w:t>
      </w:r>
    </w:p>
    <w:p>
      <w:pPr>
        <w:pStyle w:val="ListParagraph"/>
        <w:numPr>
          <w:ilvl w:val="0"/>
          <w:numId w:val="2"/>
        </w:numPr>
        <w:spacing w:before="40" w:after="40"/>
      </w:pPr>
      <w:r>
        <w:rPr>
          <w:rFonts w:ascii="Arial" w:cs="Arial" w:eastAsia="Arial" w:hAnsi="Arial"/>
          <w:sz w:val="22"/>
          <w:szCs w:val="22"/>
        </w:rPr>
        <w:t xml:space="preserve">Federal complaint preparation: for systemic patterns (e.g., insurer repeatedly denying medically necessary scheduling changes), the system pre-populates CMS complaint forms and, where warranted, drafts demand letters for civil litigation — attorney-in-the-loop required at every step.</w:t>
      </w:r>
    </w:p>
    <w:p>
      <w:pPr>
        <w:spacing w:before="40" w:after="40"/>
        <w:ind w:left="720"/>
      </w:pPr>
      <w:r>
        <w:rPr>
          <w:rFonts w:ascii="Arial" w:cs="Arial" w:eastAsia="Arial" w:hAnsi="Arial"/>
          <w:i/>
          <w:iCs/>
          <w:color w:val="666666"/>
          <w:sz w:val="18"/>
          <w:szCs w:val="18"/>
        </w:rPr>
        <w:t xml:space="preserve">Carey (2024): Audit logs support ex post explanations in complaint or litigation — the Glass Box design is the legal record.</w:t>
      </w:r>
    </w:p>
    <w:p>
      <w:pPr>
        <w:pStyle w:val="Heading2"/>
        <w:spacing w:before="240" w:after="120"/>
      </w:pPr>
      <w:r>
        <w:rPr>
          <w:rFonts w:ascii="Arial" w:cs="Arial" w:eastAsia="Arial" w:hAnsi="Arial"/>
          <w:b/>
          <w:bCs/>
          <w:color w:val="2C6FAC"/>
          <w:sz w:val="26"/>
          <w:szCs w:val="26"/>
        </w:rPr>
        <w:t xml:space="preserve">Phase 3 (Months 10-18+): Autonomous Advocate</w:t>
      </w:r>
    </w:p>
    <w:p>
      <w:pPr>
        <w:spacing w:before="60" w:after="80"/>
      </w:pPr>
      <w:r>
        <w:rPr>
          <w:rFonts w:ascii="Arial" w:cs="Arial" w:eastAsia="Arial" w:hAnsi="Arial"/>
          <w:sz w:val="22"/>
          <w:szCs w:val="22"/>
        </w:rPr>
        <w:t xml:space="preserve">The System 2 master brain begins proactive planning across clinical, logistical, and legal domains:</w:t>
      </w:r>
    </w:p>
    <w:p>
      <w:pPr>
        <w:pStyle w:val="ListParagraph"/>
        <w:numPr>
          <w:ilvl w:val="0"/>
          <w:numId w:val="2"/>
        </w:numPr>
        <w:spacing w:before="40" w:after="40"/>
      </w:pPr>
      <w:r>
        <w:rPr>
          <w:rFonts w:ascii="Arial" w:cs="Arial" w:eastAsia="Arial" w:hAnsi="Arial"/>
          <w:sz w:val="22"/>
          <w:szCs w:val="22"/>
        </w:rPr>
        <w:t xml:space="preserve">Wearable integration (Apple HealthKit / Fitbit): real-time heart rate variability and sleep data feed the fatigue risk model, enabling same-day calendar adjustments before the patient even reports symptoms.</w:t>
      </w:r>
    </w:p>
    <w:p>
      <w:pPr>
        <w:pStyle w:val="ListParagraph"/>
        <w:numPr>
          <w:ilvl w:val="0"/>
          <w:numId w:val="2"/>
        </w:numPr>
        <w:spacing w:before="40" w:after="40"/>
      </w:pPr>
      <w:r>
        <w:rPr>
          <w:rFonts w:ascii="Arial" w:cs="Arial" w:eastAsia="Arial" w:hAnsi="Arial"/>
          <w:sz w:val="22"/>
          <w:szCs w:val="22"/>
        </w:rPr>
        <w:t xml:space="preserve">Insurance negotiation drafts: the Master Brain generates prior authorization requests, peer-to-peer review requests, and appeal letters as draft documents for patient approval — never sent without explicit sign-off.</w:t>
      </w:r>
    </w:p>
    <w:p>
      <w:pPr>
        <w:pStyle w:val="ListParagraph"/>
        <w:numPr>
          <w:ilvl w:val="0"/>
          <w:numId w:val="2"/>
        </w:numPr>
        <w:spacing w:before="40" w:after="40"/>
      </w:pPr>
      <w:r>
        <w:rPr>
          <w:rFonts w:ascii="Arial" w:cs="Arial" w:eastAsia="Arial" w:hAnsi="Arial"/>
          <w:sz w:val="22"/>
          <w:szCs w:val="22"/>
        </w:rPr>
        <w:t xml:space="preserve">Lawsuit preparation module: for cases where ethics flags and legal queue items meet a threshold of documented, systematic harm, the system assembles a case file (audit log + medical records + correspondence timeline) and identifies appropriate legal aid organizations or plaintiff attorneys — the system refers, never files autonomously.</w:t>
      </w:r>
    </w:p>
    <w:p>
      <w:pPr>
        <w:pStyle w:val="ListParagraph"/>
        <w:numPr>
          <w:ilvl w:val="0"/>
          <w:numId w:val="2"/>
        </w:numPr>
        <w:spacing w:before="40" w:after="40"/>
      </w:pPr>
      <w:r>
        <w:rPr>
          <w:rFonts w:ascii="Arial" w:cs="Arial" w:eastAsia="Arial" w:hAnsi="Arial"/>
          <w:sz w:val="22"/>
          <w:szCs w:val="22"/>
        </w:rPr>
        <w:t xml:space="preserve">RLHF continuous improvement: patient approval/rejection history, attorney feedback on legal drafts, and doctor portal validation of clinical suggestions all feed a fine-tuning pipeline on Llama-3 or equivalent open-source model — consistent with your DeepSeek philosophy.</w:t>
      </w:r>
    </w:p>
    <w:p>
      <w:pPr>
        <w:pBdr>
          <w:bottom w:val="single" w:color="2C6FAC" w:sz="6" w:space="1"/>
        </w:pBdr>
        <w:spacing w:before="120" w:after="120"/>
      </w:pPr>
    </w:p>
    <w:p>
      <w:pPr>
        <w:pStyle w:val="Heading1"/>
        <w:spacing w:before="320" w:after="160"/>
      </w:pPr>
      <w:r>
        <w:rPr>
          <w:rFonts w:ascii="Arial" w:cs="Arial" w:eastAsia="Arial" w:hAnsi="Arial"/>
          <w:b/>
          <w:bCs/>
          <w:color w:val="1E3A5F"/>
          <w:sz w:val="32"/>
          <w:szCs w:val="32"/>
        </w:rPr>
        <w:t xml:space="preserve">IV. Implementation: What Is Built Today</w:t>
      </w:r>
    </w:p>
    <w:p>
      <w:pPr>
        <w:spacing w:before="60" w:after="80"/>
      </w:pPr>
      <w:r>
        <w:rPr>
          <w:rFonts w:ascii="Arial" w:cs="Arial" w:eastAsia="Arial" w:hAnsi="Arial"/>
          <w:sz w:val="22"/>
          <w:szCs w:val="22"/>
        </w:rPr>
        <w:t xml:space="preserve">The following modules are implemented and ready for integration as of this document: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Module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File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Status</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2"/>
                <w:szCs w:val="22"/>
              </w:rPr>
              <w:t xml:space="preserve">Routing System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6FAC"/>
                <w:sz w:val="20"/>
                <w:szCs w:val="20"/>
              </w:rPr>
              <w:t xml:space="preserve">patient_advocate_routing_system.py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 Complete (Phase 1)</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2"/>
                <w:szCs w:val="22"/>
              </w:rPr>
              <w:t xml:space="preserve">Vision / OCR Agent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6FAC"/>
                <w:sz w:val="20"/>
                <w:szCs w:val="20"/>
              </w:rPr>
              <w:t xml:space="preserve">patient_advocate_vision_system.py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 Complete (Phase 1)</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2"/>
                <w:szCs w:val="22"/>
              </w:rPr>
              <w:t xml:space="preserve">Calendar &amp; Planner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6FAC"/>
                <w:sz w:val="20"/>
                <w:szCs w:val="20"/>
              </w:rPr>
              <w:t xml:space="preserve">patient_advocate_calendar.py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 Built — ready to plug in</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2"/>
                <w:szCs w:val="22"/>
              </w:rPr>
              <w:t xml:space="preserve">HITL Approval Gate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6FAC"/>
                <w:sz w:val="20"/>
                <w:szCs w:val="20"/>
              </w:rPr>
              <w:t xml:space="preserve">patient_advocate_calendar.py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 Simulated — needs mobile UI</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2"/>
                <w:szCs w:val="22"/>
              </w:rPr>
              <w:t xml:space="preserve">Ethics Screener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6FAC"/>
                <w:sz w:val="20"/>
                <w:szCs w:val="20"/>
              </w:rPr>
              <w:t xml:space="preserve">patient_advocate_calendar.py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 Implemented — queues legal items</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2"/>
                <w:szCs w:val="22"/>
              </w:rPr>
              <w:t xml:space="preserve">Legal Action Module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6FAC"/>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 Phase 2 — attorney API integration</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2"/>
                <w:szCs w:val="22"/>
              </w:rPr>
              <w:t xml:space="preserve">RAG / Trials Agent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6FAC"/>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 Phase 2 — ClinicalTrials.gov API</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2"/>
                <w:szCs w:val="22"/>
              </w:rPr>
              <w:t xml:space="preserve">Wearable Integration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2C6FAC"/>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 Phase 3 — HealthKit / Fitbit</w:t>
            </w:r>
          </w:p>
        </w:tc>
      </w:tr>
    </w:tbl>
    <w:p>
      <w:pPr>
        <w:spacing w:before="120" w:after="0"/>
      </w:pPr>
    </w:p>
    <w:p>
      <w:pPr>
        <w:pBdr>
          <w:bottom w:val="single" w:color="2C6FAC" w:sz="6" w:space="1"/>
        </w:pBdr>
        <w:spacing w:before="120" w:after="120"/>
      </w:pPr>
    </w:p>
    <w:p>
      <w:pPr>
        <w:pStyle w:val="Heading1"/>
        <w:spacing w:before="320" w:after="160"/>
      </w:pPr>
      <w:r>
        <w:rPr>
          <w:rFonts w:ascii="Arial" w:cs="Arial" w:eastAsia="Arial" w:hAnsi="Arial"/>
          <w:b/>
          <w:bCs/>
          <w:color w:val="1E3A5F"/>
          <w:sz w:val="32"/>
          <w:szCs w:val="32"/>
        </w:rPr>
        <w:t xml:space="preserve">V. Scholarly References</w:t>
      </w:r>
    </w:p>
    <w:p>
      <w:pPr>
        <w:spacing w:before="40" w:after="40"/>
        <w:ind w:left="720"/>
      </w:pPr>
      <w:r>
        <w:rPr>
          <w:rFonts w:ascii="Arial" w:cs="Arial" w:eastAsia="Arial" w:hAnsi="Arial"/>
          <w:i/>
          <w:iCs/>
          <w:color w:val="666666"/>
          <w:sz w:val="18"/>
          <w:szCs w:val="18"/>
        </w:rPr>
        <w:t xml:space="preserve">1. Steinberg et al. (2023). MOTOR: Time-to-event foundation model for risk stratification. Cited in: arXiv:2503.05768v1.</w:t>
      </w:r>
    </w:p>
    <w:p>
      <w:pPr>
        <w:spacing w:before="40" w:after="40"/>
        <w:ind w:left="720"/>
      </w:pPr>
      <w:r>
        <w:rPr>
          <w:rFonts w:ascii="Arial" w:cs="Arial" w:eastAsia="Arial" w:hAnsi="Arial"/>
          <w:i/>
          <w:iCs/>
          <w:color w:val="666666"/>
          <w:sz w:val="18"/>
          <w:szCs w:val="18"/>
        </w:rPr>
        <w:t xml:space="preserve">2. Canadian Agency for Drugs and Technologies in Health — CADTH (2024). Artificial Intelligence for Patient Flow: Emerging Health Technologies. Ottawa: CADTH.</w:t>
      </w:r>
    </w:p>
    <w:p>
      <w:pPr>
        <w:spacing w:before="40" w:after="40"/>
        <w:ind w:left="720"/>
      </w:pPr>
      <w:r>
        <w:rPr>
          <w:rFonts w:ascii="Arial" w:cs="Arial" w:eastAsia="Arial" w:hAnsi="Arial"/>
          <w:i/>
          <w:iCs/>
          <w:color w:val="666666"/>
          <w:sz w:val="18"/>
          <w:szCs w:val="18"/>
        </w:rPr>
        <w:t xml:space="preserve">3. Hailey, J. (2024). 5 Strategies for Managing Patient Scheduling Challenges in an Oncology Practice. Oncology Practice Management, 14(4).</w:t>
      </w:r>
    </w:p>
    <w:p>
      <w:pPr>
        <w:spacing w:before="40" w:after="40"/>
        <w:ind w:left="720"/>
      </w:pPr>
      <w:r>
        <w:rPr>
          <w:rFonts w:ascii="Arial" w:cs="Arial" w:eastAsia="Arial" w:hAnsi="Arial"/>
          <w:i/>
          <w:iCs/>
          <w:color w:val="666666"/>
          <w:sz w:val="18"/>
          <w:szCs w:val="18"/>
        </w:rPr>
        <w:t xml:space="preserve">4. Hantel, A., et al. (2024). Perspectives of oncologists on the ethical implications of using AI for cancer care. JAMA Network Open, 7(3), e244077.</w:t>
      </w:r>
    </w:p>
    <w:p>
      <w:pPr>
        <w:spacing w:before="40" w:after="40"/>
        <w:ind w:left="720"/>
      </w:pPr>
      <w:r>
        <w:rPr>
          <w:rFonts w:ascii="Arial" w:cs="Arial" w:eastAsia="Arial" w:hAnsi="Arial"/>
          <w:i/>
          <w:iCs/>
          <w:color w:val="666666"/>
          <w:sz w:val="18"/>
          <w:szCs w:val="18"/>
        </w:rPr>
        <w:t xml:space="preserve">5. Chen, D., et al. (2024). Physician and AI chatbot responses to cancer questions from social media. JAMA Oncology, 10(7), 956–960.</w:t>
      </w:r>
    </w:p>
    <w:p>
      <w:pPr>
        <w:spacing w:before="40" w:after="40"/>
        <w:ind w:left="720"/>
      </w:pPr>
      <w:r>
        <w:rPr>
          <w:rFonts w:ascii="Arial" w:cs="Arial" w:eastAsia="Arial" w:hAnsi="Arial"/>
          <w:i/>
          <w:iCs/>
          <w:color w:val="666666"/>
          <w:sz w:val="18"/>
          <w:szCs w:val="18"/>
        </w:rPr>
        <w:t xml:space="preserve">6. Carey (2024). Cited in: The Intersection of Law, Ethics, and Healthcare AI: Policy Pathways for Responsible Innovation. Advances in Consumer Research.</w:t>
      </w:r>
    </w:p>
    <w:p>
      <w:pPr>
        <w:spacing w:before="40" w:after="40"/>
        <w:ind w:left="720"/>
      </w:pPr>
      <w:r>
        <w:rPr>
          <w:rFonts w:ascii="Arial" w:cs="Arial" w:eastAsia="Arial" w:hAnsi="Arial"/>
          <w:i/>
          <w:iCs/>
          <w:color w:val="666666"/>
          <w:sz w:val="18"/>
          <w:szCs w:val="18"/>
        </w:rPr>
        <w:t xml:space="preserve">7. WHO (2024). Guidance on AI ethics and governance for large multimodal AI models. World Health Organization.</w:t>
      </w:r>
    </w:p>
    <w:p>
      <w:pPr>
        <w:spacing w:before="40" w:after="40"/>
        <w:ind w:left="720"/>
      </w:pPr>
      <w:r>
        <w:rPr>
          <w:rFonts w:ascii="Arial" w:cs="Arial" w:eastAsia="Arial" w:hAnsi="Arial"/>
          <w:i/>
          <w:iCs/>
          <w:color w:val="666666"/>
          <w:sz w:val="18"/>
          <w:szCs w:val="18"/>
        </w:rPr>
        <w:t xml:space="preserve">8. EU AI Act (2024). Regulation on artificial intelligence — risk-based regime for high-risk health applications. European Union.</w:t>
      </w:r>
    </w:p>
    <w:p>
      <w:pPr>
        <w:spacing w:before="40" w:after="40"/>
        <w:ind w:left="720"/>
      </w:pPr>
      <w:r>
        <w:rPr>
          <w:rFonts w:ascii="Arial" w:cs="Arial" w:eastAsia="Arial" w:hAnsi="Arial"/>
          <w:i/>
          <w:iCs/>
          <w:color w:val="666666"/>
          <w:sz w:val="18"/>
          <w:szCs w:val="18"/>
        </w:rPr>
        <w:t xml:space="preserve">9. Decker, J., et al. (2020). Q-Griffithsin antiviral lectin: E. coli and tobacco plant expression. Frontiers in Bioengineering and Biotechnology, 8, 1020.</w:t>
      </w:r>
    </w:p>
    <w:p>
      <w:pPr>
        <w:spacing w:before="40" w:after="40"/>
        <w:ind w:left="720"/>
      </w:pPr>
      <w:r>
        <w:rPr>
          <w:rFonts w:ascii="Arial" w:cs="Arial" w:eastAsia="Arial" w:hAnsi="Arial"/>
          <w:i/>
          <w:iCs/>
          <w:color w:val="666666"/>
          <w:sz w:val="18"/>
          <w:szCs w:val="18"/>
        </w:rPr>
        <w:t xml:space="preserve">10. BMC Medical Ethics (2025). High-reward, high-risk technologies: an ethical and legal account of AI development in healthcare. Springer Nature.</w:t>
      </w:r>
    </w:p>
    <w:p>
      <w:pPr>
        <w:spacing w:before="40" w:after="40"/>
        <w:ind w:left="720"/>
      </w:pPr>
      <w:r>
        <w:rPr>
          <w:rFonts w:ascii="Arial" w:cs="Arial" w:eastAsia="Arial" w:hAnsi="Arial"/>
          <w:i/>
          <w:iCs/>
          <w:color w:val="666666"/>
          <w:sz w:val="18"/>
          <w:szCs w:val="18"/>
        </w:rPr>
        <w:t xml:space="preserve">11. Royal Society Open Science (2025). Ethical and legal considerations in healthcare AI: innovation and policy for safe and fair use.</w:t>
      </w:r>
    </w:p>
    <w:p>
      <w:pPr>
        <w:spacing w:before="40" w:after="40"/>
        <w:ind w:left="720"/>
      </w:pPr>
      <w:r>
        <w:rPr>
          <w:rFonts w:ascii="Arial" w:cs="Arial" w:eastAsia="Arial" w:hAnsi="Arial"/>
          <w:i/>
          <w:iCs/>
          <w:color w:val="666666"/>
          <w:sz w:val="18"/>
          <w:szCs w:val="18"/>
        </w:rPr>
        <w:t xml:space="preserve">12. Flora, D. &amp; Pearl, R. (2024). AI Clinical Decision Support Systems as Copilots. Presented at MiBA Community Summit. OncLive.</w:t>
      </w:r>
    </w:p>
    <w:p>
      <w:pPr>
        <w:spacing w:before="40" w:after="40"/>
        <w:ind w:left="720"/>
      </w:pPr>
      <w:r>
        <w:rPr>
          <w:rFonts w:ascii="Arial" w:cs="Arial" w:eastAsia="Arial" w:hAnsi="Arial"/>
          <w:i/>
          <w:iCs/>
          <w:color w:val="666666"/>
          <w:sz w:val="18"/>
          <w:szCs w:val="18"/>
        </w:rPr>
        <w:t xml:space="preserve">13. Sauerbrei, A., et al. (2023). Ensuring AI tools positively impact doctor-patient relationships. Referenced in: Frontiers in AI (2025).</w:t>
      </w:r>
    </w:p>
    <w:p>
      <w:pPr>
        <w:pBdr>
          <w:bottom w:val="single" w:color="2C6FAC" w:sz="6" w:space="1"/>
        </w:pBdr>
        <w:spacing w:before="120" w:after="120"/>
      </w:pPr>
    </w:p>
    <w:p>
      <w:pPr>
        <w:spacing w:before="240" w:after="0"/>
        <w:jc w:val="center"/>
      </w:pPr>
      <w:r>
        <w:rPr>
          <w:rFonts w:ascii="Arial" w:cs="Arial" w:eastAsia="Arial" w:hAnsi="Arial"/>
          <w:color w:val="888888"/>
          <w:sz w:val="18"/>
          <w:szCs w:val="18"/>
        </w:rPr>
        <w:t xml:space="preserve">specialtyconsultants.co  |  GitHub: mcclxxxix/Patient-Advocate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6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2026-03-03T19:34:06.129Z</dcterms:created>
  <dcterms:modified xsi:type="dcterms:W3CDTF">2026-03-03T19:34:06.130Z</dcterms:modified>
</cp:coreProperties>
</file>

<file path=docProps/custom.xml><?xml version="1.0" encoding="utf-8"?>
<Properties xmlns="http://schemas.openxmlformats.org/officeDocument/2006/custom-properties" xmlns:vt="http://schemas.openxmlformats.org/officeDocument/2006/docPropsVTypes"/>
</file>