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8"/>
        </w:rPr>
        <w:t>深圳证券交易所证券代码区间表(2026</w:t>
      </w:r>
      <w:r>
        <w:rPr>
          <w:spacing w:val="-25"/>
        </w:rPr>
        <w:t> 年 </w:t>
      </w:r>
      <w:r>
        <w:rPr>
          <w:spacing w:val="-8"/>
        </w:rPr>
        <w:t>3</w:t>
      </w:r>
      <w:r>
        <w:rPr>
          <w:spacing w:val="-14"/>
        </w:rPr>
        <w:t> 月修订)</w:t>
      </w:r>
    </w:p>
    <w:p>
      <w:pPr>
        <w:pStyle w:val="BodyText"/>
        <w:spacing w:before="548"/>
        <w:ind w:left="224" w:right="109" w:firstLine="412"/>
      </w:pPr>
      <w:r>
        <w:rPr>
          <w:spacing w:val="-6"/>
        </w:rPr>
        <w:t>说明：证券产品类别推荐使用《深圳证券交易所数据文件交换接口规范》中的“证券类别定义”，细分类别可参考以下证券代码区间表，</w:t>
      </w:r>
      <w:r>
        <w:rPr>
          <w:spacing w:val="-2"/>
        </w:rPr>
        <w:t>本所可根据具体情况调整证券代码区间表。</w:t>
      </w:r>
    </w:p>
    <w:p>
      <w:pPr>
        <w:pStyle w:val="BodyText"/>
        <w:spacing w:before="123"/>
      </w:pPr>
    </w:p>
    <w:p>
      <w:pPr>
        <w:spacing w:before="0" w:after="32"/>
        <w:ind w:left="224" w:right="0" w:firstLine="0"/>
        <w:jc w:val="left"/>
        <w:rPr>
          <w:rFonts w:ascii="黑体" w:eastAsia="黑体"/>
          <w:sz w:val="32"/>
        </w:rPr>
      </w:pPr>
      <w:r>
        <w:rPr>
          <w:rFonts w:ascii="黑体" w:eastAsia="黑体"/>
          <w:spacing w:val="-2"/>
          <w:sz w:val="32"/>
        </w:rPr>
        <w:t>一、 六位数字编码</w:t>
      </w:r>
    </w:p>
    <w:tbl>
      <w:tblPr>
        <w:tblW w:w="0" w:type="auto"/>
        <w:jc w:val="left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3"/>
        <w:gridCol w:w="898"/>
        <w:gridCol w:w="889"/>
        <w:gridCol w:w="3560"/>
        <w:gridCol w:w="6501"/>
      </w:tblGrid>
      <w:tr>
        <w:trPr>
          <w:trHeight w:val="320" w:hRule="atLeast"/>
        </w:trPr>
        <w:tc>
          <w:tcPr>
            <w:tcW w:w="863" w:type="dxa"/>
            <w:tcBorders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7" w:lineRule="exact" w:before="4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第一位</w:t>
            </w:r>
          </w:p>
        </w:tc>
        <w:tc>
          <w:tcPr>
            <w:tcW w:w="8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7" w:lineRule="exact" w:before="43"/>
              <w:ind w:left="1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第二位</w:t>
            </w:r>
          </w:p>
        </w:tc>
        <w:tc>
          <w:tcPr>
            <w:tcW w:w="88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7" w:lineRule="exact" w:before="43"/>
              <w:ind w:left="13" w:right="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第三位</w:t>
            </w:r>
          </w:p>
        </w:tc>
        <w:tc>
          <w:tcPr>
            <w:tcW w:w="3560" w:type="dxa"/>
            <w:tcBorders>
              <w:lef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7" w:lineRule="exact" w:before="43"/>
              <w:ind w:left="1160"/>
              <w:jc w:val="left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证券产品类别</w:t>
            </w:r>
          </w:p>
        </w:tc>
        <w:tc>
          <w:tcPr>
            <w:tcW w:w="6501" w:type="dxa"/>
            <w:shd w:val="clear" w:color="auto" w:fill="CCCCCC"/>
          </w:tcPr>
          <w:p>
            <w:pPr>
              <w:pStyle w:val="TableParagraph"/>
              <w:spacing w:line="257" w:lineRule="exact" w:before="43"/>
              <w:ind w:left="12"/>
              <w:rPr>
                <w:b/>
                <w:sz w:val="21"/>
              </w:rPr>
            </w:pPr>
            <w:r>
              <w:rPr>
                <w:b/>
                <w:spacing w:val="-9"/>
                <w:sz w:val="21"/>
              </w:rPr>
              <w:t>备注</w:t>
            </w:r>
          </w:p>
        </w:tc>
      </w:tr>
      <w:tr>
        <w:trPr>
          <w:trHeight w:val="374" w:hRule="atLeast"/>
        </w:trPr>
        <w:tc>
          <w:tcPr>
            <w:tcW w:w="86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7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7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7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35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23"/>
                <w:sz w:val="21"/>
              </w:rPr>
              <w:t>主板</w:t>
            </w:r>
            <w:r>
              <w:rPr>
                <w:rFonts w:ascii="Times New Roman" w:eastAsia="Times New Roman"/>
                <w:sz w:val="21"/>
              </w:rPr>
              <w:t>A</w:t>
            </w:r>
            <w:r>
              <w:rPr>
                <w:rFonts w:ascii="Times New Roman" w:eastAsia="Times New Roman"/>
                <w:spacing w:val="-11"/>
                <w:sz w:val="21"/>
              </w:rPr>
              <w:t> </w:t>
            </w:r>
            <w:r>
              <w:rPr>
                <w:spacing w:val="-10"/>
                <w:sz w:val="21"/>
              </w:rPr>
              <w:t>股</w:t>
            </w:r>
          </w:p>
        </w:tc>
        <w:tc>
          <w:tcPr>
            <w:tcW w:w="6501" w:type="dxa"/>
            <w:tcBorders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66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1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1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2"/>
              <w:ind w:left="107"/>
              <w:jc w:val="left"/>
              <w:rPr>
                <w:sz w:val="21"/>
              </w:rPr>
            </w:pPr>
            <w:r>
              <w:rPr>
                <w:sz w:val="21"/>
              </w:rPr>
              <w:t>主板存托凭证、主板</w:t>
            </w:r>
            <w:r>
              <w:rPr>
                <w:rFonts w:ascii="Times New Roman" w:eastAsia="Times New Roman"/>
                <w:sz w:val="21"/>
              </w:rPr>
              <w:t>A</w:t>
            </w:r>
            <w:r>
              <w:rPr>
                <w:rFonts w:ascii="Times New Roman" w:eastAsia="Times New Roman"/>
                <w:spacing w:val="-4"/>
                <w:sz w:val="21"/>
              </w:rPr>
              <w:t> </w:t>
            </w:r>
            <w:r>
              <w:rPr>
                <w:spacing w:val="-10"/>
                <w:sz w:val="21"/>
              </w:rPr>
              <w:t>股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2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001001-001199</w:t>
            </w:r>
            <w:r>
              <w:rPr>
                <w:spacing w:val="-7"/>
                <w:sz w:val="21"/>
              </w:rPr>
              <w:t>：主板存托凭证；</w:t>
            </w:r>
          </w:p>
          <w:p>
            <w:pPr>
              <w:pStyle w:val="TableParagraph"/>
              <w:spacing w:line="259" w:lineRule="exact" w:before="46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001200-001999</w:t>
            </w:r>
            <w:r>
              <w:rPr>
                <w:spacing w:val="-2"/>
                <w:sz w:val="21"/>
              </w:rPr>
              <w:t>：主板</w:t>
            </w:r>
            <w:r>
              <w:rPr>
                <w:rFonts w:ascii="Times New Roman" w:eastAsia="Times New Roman"/>
                <w:spacing w:val="-2"/>
                <w:sz w:val="21"/>
              </w:rPr>
              <w:t>A</w:t>
            </w:r>
            <w:r>
              <w:rPr>
                <w:rFonts w:ascii="Times New Roman" w:eastAsia="Times New Roman"/>
                <w:spacing w:val="17"/>
                <w:sz w:val="21"/>
              </w:rPr>
              <w:t> </w:t>
            </w:r>
            <w:r>
              <w:rPr>
                <w:spacing w:val="-6"/>
                <w:sz w:val="21"/>
              </w:rPr>
              <w:t>股。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2-</w:t>
            </w: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23"/>
                <w:sz w:val="21"/>
              </w:rPr>
              <w:t>主板</w:t>
            </w:r>
            <w:r>
              <w:rPr>
                <w:rFonts w:ascii="Times New Roman" w:eastAsia="Times New Roman"/>
                <w:sz w:val="21"/>
              </w:rPr>
              <w:t>A</w:t>
            </w:r>
            <w:r>
              <w:rPr>
                <w:rFonts w:ascii="Times New Roman" w:eastAsia="Times New Roman"/>
                <w:spacing w:val="-11"/>
                <w:sz w:val="21"/>
              </w:rPr>
              <w:t> </w:t>
            </w:r>
            <w:r>
              <w:rPr>
                <w:spacing w:val="-10"/>
                <w:sz w:val="21"/>
              </w:rPr>
              <w:t>股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13"/>
                <w:sz w:val="21"/>
              </w:rPr>
              <w:t>主板</w:t>
            </w:r>
            <w:r>
              <w:rPr>
                <w:rFonts w:ascii="Times New Roman" w:eastAsia="Times New Roman"/>
                <w:sz w:val="21"/>
              </w:rPr>
              <w:t>A</w:t>
            </w:r>
            <w:r>
              <w:rPr>
                <w:rFonts w:ascii="Times New Roman" w:eastAsia="Times New Roman"/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股认购权证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创业板股票认购权证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创业板股票认沽权证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6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创业板股权激励期权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7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主板股权激励期权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8-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13"/>
                <w:sz w:val="21"/>
              </w:rPr>
              <w:t>主板</w:t>
            </w:r>
            <w:r>
              <w:rPr>
                <w:rFonts w:ascii="Times New Roman" w:eastAsia="Times New Roman"/>
                <w:sz w:val="21"/>
              </w:rPr>
              <w:t>A</w:t>
            </w:r>
            <w:r>
              <w:rPr>
                <w:rFonts w:ascii="Times New Roman" w:eastAsia="Times New Roman"/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股认沽权证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主板股权激励期权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创业板股权激励期权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7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主板</w:t>
            </w:r>
            <w:r>
              <w:rPr>
                <w:rFonts w:ascii="Times New Roman" w:eastAsia="Times New Roman"/>
                <w:spacing w:val="-2"/>
                <w:sz w:val="21"/>
              </w:rPr>
              <w:t>A</w:t>
            </w:r>
            <w:r>
              <w:rPr>
                <w:rFonts w:ascii="Times New Roman" w:eastAsia="Times New Roman"/>
                <w:spacing w:val="-1"/>
                <w:sz w:val="21"/>
              </w:rPr>
              <w:t> </w:t>
            </w:r>
            <w:r>
              <w:rPr>
                <w:spacing w:val="-3"/>
                <w:sz w:val="21"/>
              </w:rPr>
              <w:t>股增发、可转换公司债券申购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637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20" w:lineRule="exact"/>
              <w:ind w:left="107" w:right="82"/>
              <w:jc w:val="left"/>
              <w:rPr>
                <w:sz w:val="21"/>
              </w:rPr>
            </w:pPr>
            <w:r>
              <w:rPr>
                <w:spacing w:val="-1"/>
                <w:sz w:val="21"/>
              </w:rPr>
              <w:t>主板</w:t>
            </w:r>
            <w:r>
              <w:rPr>
                <w:rFonts w:ascii="Times New Roman" w:eastAsia="Times New Roman"/>
                <w:spacing w:val="-1"/>
                <w:sz w:val="21"/>
              </w:rPr>
              <w:t>A</w:t>
            </w:r>
            <w:r>
              <w:rPr>
                <w:rFonts w:ascii="Times New Roman" w:eastAsia="Times New Roman"/>
                <w:spacing w:val="-13"/>
                <w:sz w:val="21"/>
              </w:rPr>
              <w:t> </w:t>
            </w:r>
            <w:r>
              <w:rPr>
                <w:spacing w:val="-1"/>
                <w:sz w:val="21"/>
              </w:rPr>
              <w:t>股配股优先权、可转换公司债</w:t>
            </w:r>
            <w:r>
              <w:rPr>
                <w:spacing w:val="-2"/>
                <w:sz w:val="21"/>
              </w:rPr>
              <w:t>券优先权认购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2"/>
        </w:rPr>
        <w:sectPr>
          <w:footerReference w:type="default" r:id="rId5"/>
          <w:footerReference w:type="even" r:id="rId6"/>
          <w:type w:val="continuous"/>
          <w:pgSz w:w="16840" w:h="11910" w:orient="landscape"/>
          <w:pgMar w:header="0" w:footer="1096" w:top="1340" w:bottom="1280" w:left="1760" w:right="2000"/>
          <w:pgNumType w:start="1"/>
        </w:sectPr>
      </w:pPr>
    </w:p>
    <w:p>
      <w:pPr>
        <w:pStyle w:val="BodyText"/>
        <w:rPr>
          <w:rFonts w:ascii="黑体"/>
          <w:sz w:val="19"/>
        </w:rPr>
      </w:pPr>
    </w:p>
    <w:tbl>
      <w:tblPr>
        <w:tblW w:w="0" w:type="auto"/>
        <w:jc w:val="left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3"/>
        <w:gridCol w:w="898"/>
        <w:gridCol w:w="889"/>
        <w:gridCol w:w="3560"/>
        <w:gridCol w:w="6501"/>
      </w:tblGrid>
      <w:tr>
        <w:trPr>
          <w:trHeight w:val="320" w:hRule="atLeast"/>
        </w:trPr>
        <w:tc>
          <w:tcPr>
            <w:tcW w:w="863" w:type="dxa"/>
            <w:tcBorders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第一位</w:t>
            </w:r>
          </w:p>
        </w:tc>
        <w:tc>
          <w:tcPr>
            <w:tcW w:w="8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第二位</w:t>
            </w:r>
          </w:p>
        </w:tc>
        <w:tc>
          <w:tcPr>
            <w:tcW w:w="88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3" w:right="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第三位</w:t>
            </w:r>
          </w:p>
        </w:tc>
        <w:tc>
          <w:tcPr>
            <w:tcW w:w="3560" w:type="dxa"/>
            <w:tcBorders>
              <w:lef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160"/>
              <w:jc w:val="left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证券产品类别</w:t>
            </w:r>
          </w:p>
        </w:tc>
        <w:tc>
          <w:tcPr>
            <w:tcW w:w="6501" w:type="dxa"/>
            <w:shd w:val="clear" w:color="auto" w:fill="CCCCCC"/>
          </w:tcPr>
          <w:p>
            <w:pPr>
              <w:pStyle w:val="TableParagraph"/>
              <w:spacing w:line="258" w:lineRule="exact" w:before="41"/>
              <w:ind w:left="12"/>
              <w:rPr>
                <w:b/>
                <w:sz w:val="21"/>
              </w:rPr>
            </w:pPr>
            <w:r>
              <w:rPr>
                <w:b/>
                <w:spacing w:val="-9"/>
                <w:sz w:val="21"/>
              </w:rPr>
              <w:t>备注</w:t>
            </w:r>
          </w:p>
        </w:tc>
      </w:tr>
      <w:tr>
        <w:trPr>
          <w:trHeight w:val="1920" w:hRule="atLeast"/>
        </w:trPr>
        <w:tc>
          <w:tcPr>
            <w:tcW w:w="86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42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42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42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35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附息式国债</w:t>
            </w:r>
          </w:p>
        </w:tc>
        <w:tc>
          <w:tcPr>
            <w:tcW w:w="65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101600-101649</w:t>
            </w:r>
            <w:r>
              <w:rPr>
                <w:spacing w:val="-4"/>
                <w:sz w:val="21"/>
              </w:rPr>
              <w:t>：</w:t>
            </w:r>
            <w:r>
              <w:rPr>
                <w:rFonts w:ascii="Times New Roman" w:eastAsia="Times New Roman"/>
                <w:spacing w:val="-4"/>
                <w:sz w:val="21"/>
              </w:rPr>
              <w:t>2016</w:t>
            </w:r>
            <w:r>
              <w:rPr>
                <w:rFonts w:ascii="Times New Roman" w:eastAsia="Times New Roman"/>
                <w:spacing w:val="-6"/>
                <w:sz w:val="21"/>
              </w:rPr>
              <w:t> </w:t>
            </w:r>
            <w:r>
              <w:rPr>
                <w:spacing w:val="-5"/>
                <w:sz w:val="21"/>
              </w:rPr>
              <w:t>年国债现货代码区间；</w:t>
            </w:r>
          </w:p>
          <w:p>
            <w:pPr>
              <w:pStyle w:val="TableParagraph"/>
              <w:spacing w:line="280" w:lineRule="auto" w:before="48"/>
              <w:ind w:left="98" w:right="82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101650-101659</w:t>
            </w:r>
            <w:r>
              <w:rPr>
                <w:spacing w:val="-4"/>
                <w:sz w:val="21"/>
              </w:rPr>
              <w:t>：面向全部投资者公开发行分销的公司债券、企业债发行代码；</w:t>
            </w:r>
          </w:p>
          <w:p>
            <w:pPr>
              <w:pStyle w:val="TableParagraph"/>
              <w:spacing w:line="283" w:lineRule="auto"/>
              <w:ind w:left="98" w:right="82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101660-101674</w:t>
            </w:r>
            <w:r>
              <w:rPr>
                <w:spacing w:val="-4"/>
                <w:sz w:val="21"/>
              </w:rPr>
              <w:t>：仅面向专业投资者公开发行分销的公司债券、企业债</w:t>
            </w:r>
            <w:r>
              <w:rPr>
                <w:spacing w:val="-2"/>
                <w:sz w:val="21"/>
              </w:rPr>
              <w:t>发行代码；</w:t>
            </w:r>
          </w:p>
          <w:p>
            <w:pPr>
              <w:pStyle w:val="TableParagraph"/>
              <w:spacing w:line="254" w:lineRule="exact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101675-101699</w:t>
            </w:r>
            <w:r>
              <w:rPr>
                <w:spacing w:val="-7"/>
                <w:sz w:val="21"/>
              </w:rPr>
              <w:t>：其他国债发行分销使用。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4-</w:t>
            </w:r>
            <w:r>
              <w:rPr>
                <w:rFonts w:ascii="Times New Roman"/>
                <w:spacing w:val="-10"/>
                <w:sz w:val="21"/>
              </w:rPr>
              <w:t>7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地方政府债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1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1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贴现式国债、政策性金融债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108000-108599</w:t>
            </w:r>
            <w:r>
              <w:rPr>
                <w:spacing w:val="-7"/>
                <w:sz w:val="21"/>
              </w:rPr>
              <w:t>：贴现式国债；</w:t>
            </w:r>
          </w:p>
          <w:p>
            <w:pPr>
              <w:pStyle w:val="TableParagraph"/>
              <w:spacing w:line="258" w:lineRule="exact" w:before="46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108600-108999</w:t>
            </w:r>
            <w:r>
              <w:rPr>
                <w:spacing w:val="-7"/>
                <w:sz w:val="21"/>
              </w:rPr>
              <w:t>：政策性金融债。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3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地方政府债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贴现式国债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企业债券、政府支持债券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111000-111899</w:t>
            </w:r>
            <w:r>
              <w:rPr>
                <w:spacing w:val="-7"/>
                <w:sz w:val="21"/>
              </w:rPr>
              <w:t>：企业债券；</w:t>
            </w:r>
          </w:p>
          <w:p>
            <w:pPr>
              <w:pStyle w:val="TableParagraph"/>
              <w:spacing w:line="258" w:lineRule="exact" w:before="46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111900-111999</w:t>
            </w:r>
            <w:r>
              <w:rPr>
                <w:spacing w:val="-7"/>
                <w:sz w:val="21"/>
              </w:rPr>
              <w:t>：政府支持债券。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3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公司债券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资管计划份额转让业务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3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非公开发行公司债券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96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0" w:lineRule="auto" w:before="42"/>
              <w:ind w:left="107" w:right="8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可分离交易的可转换公司债券、证券</w:t>
            </w:r>
            <w:r>
              <w:rPr>
                <w:spacing w:val="-5"/>
                <w:sz w:val="21"/>
              </w:rPr>
              <w:t>公司次级债券、非公开发行可交换公</w:t>
            </w:r>
          </w:p>
          <w:p>
            <w:pPr>
              <w:pStyle w:val="TableParagraph"/>
              <w:spacing w:line="257" w:lineRule="exact" w:before="2"/>
              <w:ind w:left="107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司债券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115000-115099</w:t>
            </w:r>
            <w:r>
              <w:rPr>
                <w:spacing w:val="-7"/>
                <w:sz w:val="21"/>
              </w:rPr>
              <w:t>：可分离交易的可转换公司债券；</w:t>
            </w:r>
          </w:p>
          <w:p>
            <w:pPr>
              <w:pStyle w:val="TableParagraph"/>
              <w:spacing w:before="46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115100-115599</w:t>
            </w:r>
            <w:r>
              <w:rPr>
                <w:spacing w:val="-7"/>
                <w:sz w:val="21"/>
              </w:rPr>
              <w:t>：证券公司次级债券；</w:t>
            </w:r>
          </w:p>
          <w:p>
            <w:pPr>
              <w:pStyle w:val="TableParagraph"/>
              <w:spacing w:line="257" w:lineRule="exact" w:before="49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115600-115999</w:t>
            </w:r>
            <w:r>
              <w:rPr>
                <w:spacing w:val="-7"/>
                <w:sz w:val="21"/>
              </w:rPr>
              <w:t>：非公开发行可交换公司债券。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6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企业资产支持证券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7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20" w:lineRule="exact"/>
              <w:ind w:left="107" w:right="8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非公开发行可交换公司债券、证券公</w:t>
            </w:r>
            <w:r>
              <w:rPr>
                <w:spacing w:val="-4"/>
                <w:sz w:val="21"/>
              </w:rPr>
              <w:t>司短期债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117000-117499</w:t>
            </w:r>
            <w:r>
              <w:rPr>
                <w:spacing w:val="-7"/>
                <w:sz w:val="21"/>
              </w:rPr>
              <w:t>：非公开发行可交换公司债券；</w:t>
            </w:r>
          </w:p>
          <w:p>
            <w:pPr>
              <w:pStyle w:val="TableParagraph"/>
              <w:spacing w:line="258" w:lineRule="exact" w:before="46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117500-117999</w:t>
            </w:r>
            <w:r>
              <w:rPr>
                <w:spacing w:val="-7"/>
                <w:sz w:val="21"/>
              </w:rPr>
              <w:t>：证券公司短期债。</w:t>
            </w:r>
          </w:p>
        </w:tc>
      </w:tr>
      <w:tr>
        <w:trPr>
          <w:trHeight w:val="638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20" w:lineRule="exact"/>
              <w:ind w:left="107" w:right="8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非公开发行公司债券、证券公司次级</w:t>
            </w:r>
            <w:r>
              <w:rPr>
                <w:spacing w:val="-6"/>
                <w:sz w:val="21"/>
              </w:rPr>
              <w:t>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3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118000-118899</w:t>
            </w:r>
            <w:r>
              <w:rPr>
                <w:spacing w:val="-7"/>
                <w:sz w:val="21"/>
              </w:rPr>
              <w:t>：非公开发行公司债券；</w:t>
            </w:r>
          </w:p>
          <w:p>
            <w:pPr>
              <w:pStyle w:val="TableParagraph"/>
              <w:spacing w:line="256" w:lineRule="exact" w:before="46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118900-118999</w:t>
            </w:r>
            <w:r>
              <w:rPr>
                <w:spacing w:val="-7"/>
                <w:sz w:val="21"/>
              </w:rPr>
              <w:t>：证券公司次级债券。</w:t>
            </w:r>
          </w:p>
        </w:tc>
      </w:tr>
    </w:tbl>
    <w:p>
      <w:pPr>
        <w:spacing w:after="0" w:line="256" w:lineRule="exact"/>
        <w:jc w:val="left"/>
        <w:rPr>
          <w:sz w:val="21"/>
        </w:rPr>
        <w:sectPr>
          <w:pgSz w:w="16840" w:h="11910" w:orient="landscape"/>
          <w:pgMar w:header="0" w:footer="1096" w:top="1340" w:bottom="1280" w:left="1760" w:right="2000"/>
        </w:sectPr>
      </w:pPr>
    </w:p>
    <w:p>
      <w:pPr>
        <w:pStyle w:val="BodyText"/>
        <w:rPr>
          <w:rFonts w:ascii="黑体"/>
          <w:sz w:val="19"/>
        </w:rPr>
      </w:pPr>
    </w:p>
    <w:tbl>
      <w:tblPr>
        <w:tblW w:w="0" w:type="auto"/>
        <w:jc w:val="left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3"/>
        <w:gridCol w:w="898"/>
        <w:gridCol w:w="889"/>
        <w:gridCol w:w="3560"/>
        <w:gridCol w:w="6501"/>
      </w:tblGrid>
      <w:tr>
        <w:trPr>
          <w:trHeight w:val="320" w:hRule="atLeast"/>
        </w:trPr>
        <w:tc>
          <w:tcPr>
            <w:tcW w:w="863" w:type="dxa"/>
            <w:tcBorders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第一位</w:t>
            </w:r>
          </w:p>
        </w:tc>
        <w:tc>
          <w:tcPr>
            <w:tcW w:w="8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第二位</w:t>
            </w:r>
          </w:p>
        </w:tc>
        <w:tc>
          <w:tcPr>
            <w:tcW w:w="88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3" w:right="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第三位</w:t>
            </w:r>
          </w:p>
        </w:tc>
        <w:tc>
          <w:tcPr>
            <w:tcW w:w="3560" w:type="dxa"/>
            <w:tcBorders>
              <w:lef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160"/>
              <w:jc w:val="left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证券产品类别</w:t>
            </w:r>
          </w:p>
        </w:tc>
        <w:tc>
          <w:tcPr>
            <w:tcW w:w="6501" w:type="dxa"/>
            <w:shd w:val="clear" w:color="auto" w:fill="CCCCCC"/>
          </w:tcPr>
          <w:p>
            <w:pPr>
              <w:pStyle w:val="TableParagraph"/>
              <w:spacing w:line="258" w:lineRule="exact" w:before="41"/>
              <w:ind w:left="12"/>
              <w:rPr>
                <w:b/>
                <w:sz w:val="21"/>
              </w:rPr>
            </w:pPr>
            <w:r>
              <w:rPr>
                <w:b/>
                <w:spacing w:val="-9"/>
                <w:sz w:val="21"/>
              </w:rPr>
              <w:t>备注</w:t>
            </w:r>
          </w:p>
        </w:tc>
      </w:tr>
      <w:tr>
        <w:trPr>
          <w:trHeight w:val="1280" w:hRule="atLeast"/>
        </w:trPr>
        <w:tc>
          <w:tcPr>
            <w:tcW w:w="86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6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6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1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6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1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0" w:lineRule="auto" w:before="42"/>
              <w:ind w:left="107" w:right="85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企业资产支持证券、信贷资产支持证券、不动产资产支持证券、资管计划份额转让业务</w:t>
            </w:r>
          </w:p>
        </w:tc>
        <w:tc>
          <w:tcPr>
            <w:tcW w:w="65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119000-119299</w:t>
            </w:r>
            <w:r>
              <w:rPr>
                <w:spacing w:val="-7"/>
                <w:sz w:val="21"/>
              </w:rPr>
              <w:t>：企业资产支持证券；</w:t>
            </w:r>
          </w:p>
          <w:p>
            <w:pPr>
              <w:pStyle w:val="TableParagraph"/>
              <w:spacing w:before="48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119300-119399</w:t>
            </w:r>
            <w:r>
              <w:rPr>
                <w:spacing w:val="-7"/>
                <w:sz w:val="21"/>
              </w:rPr>
              <w:t>：信贷资产支持证券；</w:t>
            </w:r>
          </w:p>
          <w:p>
            <w:pPr>
              <w:pStyle w:val="TableParagraph"/>
              <w:spacing w:before="47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119400-119499</w:t>
            </w:r>
            <w:r>
              <w:rPr>
                <w:spacing w:val="-7"/>
                <w:sz w:val="21"/>
              </w:rPr>
              <w:t>：不动产资产支持证券；</w:t>
            </w:r>
          </w:p>
          <w:p>
            <w:pPr>
              <w:pStyle w:val="TableParagraph"/>
              <w:spacing w:line="258" w:lineRule="exact" w:before="46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119500-119999</w:t>
            </w:r>
            <w:r>
              <w:rPr>
                <w:spacing w:val="-7"/>
                <w:sz w:val="21"/>
              </w:rPr>
              <w:t>：资管计划份额转让业务。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3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可交换公司债券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创新创业可转换债券、不动产资产支</w:t>
            </w:r>
          </w:p>
          <w:p>
            <w:pPr>
              <w:pStyle w:val="TableParagraph"/>
              <w:spacing w:line="257" w:lineRule="exact" w:before="49"/>
              <w:ind w:left="107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持证券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121000-121499</w:t>
            </w:r>
            <w:r>
              <w:rPr>
                <w:spacing w:val="-7"/>
                <w:sz w:val="21"/>
              </w:rPr>
              <w:t>：创新创业可转换债券；</w:t>
            </w:r>
          </w:p>
          <w:p>
            <w:pPr>
              <w:pStyle w:val="TableParagraph"/>
              <w:spacing w:line="257" w:lineRule="exact" w:before="49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121500-121999</w:t>
            </w:r>
            <w:r>
              <w:rPr>
                <w:spacing w:val="-7"/>
                <w:sz w:val="21"/>
              </w:rPr>
              <w:t>：不动产资产支持证券。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创业板可转换公司债券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3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主板、创业板定向可转债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7-</w:t>
            </w: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主板可转换公司债券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3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政府支持债券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96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6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107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债券回购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131800-131899</w:t>
            </w:r>
            <w:r>
              <w:rPr>
                <w:spacing w:val="-7"/>
                <w:sz w:val="21"/>
              </w:rPr>
              <w:t>：通用质押式回购；</w:t>
            </w:r>
          </w:p>
          <w:p>
            <w:pPr>
              <w:pStyle w:val="TableParagraph"/>
              <w:spacing w:line="322" w:lineRule="exact"/>
              <w:ind w:left="98" w:right="82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131900-131999</w:t>
            </w:r>
            <w:r>
              <w:rPr>
                <w:spacing w:val="-4"/>
                <w:sz w:val="21"/>
              </w:rPr>
              <w:t>：债券质押式协议回购，债券质押式三方回购，债券借贷业务。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质押式报价回购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1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132000-132099</w:t>
            </w:r>
            <w:r>
              <w:rPr>
                <w:spacing w:val="-7"/>
                <w:sz w:val="21"/>
              </w:rPr>
              <w:t>：质押式报价回购。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3-</w:t>
            </w: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3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非公开发行公司债券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5-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企业资产支持证券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3"/>
              <w:ind w:left="107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优先股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1-</w:t>
            </w: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资管计划份额转让业务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3-</w:t>
            </w: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3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企业资产支持证券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信用保护凭证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6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3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企业资产支持证券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8-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公司债券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18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5" w:lineRule="exact" w:before="43"/>
              <w:ind w:left="107" w:right="-29"/>
              <w:jc w:val="left"/>
              <w:rPr>
                <w:sz w:val="21"/>
              </w:rPr>
            </w:pPr>
            <w:r>
              <w:rPr>
                <w:spacing w:val="-16"/>
                <w:sz w:val="21"/>
              </w:rPr>
              <w:t>开放式基金</w:t>
            </w:r>
            <w:r>
              <w:rPr>
                <w:spacing w:val="-6"/>
                <w:sz w:val="21"/>
              </w:rPr>
              <w:t>（原分级基金场内子基金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0"/>
        </w:rPr>
        <w:sectPr>
          <w:pgSz w:w="16840" w:h="11910" w:orient="landscape"/>
          <w:pgMar w:header="0" w:footer="1096" w:top="1340" w:bottom="1280" w:left="1760" w:right="2000"/>
        </w:sectPr>
      </w:pPr>
    </w:p>
    <w:p>
      <w:pPr>
        <w:pStyle w:val="BodyText"/>
        <w:rPr>
          <w:rFonts w:ascii="黑体"/>
          <w:sz w:val="19"/>
        </w:rPr>
      </w:pPr>
    </w:p>
    <w:tbl>
      <w:tblPr>
        <w:tblW w:w="0" w:type="auto"/>
        <w:jc w:val="left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3"/>
        <w:gridCol w:w="898"/>
        <w:gridCol w:w="889"/>
        <w:gridCol w:w="3560"/>
        <w:gridCol w:w="6501"/>
      </w:tblGrid>
      <w:tr>
        <w:trPr>
          <w:trHeight w:val="320" w:hRule="atLeast"/>
        </w:trPr>
        <w:tc>
          <w:tcPr>
            <w:tcW w:w="863" w:type="dxa"/>
            <w:tcBorders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第一位</w:t>
            </w:r>
          </w:p>
        </w:tc>
        <w:tc>
          <w:tcPr>
            <w:tcW w:w="8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第二位</w:t>
            </w:r>
          </w:p>
        </w:tc>
        <w:tc>
          <w:tcPr>
            <w:tcW w:w="88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3" w:right="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第三位</w:t>
            </w:r>
          </w:p>
        </w:tc>
        <w:tc>
          <w:tcPr>
            <w:tcW w:w="3560" w:type="dxa"/>
            <w:tcBorders>
              <w:lef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160"/>
              <w:jc w:val="left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证券产品类别</w:t>
            </w:r>
          </w:p>
        </w:tc>
        <w:tc>
          <w:tcPr>
            <w:tcW w:w="6501" w:type="dxa"/>
            <w:shd w:val="clear" w:color="auto" w:fill="CCCCCC"/>
          </w:tcPr>
          <w:p>
            <w:pPr>
              <w:pStyle w:val="TableParagraph"/>
              <w:spacing w:line="258" w:lineRule="exact" w:before="41"/>
              <w:ind w:left="12"/>
              <w:rPr>
                <w:b/>
                <w:sz w:val="21"/>
              </w:rPr>
            </w:pPr>
            <w:r>
              <w:rPr>
                <w:b/>
                <w:spacing w:val="-9"/>
                <w:sz w:val="21"/>
              </w:rPr>
              <w:t>备注</w:t>
            </w:r>
          </w:p>
        </w:tc>
      </w:tr>
      <w:tr>
        <w:trPr>
          <w:trHeight w:val="645" w:hRule="atLeast"/>
        </w:trPr>
        <w:tc>
          <w:tcPr>
            <w:tcW w:w="86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3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3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8-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0"/>
              <w:ind w:left="107"/>
              <w:jc w:val="left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ETF</w:t>
            </w:r>
          </w:p>
        </w:tc>
        <w:tc>
          <w:tcPr>
            <w:tcW w:w="65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05"/>
              <w:ind w:left="98"/>
              <w:jc w:val="left"/>
              <w:rPr>
                <w:sz w:val="21"/>
              </w:rPr>
            </w:pPr>
            <w:r>
              <w:rPr>
                <w:spacing w:val="-22"/>
                <w:sz w:val="21"/>
              </w:rPr>
              <w:t>其中 </w:t>
            </w:r>
            <w:r>
              <w:rPr>
                <w:rFonts w:ascii="Times New Roman" w:eastAsia="Times New Roman"/>
                <w:spacing w:val="-2"/>
                <w:sz w:val="21"/>
              </w:rPr>
              <w:t>159900</w:t>
            </w:r>
            <w:r>
              <w:rPr>
                <w:rFonts w:ascii="Times New Roman" w:eastAsia="Times New Roman"/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为</w:t>
            </w:r>
            <w:r>
              <w:rPr>
                <w:rFonts w:ascii="Times New Roman" w:eastAsia="Times New Roman"/>
                <w:spacing w:val="-2"/>
                <w:sz w:val="21"/>
              </w:rPr>
              <w:t>ETF</w:t>
            </w:r>
            <w:r>
              <w:rPr>
                <w:rFonts w:ascii="Times New Roman" w:eastAsia="Times New Roman"/>
                <w:spacing w:val="-5"/>
                <w:sz w:val="21"/>
              </w:rPr>
              <w:t> </w:t>
            </w:r>
            <w:r>
              <w:rPr>
                <w:spacing w:val="-3"/>
                <w:sz w:val="21"/>
              </w:rPr>
              <w:t>申购赎回现金替代虚拟证券。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6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开放式基金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7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9" w:lineRule="exact" w:before="61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7" w:lineRule="exact" w:before="43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开放式基金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0"/>
              <w:ind w:left="13" w:right="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6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不动产基金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180101-180999</w:t>
            </w:r>
            <w:r>
              <w:rPr>
                <w:spacing w:val="-4"/>
                <w:sz w:val="21"/>
              </w:rPr>
              <w:t>：基础设施</w:t>
            </w:r>
            <w:r>
              <w:rPr>
                <w:rFonts w:ascii="Times New Roman" w:eastAsia="Times New Roman"/>
                <w:spacing w:val="-4"/>
                <w:sz w:val="21"/>
              </w:rPr>
              <w:t>REITs</w:t>
            </w:r>
            <w:r>
              <w:rPr>
                <w:spacing w:val="-10"/>
                <w:sz w:val="21"/>
              </w:rPr>
              <w:t>。</w:t>
            </w:r>
          </w:p>
          <w:p>
            <w:pPr>
              <w:pStyle w:val="TableParagraph"/>
              <w:spacing w:line="259" w:lineRule="exact" w:before="46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181001-181999</w:t>
            </w:r>
            <w:r>
              <w:rPr>
                <w:spacing w:val="-4"/>
                <w:sz w:val="21"/>
              </w:rPr>
              <w:t>：商业不动产</w:t>
            </w:r>
            <w:r>
              <w:rPr>
                <w:rFonts w:ascii="Times New Roman" w:eastAsia="Times New Roman"/>
                <w:spacing w:val="-4"/>
                <w:sz w:val="21"/>
              </w:rPr>
              <w:t>REITs</w:t>
            </w:r>
            <w:r>
              <w:rPr>
                <w:spacing w:val="-10"/>
                <w:sz w:val="21"/>
              </w:rPr>
              <w:t>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封闭式证券投资基金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跨境债券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189500-189999</w:t>
            </w:r>
            <w:r>
              <w:rPr>
                <w:spacing w:val="-5"/>
                <w:sz w:val="21"/>
              </w:rPr>
              <w:t>：跨境债券。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地方政府债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2"/>
                <w:sz w:val="21"/>
              </w:rPr>
              <w:t>B</w:t>
            </w:r>
            <w:r>
              <w:rPr>
                <w:rFonts w:ascii="Times New Roman" w:eastAsia="Times New Roman"/>
                <w:spacing w:val="-9"/>
                <w:sz w:val="21"/>
              </w:rPr>
              <w:t> </w:t>
            </w:r>
            <w:r>
              <w:rPr>
                <w:spacing w:val="-5"/>
                <w:sz w:val="21"/>
              </w:rPr>
              <w:t>股证券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B</w:t>
            </w:r>
            <w:r>
              <w:rPr>
                <w:rFonts w:ascii="Times New Roman" w:eastAsia="Times New Roman"/>
                <w:spacing w:val="5"/>
                <w:sz w:val="21"/>
              </w:rPr>
              <w:t> </w:t>
            </w:r>
            <w:r>
              <w:rPr>
                <w:spacing w:val="-7"/>
                <w:sz w:val="21"/>
              </w:rPr>
              <w:t>股公司可转换公司债券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B</w:t>
            </w:r>
            <w:r>
              <w:rPr>
                <w:rFonts w:ascii="Times New Roman" w:eastAsia="Times New Roman"/>
                <w:spacing w:val="-8"/>
                <w:sz w:val="21"/>
              </w:rPr>
              <w:t> </w:t>
            </w:r>
            <w:r>
              <w:rPr>
                <w:spacing w:val="-5"/>
                <w:sz w:val="21"/>
              </w:rPr>
              <w:t>股现金选择权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128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7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7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7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107"/>
              <w:jc w:val="left"/>
              <w:rPr>
                <w:rFonts w:ascii="Times New Roman" w:eastAsia="Times New Roman"/>
                <w:sz w:val="21"/>
              </w:rPr>
            </w:pPr>
            <w:r>
              <w:rPr>
                <w:rFonts w:ascii="Times New Roman" w:eastAsia="Times New Roman"/>
                <w:sz w:val="21"/>
              </w:rPr>
              <w:t>H</w:t>
            </w:r>
            <w:r>
              <w:rPr>
                <w:rFonts w:ascii="Times New Roman" w:eastAsia="Times New Roman"/>
                <w:spacing w:val="-13"/>
                <w:sz w:val="21"/>
              </w:rPr>
              <w:t> </w:t>
            </w:r>
            <w:r>
              <w:rPr>
                <w:sz w:val="21"/>
              </w:rPr>
              <w:t>股全流通、</w:t>
            </w:r>
            <w:r>
              <w:rPr>
                <w:rFonts w:ascii="Times New Roman" w:eastAsia="Times New Roman"/>
                <w:sz w:val="21"/>
              </w:rPr>
              <w:t>B</w:t>
            </w:r>
            <w:r>
              <w:rPr>
                <w:rFonts w:ascii="Times New Roman" w:eastAsia="Times New Roman"/>
                <w:spacing w:val="-13"/>
                <w:sz w:val="21"/>
              </w:rPr>
              <w:t> </w:t>
            </w:r>
            <w:r>
              <w:rPr>
                <w:spacing w:val="35"/>
                <w:sz w:val="21"/>
              </w:rPr>
              <w:t>转</w:t>
            </w:r>
            <w:r>
              <w:rPr>
                <w:rFonts w:ascii="Times New Roman" w:eastAsia="Times New Roman"/>
                <w:spacing w:val="-10"/>
                <w:sz w:val="21"/>
              </w:rPr>
              <w:t>H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0" w:lineRule="auto" w:before="42"/>
              <w:ind w:left="98" w:right="82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1"/>
                <w:sz w:val="21"/>
              </w:rPr>
              <w:t>299001-299949</w:t>
            </w:r>
            <w:r>
              <w:rPr>
                <w:spacing w:val="-1"/>
                <w:sz w:val="21"/>
              </w:rPr>
              <w:t>：</w:t>
            </w:r>
            <w:r>
              <w:rPr>
                <w:rFonts w:ascii="Times New Roman" w:eastAsia="Times New Roman"/>
                <w:spacing w:val="-1"/>
                <w:sz w:val="21"/>
              </w:rPr>
              <w:t>H</w:t>
            </w:r>
            <w:r>
              <w:rPr>
                <w:rFonts w:ascii="Times New Roman" w:eastAsia="Times New Roman"/>
                <w:spacing w:val="-13"/>
                <w:sz w:val="21"/>
              </w:rPr>
              <w:t> </w:t>
            </w:r>
            <w:r>
              <w:rPr>
                <w:spacing w:val="-6"/>
                <w:sz w:val="21"/>
              </w:rPr>
              <w:t>股全流通代码段，其中 </w:t>
            </w:r>
            <w:r>
              <w:rPr>
                <w:rFonts w:ascii="Times New Roman" w:eastAsia="Times New Roman"/>
                <w:spacing w:val="-1"/>
                <w:sz w:val="21"/>
              </w:rPr>
              <w:t>299881-299899</w:t>
            </w:r>
            <w:r>
              <w:rPr>
                <w:rFonts w:ascii="Times New Roman" w:eastAsia="Times New Roman"/>
                <w:spacing w:val="-8"/>
                <w:sz w:val="21"/>
              </w:rPr>
              <w:t> </w:t>
            </w:r>
            <w:r>
              <w:rPr>
                <w:spacing w:val="-1"/>
                <w:sz w:val="21"/>
              </w:rPr>
              <w:t>用作</w:t>
            </w:r>
            <w:r>
              <w:rPr>
                <w:rFonts w:ascii="Times New Roman" w:eastAsia="Times New Roman"/>
                <w:spacing w:val="-1"/>
                <w:sz w:val="21"/>
              </w:rPr>
              <w:t>H</w:t>
            </w:r>
            <w:r>
              <w:rPr>
                <w:rFonts w:ascii="Times New Roman" w:eastAsia="Times New Roman"/>
                <w:spacing w:val="-7"/>
                <w:sz w:val="21"/>
              </w:rPr>
              <w:t> </w:t>
            </w:r>
            <w:r>
              <w:rPr>
                <w:spacing w:val="-1"/>
                <w:sz w:val="21"/>
              </w:rPr>
              <w:t>股全</w:t>
            </w:r>
            <w:r>
              <w:rPr>
                <w:sz w:val="21"/>
              </w:rPr>
              <w:t>流通临时代码段（</w:t>
            </w:r>
            <w:r>
              <w:rPr>
                <w:rFonts w:ascii="Times New Roman" w:eastAsia="Times New Roman"/>
                <w:sz w:val="21"/>
              </w:rPr>
              <w:t>299901-299903 </w:t>
            </w:r>
            <w:r>
              <w:rPr>
                <w:spacing w:val="15"/>
                <w:sz w:val="21"/>
              </w:rPr>
              <w:t>为历史</w:t>
            </w:r>
            <w:r>
              <w:rPr>
                <w:rFonts w:ascii="Times New Roman" w:eastAsia="Times New Roman"/>
                <w:sz w:val="21"/>
              </w:rPr>
              <w:t>B </w:t>
            </w:r>
            <w:r>
              <w:rPr>
                <w:spacing w:val="47"/>
                <w:sz w:val="21"/>
              </w:rPr>
              <w:t>转</w:t>
            </w:r>
            <w:r>
              <w:rPr>
                <w:rFonts w:ascii="Times New Roman" w:eastAsia="Times New Roman"/>
                <w:sz w:val="21"/>
              </w:rPr>
              <w:t>H </w:t>
            </w:r>
            <w:r>
              <w:rPr>
                <w:sz w:val="21"/>
              </w:rPr>
              <w:t>股）；</w:t>
            </w:r>
          </w:p>
          <w:p>
            <w:pPr>
              <w:pStyle w:val="TableParagraph"/>
              <w:spacing w:before="2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299950-299999</w:t>
            </w:r>
            <w:r>
              <w:rPr>
                <w:spacing w:val="-4"/>
                <w:sz w:val="21"/>
              </w:rPr>
              <w:t>：</w:t>
            </w:r>
            <w:r>
              <w:rPr>
                <w:rFonts w:ascii="Times New Roman" w:eastAsia="Times New Roman"/>
                <w:spacing w:val="-4"/>
                <w:sz w:val="21"/>
              </w:rPr>
              <w:t>B</w:t>
            </w:r>
            <w:r>
              <w:rPr>
                <w:rFonts w:ascii="Times New Roman" w:eastAsia="Times New Roman"/>
                <w:spacing w:val="22"/>
                <w:sz w:val="21"/>
              </w:rPr>
              <w:t> </w:t>
            </w:r>
            <w:r>
              <w:rPr>
                <w:spacing w:val="-5"/>
                <w:sz w:val="21"/>
              </w:rPr>
              <w:t>股转换上市地至香港联合交易所有限公司上市代码</w:t>
            </w:r>
          </w:p>
          <w:p>
            <w:pPr>
              <w:pStyle w:val="TableParagraph"/>
              <w:spacing w:line="258" w:lineRule="exact" w:before="46"/>
              <w:ind w:left="98"/>
              <w:jc w:val="left"/>
              <w:rPr>
                <w:sz w:val="21"/>
              </w:rPr>
            </w:pPr>
            <w:r>
              <w:rPr>
                <w:spacing w:val="-9"/>
                <w:sz w:val="21"/>
              </w:rPr>
              <w:t>段。</w:t>
            </w:r>
          </w:p>
        </w:tc>
      </w:tr>
      <w:tr>
        <w:trPr>
          <w:trHeight w:val="64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创业板股票、创业板存托凭证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300000-309799</w:t>
            </w:r>
            <w:r>
              <w:rPr>
                <w:spacing w:val="-7"/>
                <w:sz w:val="21"/>
              </w:rPr>
              <w:t>：创业板股票；</w:t>
            </w:r>
          </w:p>
          <w:p>
            <w:pPr>
              <w:pStyle w:val="TableParagraph"/>
              <w:spacing w:line="257" w:lineRule="exact" w:before="48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309800-309999</w:t>
            </w:r>
            <w:r>
              <w:rPr>
                <w:spacing w:val="-7"/>
                <w:sz w:val="21"/>
              </w:rPr>
              <w:t>：创业板存托凭证。</w:t>
            </w: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创业板股东大会网络投票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18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6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4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5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主板股东大会网络投票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0"/>
        </w:rPr>
        <w:sectPr>
          <w:pgSz w:w="16840" w:h="11910" w:orient="landscape"/>
          <w:pgMar w:header="0" w:footer="1096" w:top="1340" w:bottom="1280" w:left="1760" w:right="2000"/>
        </w:sectPr>
      </w:pPr>
    </w:p>
    <w:p>
      <w:pPr>
        <w:pStyle w:val="BodyText"/>
        <w:rPr>
          <w:rFonts w:ascii="黑体"/>
          <w:sz w:val="19"/>
        </w:rPr>
      </w:pPr>
    </w:p>
    <w:tbl>
      <w:tblPr>
        <w:tblW w:w="0" w:type="auto"/>
        <w:jc w:val="left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3"/>
        <w:gridCol w:w="898"/>
        <w:gridCol w:w="889"/>
        <w:gridCol w:w="3560"/>
        <w:gridCol w:w="6501"/>
      </w:tblGrid>
      <w:tr>
        <w:trPr>
          <w:trHeight w:val="320" w:hRule="atLeast"/>
        </w:trPr>
        <w:tc>
          <w:tcPr>
            <w:tcW w:w="863" w:type="dxa"/>
            <w:tcBorders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第一位</w:t>
            </w:r>
          </w:p>
        </w:tc>
        <w:tc>
          <w:tcPr>
            <w:tcW w:w="8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第二位</w:t>
            </w:r>
          </w:p>
        </w:tc>
        <w:tc>
          <w:tcPr>
            <w:tcW w:w="88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3" w:right="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第三位</w:t>
            </w:r>
          </w:p>
        </w:tc>
        <w:tc>
          <w:tcPr>
            <w:tcW w:w="3560" w:type="dxa"/>
            <w:tcBorders>
              <w:lef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8" w:lineRule="exact" w:before="41"/>
              <w:ind w:left="1160"/>
              <w:jc w:val="left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证券产品类别</w:t>
            </w:r>
          </w:p>
        </w:tc>
        <w:tc>
          <w:tcPr>
            <w:tcW w:w="6501" w:type="dxa"/>
            <w:shd w:val="clear" w:color="auto" w:fill="CCCCCC"/>
          </w:tcPr>
          <w:p>
            <w:pPr>
              <w:pStyle w:val="TableParagraph"/>
              <w:spacing w:line="258" w:lineRule="exact" w:before="41"/>
              <w:ind w:left="12"/>
              <w:rPr>
                <w:b/>
                <w:sz w:val="21"/>
              </w:rPr>
            </w:pPr>
            <w:r>
              <w:rPr>
                <w:b/>
                <w:spacing w:val="-9"/>
                <w:sz w:val="21"/>
              </w:rPr>
              <w:t>备注</w:t>
            </w:r>
          </w:p>
        </w:tc>
      </w:tr>
      <w:tr>
        <w:trPr>
          <w:trHeight w:val="2240" w:hRule="atLeast"/>
        </w:trPr>
        <w:tc>
          <w:tcPr>
            <w:tcW w:w="86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200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200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1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6</w:t>
            </w:r>
          </w:p>
        </w:tc>
        <w:tc>
          <w:tcPr>
            <w:tcW w:w="8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200"/>
              <w:jc w:val="left"/>
              <w:rPr>
                <w:rFonts w:ascii="黑体"/>
                <w:sz w:val="21"/>
              </w:rPr>
            </w:pPr>
          </w:p>
          <w:p>
            <w:pPr>
              <w:pStyle w:val="TableParagraph"/>
              <w:spacing w:before="1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其他网络投票</w:t>
            </w:r>
          </w:p>
        </w:tc>
        <w:tc>
          <w:tcPr>
            <w:tcW w:w="65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2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369001-369399</w:t>
            </w:r>
            <w:r>
              <w:rPr>
                <w:spacing w:val="-7"/>
                <w:sz w:val="21"/>
              </w:rPr>
              <w:t>：基金持有人网络投票；</w:t>
            </w:r>
          </w:p>
          <w:p>
            <w:pPr>
              <w:pStyle w:val="TableParagraph"/>
              <w:spacing w:before="48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369401-369499</w:t>
            </w:r>
            <w:r>
              <w:rPr>
                <w:spacing w:val="-5"/>
                <w:sz w:val="21"/>
              </w:rPr>
              <w:t>：赔付申报；</w:t>
            </w:r>
          </w:p>
          <w:p>
            <w:pPr>
              <w:pStyle w:val="TableParagraph"/>
              <w:spacing w:before="47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369501-369599</w:t>
            </w:r>
            <w:r>
              <w:rPr>
                <w:spacing w:val="-7"/>
                <w:sz w:val="21"/>
              </w:rPr>
              <w:t>：债券等固定收益产品持有人网络投票；</w:t>
            </w:r>
          </w:p>
          <w:p>
            <w:pPr>
              <w:pStyle w:val="TableParagraph"/>
              <w:spacing w:before="46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369601-369799</w:t>
            </w:r>
            <w:r>
              <w:rPr>
                <w:spacing w:val="-7"/>
                <w:sz w:val="21"/>
              </w:rPr>
              <w:t>：主板优先股网络投票；</w:t>
            </w:r>
          </w:p>
          <w:p>
            <w:pPr>
              <w:pStyle w:val="TableParagraph"/>
              <w:spacing w:before="48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369801-369899</w:t>
            </w:r>
            <w:r>
              <w:rPr>
                <w:spacing w:val="-7"/>
                <w:sz w:val="21"/>
              </w:rPr>
              <w:t>：创业板优先股网络投票；</w:t>
            </w:r>
          </w:p>
          <w:p>
            <w:pPr>
              <w:pStyle w:val="TableParagraph"/>
              <w:spacing w:before="47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369991</w:t>
            </w:r>
            <w:r>
              <w:rPr>
                <w:spacing w:val="-7"/>
                <w:sz w:val="21"/>
              </w:rPr>
              <w:t>：结算总公司密码服务申报代码预留；</w:t>
            </w:r>
          </w:p>
          <w:p>
            <w:pPr>
              <w:pStyle w:val="TableParagraph"/>
              <w:spacing w:line="258" w:lineRule="exact" w:before="46"/>
              <w:ind w:left="98"/>
              <w:jc w:val="left"/>
              <w:rPr>
                <w:sz w:val="21"/>
              </w:rPr>
            </w:pPr>
            <w:r>
              <w:rPr>
                <w:rFonts w:ascii="Times New Roman" w:eastAsia="Times New Roman"/>
                <w:spacing w:val="-6"/>
                <w:sz w:val="21"/>
              </w:rPr>
              <w:t>369999</w:t>
            </w:r>
            <w:r>
              <w:rPr>
                <w:spacing w:val="-7"/>
                <w:sz w:val="21"/>
              </w:rPr>
              <w:t>：网络投票系统股东身份密码服务申报代码。</w:t>
            </w:r>
          </w:p>
        </w:tc>
      </w:tr>
      <w:tr>
        <w:trPr>
          <w:trHeight w:val="64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7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20" w:lineRule="exact"/>
              <w:ind w:left="107" w:right="8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创业板股票及存托凭证增发、可转换公司债券申购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4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20" w:lineRule="exact"/>
              <w:ind w:left="107" w:right="8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创业板配股及存托凭证优先权、可转换公司债券优先权认购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统计指标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9"/>
                <w:sz w:val="21"/>
              </w:rPr>
              <w:t>指数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0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企业资产支持证券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企业资产支持证券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3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非公开发行公司债券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2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4-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公开发行公司债券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6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地方政府债券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7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地方政府债券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地方政府债券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5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地方政府债券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7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1" w:lineRule="exact" w:before="59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41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交易系统转发国证指数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8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4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8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 w:before="60"/>
              <w:ind w:left="13" w:right="3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42"/>
              <w:ind w:left="107"/>
              <w:jc w:val="left"/>
              <w:rPr>
                <w:sz w:val="21"/>
              </w:rPr>
            </w:pPr>
            <w:r>
              <w:rPr>
                <w:spacing w:val="-7"/>
                <w:sz w:val="21"/>
              </w:rPr>
              <w:t>交易系统转发国证指数</w:t>
            </w:r>
          </w:p>
        </w:tc>
        <w:tc>
          <w:tcPr>
            <w:tcW w:w="650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2"/>
        <w:rPr>
          <w:rFonts w:ascii="黑体"/>
        </w:rPr>
      </w:pPr>
    </w:p>
    <w:p>
      <w:pPr>
        <w:pStyle w:val="BodyText"/>
        <w:spacing w:before="1"/>
        <w:ind w:left="224"/>
      </w:pPr>
      <w:r>
        <w:rPr>
          <w:spacing w:val="-6"/>
        </w:rPr>
        <w:t>备注：120000-129999</w:t>
      </w:r>
      <w:r>
        <w:rPr>
          <w:spacing w:val="-8"/>
        </w:rPr>
        <w:t> 区间中已发行的可转换公司债券继续保留原代码</w:t>
      </w:r>
    </w:p>
    <w:p>
      <w:pPr>
        <w:spacing w:after="0"/>
        <w:sectPr>
          <w:pgSz w:w="16840" w:h="11910" w:orient="landscape"/>
          <w:pgMar w:header="0" w:footer="1096" w:top="1340" w:bottom="1280" w:left="1760" w:right="2000"/>
        </w:sectPr>
      </w:pPr>
    </w:p>
    <w:p>
      <w:pPr>
        <w:pStyle w:val="BodyText"/>
        <w:spacing w:before="49"/>
        <w:rPr>
          <w:sz w:val="32"/>
        </w:rPr>
      </w:pPr>
    </w:p>
    <w:p>
      <w:pPr>
        <w:spacing w:before="0"/>
        <w:ind w:left="224" w:right="0" w:firstLine="0"/>
        <w:jc w:val="left"/>
        <w:rPr>
          <w:rFonts w:ascii="黑体" w:eastAsia="黑体"/>
          <w:sz w:val="32"/>
        </w:rPr>
      </w:pPr>
      <w:r>
        <w:rPr>
          <w:rFonts w:ascii="黑体" w:eastAsia="黑体"/>
          <w:spacing w:val="-9"/>
          <w:sz w:val="32"/>
        </w:rPr>
        <w:t>二、八位数字编码</w:t>
      </w:r>
    </w:p>
    <w:p>
      <w:pPr>
        <w:pStyle w:val="BodyText"/>
        <w:spacing w:before="5"/>
        <w:rPr>
          <w:rFonts w:ascii="黑体"/>
          <w:sz w:val="18"/>
        </w:rPr>
      </w:pPr>
    </w:p>
    <w:tbl>
      <w:tblPr>
        <w:tblW w:w="0" w:type="auto"/>
        <w:jc w:val="left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0"/>
        <w:gridCol w:w="1171"/>
        <w:gridCol w:w="1171"/>
        <w:gridCol w:w="5548"/>
      </w:tblGrid>
      <w:tr>
        <w:trPr>
          <w:trHeight w:val="320" w:hRule="atLeast"/>
        </w:trPr>
        <w:tc>
          <w:tcPr>
            <w:tcW w:w="1170" w:type="dxa"/>
            <w:tcBorders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9" w:lineRule="exact" w:before="41"/>
              <w:ind w:left="265"/>
              <w:jc w:val="left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第一位</w:t>
            </w:r>
          </w:p>
        </w:tc>
        <w:tc>
          <w:tcPr>
            <w:tcW w:w="117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9" w:lineRule="exact" w:before="41"/>
              <w:ind w:left="10" w:right="1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第二位</w:t>
            </w:r>
          </w:p>
        </w:tc>
        <w:tc>
          <w:tcPr>
            <w:tcW w:w="117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9" w:lineRule="exact" w:before="41"/>
              <w:ind w:left="10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第三位</w:t>
            </w:r>
          </w:p>
        </w:tc>
        <w:tc>
          <w:tcPr>
            <w:tcW w:w="5548" w:type="dxa"/>
            <w:tcBorders>
              <w:left w:val="single" w:sz="4" w:space="0" w:color="000000"/>
            </w:tcBorders>
            <w:shd w:val="clear" w:color="auto" w:fill="CCCCCC"/>
          </w:tcPr>
          <w:p>
            <w:pPr>
              <w:pStyle w:val="TableParagraph"/>
              <w:spacing w:line="259" w:lineRule="exact" w:before="41"/>
              <w:ind w:left="23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证券产品类别</w:t>
            </w:r>
          </w:p>
        </w:tc>
      </w:tr>
      <w:tr>
        <w:trPr>
          <w:trHeight w:val="310" w:hRule="atLeast"/>
        </w:trPr>
        <w:tc>
          <w:tcPr>
            <w:tcW w:w="117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22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1" w:lineRule="exact" w:before="59"/>
              <w:ind w:left="10" w:right="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1</w:t>
            </w:r>
          </w:p>
        </w:tc>
        <w:tc>
          <w:tcPr>
            <w:tcW w:w="11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1" w:lineRule="exact" w:before="59"/>
              <w:ind w:left="10" w:right="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55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9" w:lineRule="exact" w:before="42"/>
              <w:ind w:left="106"/>
              <w:jc w:val="left"/>
              <w:rPr>
                <w:rFonts w:ascii="Times New Roman" w:eastAsia="Times New Roman"/>
                <w:sz w:val="21"/>
              </w:rPr>
            </w:pPr>
            <w:r>
              <w:rPr>
                <w:rFonts w:ascii="Times New Roman" w:eastAsia="Times New Roman"/>
                <w:spacing w:val="-4"/>
                <w:sz w:val="21"/>
              </w:rPr>
              <w:t>ETF</w:t>
            </w:r>
            <w:r>
              <w:rPr>
                <w:rFonts w:ascii="Times New Roman" w:eastAsia="Times New Roman"/>
                <w:spacing w:val="-1"/>
                <w:sz w:val="21"/>
              </w:rPr>
              <w:t> </w:t>
            </w:r>
            <w:r>
              <w:rPr>
                <w:spacing w:val="-11"/>
                <w:sz w:val="21"/>
              </w:rPr>
              <w:t>期权编码区间为 </w:t>
            </w:r>
            <w:r>
              <w:rPr>
                <w:rFonts w:ascii="Times New Roman" w:eastAsia="Times New Roman"/>
                <w:spacing w:val="-4"/>
                <w:sz w:val="21"/>
              </w:rPr>
              <w:t>90000001-91999999</w:t>
            </w:r>
          </w:p>
        </w:tc>
      </w:tr>
      <w:tr>
        <w:trPr>
          <w:trHeight w:val="309" w:hRule="atLeast"/>
        </w:trPr>
        <w:tc>
          <w:tcPr>
            <w:tcW w:w="117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8"/>
              <w:ind w:left="10" w:right="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2-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8"/>
              <w:ind w:left="10" w:right="2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5"/>
                <w:sz w:val="21"/>
              </w:rPr>
              <w:t>0-</w:t>
            </w:r>
            <w:r>
              <w:rPr>
                <w:rFonts w:ascii="Times New Roman"/>
                <w:spacing w:val="-10"/>
                <w:sz w:val="21"/>
              </w:rPr>
              <w:t>9</w:t>
            </w:r>
          </w:p>
        </w:tc>
        <w:tc>
          <w:tcPr>
            <w:tcW w:w="554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59" w:lineRule="exact" w:before="30"/>
              <w:ind w:left="106"/>
              <w:jc w:val="left"/>
              <w:rPr>
                <w:rFonts w:ascii="Times New Roman" w:eastAsia="Times New Roman"/>
                <w:sz w:val="21"/>
              </w:rPr>
            </w:pPr>
            <w:r>
              <w:rPr>
                <w:spacing w:val="-8"/>
                <w:sz w:val="21"/>
              </w:rPr>
              <w:t>个股期权编码区间为 </w:t>
            </w:r>
            <w:r>
              <w:rPr>
                <w:rFonts w:ascii="Times New Roman" w:eastAsia="Times New Roman"/>
                <w:spacing w:val="-6"/>
                <w:sz w:val="21"/>
              </w:rPr>
              <w:t>92000001-99999999</w:t>
            </w:r>
          </w:p>
        </w:tc>
      </w:tr>
    </w:tbl>
    <w:sectPr>
      <w:pgSz w:w="16840" w:h="11910" w:orient="landscape"/>
      <w:pgMar w:header="0" w:footer="1096" w:top="1340" w:bottom="1280" w:left="1760" w:right="2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华康黑体W5(P)">
    <w:altName w:val="华康黑体W5(P)"/>
    <w:charset w:val="86"/>
    <w:family w:val="swiss"/>
    <w:pitch w:val="variable"/>
  </w:font>
  <w:font w:name="黑体">
    <w:altName w:val="黑体"/>
    <w:charset w:val="86"/>
    <w:family w:val="modern"/>
    <w:pitch w:val="fixed"/>
  </w:font>
  <w:font w:name="宋体">
    <w:altName w:val="宋体"/>
    <w:charset w:val="86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07904">
              <wp:simplePos x="0" y="0"/>
              <wp:positionH relativeFrom="page">
                <wp:posOffset>8721331</wp:posOffset>
              </wp:positionH>
              <wp:positionV relativeFrom="page">
                <wp:posOffset>6724583</wp:posOffset>
              </wp:positionV>
              <wp:extent cx="648970" cy="205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4897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3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</w:rPr>
                            <w:t>1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86.718994pt;margin-top:529.494751pt;width:51.1pt;height:16.2pt;mso-position-horizontal-relative:page;mso-position-vertical-relative:page;z-index:-16408576" type="#_x0000_t202" id="docshape1" filled="false" stroked="false">
              <v:textbox inset="0,0,0,0">
                <w:txbxContent>
                  <w:p>
                    <w:pPr>
                      <w:spacing w:line="323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—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</w:rPr>
                      <w:instrText> PAGE </w:instrText>
                    </w:r>
                    <w:r>
                      <w:rPr>
                        <w:sz w:val="28"/>
                      </w:rPr>
                      <w:fldChar w:fldCharType="separate"/>
                    </w:r>
                    <w:r>
                      <w:rPr>
                        <w:sz w:val="28"/>
                      </w:rPr>
                      <w:t>1</w:t>
                    </w:r>
                    <w:r>
                      <w:rPr>
                        <w:sz w:val="28"/>
                      </w:rPr>
                      <w:fldChar w:fldCharType="end"/>
                    </w:r>
                    <w:r>
                      <w:rPr>
                        <w:sz w:val="28"/>
                      </w:rPr>
                      <w:t> </w:t>
                    </w:r>
                    <w:r>
                      <w:rPr>
                        <w:spacing w:val="-10"/>
                        <w:sz w:val="28"/>
                      </w:rPr>
                      <w:t>—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08416">
              <wp:simplePos x="0" y="0"/>
              <wp:positionH relativeFrom="page">
                <wp:posOffset>1250696</wp:posOffset>
              </wp:positionH>
              <wp:positionV relativeFrom="page">
                <wp:posOffset>6724583</wp:posOffset>
              </wp:positionV>
              <wp:extent cx="648970" cy="2057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897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23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—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</w:rPr>
                            <w:t>2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8.480003pt;margin-top:529.494751pt;width:51.1pt;height:16.2pt;mso-position-horizontal-relative:page;mso-position-vertical-relative:page;z-index:-16408064" type="#_x0000_t202" id="docshape2" filled="false" stroked="false">
              <v:textbox inset="0,0,0,0">
                <w:txbxContent>
                  <w:p>
                    <w:pPr>
                      <w:spacing w:line="323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—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</w:rPr>
                      <w:instrText> PAGE </w:instrText>
                    </w:r>
                    <w:r>
                      <w:rPr>
                        <w:sz w:val="28"/>
                      </w:rPr>
                      <w:fldChar w:fldCharType="separate"/>
                    </w:r>
                    <w:r>
                      <w:rPr>
                        <w:sz w:val="28"/>
                      </w:rPr>
                      <w:t>2</w:t>
                    </w:r>
                    <w:r>
                      <w:rPr>
                        <w:sz w:val="28"/>
                      </w:rPr>
                      <w:fldChar w:fldCharType="end"/>
                    </w:r>
                    <w:r>
                      <w:rPr>
                        <w:sz w:val="28"/>
                      </w:rPr>
                      <w:t> </w:t>
                    </w:r>
                    <w:r>
                      <w:rPr>
                        <w:spacing w:val="-10"/>
                        <w:sz w:val="28"/>
                      </w:rPr>
                      <w:t>—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宋体" w:hAnsi="宋体" w:eastAsia="宋体" w:cs="宋体"/>
      <w:sz w:val="21"/>
      <w:szCs w:val="21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239"/>
      <w:ind w:left="9"/>
      <w:jc w:val="center"/>
    </w:pPr>
    <w:rPr>
      <w:rFonts w:ascii="华康黑体W5(P)" w:hAnsi="华康黑体W5(P)" w:eastAsia="华康黑体W5(P)" w:cs="华康黑体W5(P)"/>
      <w:sz w:val="44"/>
      <w:szCs w:val="44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2026-03-11T05:31:19Z</dcterms:created>
  <dcterms:modified xsi:type="dcterms:W3CDTF">2026-03-11T05:31:19Z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2026-03-11T00:00:00Z</vt:filetime>
  </property>
</Properties>
</file>