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0.png" ContentType="image/png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extrapolation</w:t>
      </w:r>
      <w:r>
        <w:t xml:space="preserve"> </w:t>
      </w:r>
      <w:r>
        <w:t xml:space="preserve">-</w:t>
      </w:r>
      <w:r>
        <w:t xml:space="preserve"> </w:t>
      </w: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NCPE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2023</w:t>
      </w:r>
    </w:p>
    <w:bookmarkStart w:id="21" w:name="X2b6232ca410a97e5566661352b44773b8a1fbd2"/>
    <w:p>
      <w:pPr>
        <w:pStyle w:val="Heading2"/>
      </w:pPr>
      <w:r>
        <w:t xml:space="preserve">Expert opinion and construction of a prior distribution</w:t>
      </w:r>
    </w:p>
    <w:p>
      <w:pPr>
        <w:pStyle w:val="FirstParagraph"/>
      </w:pPr>
      <w:r>
        <w:t xml:space="preserve">Published NICE committee slides, see slide 24 of</w:t>
      </w:r>
      <w:r>
        <w:t xml:space="preserve"> </w:t>
      </w:r>
      <w:hyperlink r:id="rId20">
        <w:r>
          <w:rPr>
            <w:rStyle w:val="Hyperlink"/>
          </w:rPr>
          <w:t xml:space="preserve">https://www.nice.org.uk/guidance/ta650/documents/1</w:t>
        </w:r>
      </w:hyperlink>
      <w:r>
        <w:t xml:space="preserve">, provides a summary of clinical experts’ opinion on 5-year OS:</w:t>
      </w:r>
    </w:p>
    <w:p>
      <w:pPr>
        <w:numPr>
          <w:ilvl w:val="0"/>
          <w:numId w:val="1001"/>
        </w:numPr>
      </w:pPr>
      <w:r>
        <w:t xml:space="preserve">Company: 50%</w:t>
      </w:r>
    </w:p>
    <w:p>
      <w:pPr>
        <w:numPr>
          <w:ilvl w:val="0"/>
          <w:numId w:val="1001"/>
        </w:numPr>
      </w:pPr>
      <w:r>
        <w:t xml:space="preserve">ERG: 50% is optimistic</w:t>
      </w:r>
    </w:p>
    <w:p>
      <w:pPr>
        <w:numPr>
          <w:ilvl w:val="0"/>
          <w:numId w:val="1001"/>
        </w:numPr>
      </w:pPr>
      <w:r>
        <w:t xml:space="preserve">NICE technical team: 30%</w:t>
      </w:r>
    </w:p>
    <w:p>
      <w:pPr>
        <w:pStyle w:val="FirstParagraph"/>
      </w:pPr>
      <w:r>
        <w:t xml:space="preserve">For the NCPE assessment (data on file), experts were presented with OS predictions from the six standard parametric distributions and asked to comment on their plausibility:</w:t>
      </w:r>
    </w:p>
    <w:p>
      <w:pPr>
        <w:numPr>
          <w:ilvl w:val="0"/>
          <w:numId w:val="1002"/>
        </w:numPr>
      </w:pPr>
      <w:r>
        <w:t xml:space="preserve">Expert 1 stated that the curves giving estimates of 20% and 39% were plausible, said nothing about model 3 (45%), and considered all higher estimates of 5-year OS to be implausible.</w:t>
      </w:r>
    </w:p>
    <w:p>
      <w:pPr>
        <w:numPr>
          <w:ilvl w:val="0"/>
          <w:numId w:val="1002"/>
        </w:numPr>
      </w:pPr>
      <w:r>
        <w:t xml:space="preserve">Expert 2 identified the curve giving a 5-year OS of 45% as the most appropriate, with other</w:t>
      </w:r>
      <w:r>
        <w:t xml:space="preserve"> </w:t>
      </w:r>
      <w:r>
        <w:t xml:space="preserve">‘</w:t>
      </w:r>
      <w:r>
        <w:t xml:space="preserve">plausible</w:t>
      </w:r>
      <w:r>
        <w:t xml:space="preserve">’</w:t>
      </w:r>
      <w:r>
        <w:t xml:space="preserve"> </w:t>
      </w:r>
      <w:r>
        <w:t xml:space="preserve">curves giving a range of 20% to 54%.</w:t>
      </w:r>
    </w:p>
    <w:p>
      <w:pPr>
        <w:pStyle w:val="FirstParagraph"/>
      </w:pPr>
      <w:r>
        <w:t xml:space="preserve">The authors considered a range of 20% to 55% to give a reasonable summary of experts’ expectations of 5-year overall survival. For simplicity, a normal distribution was selected for the prior, with 95% prior density contained in the range 20% to 55%.</w:t>
      </w:r>
    </w:p>
    <w:bookmarkEnd w:id="21"/>
    <w:bookmarkStart w:id="76" w:name="Xd015e04e27a35b89d9811e23a8501aba9dd7ab6"/>
    <w:p>
      <w:pPr>
        <w:pStyle w:val="Heading2"/>
      </w:pPr>
      <w:r>
        <w:t xml:space="preserve">Importance sampling: model diagnostics, parameter distributions, and survival estimates</w:t>
      </w:r>
    </w:p>
    <w:p>
      <w:pPr>
        <w:pStyle w:val="FirstParagraph"/>
      </w:pPr>
      <w:r>
        <w:t xml:space="preserve">We can now examine importance sampling diagnostics, comparisons of likelihood and posterior parameter distributions, and survival time distributions, using the function</w:t>
      </w:r>
      <w:r>
        <w:t xml:space="preserve"> </w:t>
      </w:r>
      <w:r>
        <w:rPr>
          <w:rStyle w:val="VerbatimChar"/>
        </w:rPr>
        <w:t xml:space="preserve">expert_surv_viz_gg</w:t>
      </w:r>
      <w:r>
        <w:t xml:space="preserve">.</w:t>
      </w:r>
    </w:p>
    <w:p>
      <w:pPr>
        <w:pStyle w:val="TableCaption"/>
      </w:pPr>
      <w:r>
        <w:t xml:space="preserve">MLE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Parameter Estimates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-4.562874</w:t>
            </w:r>
          </w:p>
        </w:tc>
      </w:tr>
    </w:tbl>
    <w:p/>
    <w:p>
      <w:pPr>
        <w:pStyle w:val="TableCaption"/>
      </w:pPr>
      <w:r>
        <w:t xml:space="preserve">MLE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Covariance Matrix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0.0169491</w:t>
            </w:r>
          </w:p>
        </w:tc>
      </w:tr>
    </w:tbl>
    <w:p/>
    <w:p>
      <w:pPr>
        <w:pStyle w:val="TableCaption"/>
      </w:pPr>
      <w:r>
        <w:t xml:space="preserve">IS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Parameter Estimates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-4.467088</w:t>
            </w:r>
          </w:p>
        </w:tc>
      </w:tr>
    </w:tbl>
    <w:p/>
    <w:p>
      <w:pPr>
        <w:pStyle w:val="TableCaption"/>
      </w:pPr>
      <w:r>
        <w:t xml:space="preserve">IS Covariance Matrix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IS Covariance Matrix"/>
      </w:tblPr>
      <w:tblGrid>
        <w:gridCol w:w="7920"/>
      </w:tblGrid>
      <w:tr>
        <w:tc>
          <w:tcPr/>
          <w:p>
            <w:pPr>
              <w:pStyle w:val="Compact"/>
              <w:jc w:val="right"/>
            </w:pPr>
            <w:r>
              <w:t xml:space="preserve">0.0138444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MLE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0.2028128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4.2127617</w:t>
            </w:r>
          </w:p>
        </w:tc>
      </w:tr>
    </w:tbl>
    <w:p/>
    <w:p>
      <w:pPr>
        <w:pStyle w:val="TableCaption"/>
      </w:pPr>
      <w:r>
        <w:t xml:space="preserve">MLE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0.0147844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-0.0228526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-0.0228526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0.0466213</w:t>
            </w:r>
          </w:p>
        </w:tc>
      </w:tr>
    </w:tbl>
    <w:p/>
    <w:p>
      <w:pPr>
        <w:pStyle w:val="TableCaption"/>
      </w:pPr>
      <w:r>
        <w:t xml:space="preserve">IS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0.2199019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4.1750757</w:t>
            </w:r>
          </w:p>
        </w:tc>
      </w:tr>
    </w:tbl>
    <w:p/>
    <w:p>
      <w:pPr>
        <w:pStyle w:val="TableCaption"/>
      </w:pPr>
      <w:r>
        <w:t xml:space="preserve">IS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0.0094518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-0.0118402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-0.0118402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0.0235769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MLE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0.0389625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-4.8682858</w:t>
            </w:r>
          </w:p>
        </w:tc>
      </w:tr>
    </w:tbl>
    <w:p/>
    <w:p>
      <w:pPr>
        <w:pStyle w:val="TableCaption"/>
      </w:pPr>
      <w:r>
        <w:t xml:space="preserve">MLE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-0.0056125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-0.0056125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0.0636359</w:t>
            </w:r>
          </w:p>
        </w:tc>
      </w:tr>
    </w:tbl>
    <w:p/>
    <w:p>
      <w:pPr>
        <w:pStyle w:val="TableCaption"/>
      </w:pPr>
      <w:r>
        <w:t xml:space="preserve">IS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0.0197027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-4.7220927</w:t>
            </w:r>
          </w:p>
        </w:tc>
      </w:tr>
    </w:tbl>
    <w:p/>
    <w:p>
      <w:pPr>
        <w:pStyle w:val="TableCaption"/>
      </w:pPr>
      <w:r>
        <w:t xml:space="preserve">IS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-0.0013281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-0.0013281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0.0316264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MLE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4.5379239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0.5475716</w:t>
            </w:r>
          </w:p>
        </w:tc>
      </w:tr>
    </w:tbl>
    <w:p/>
    <w:p>
      <w:pPr>
        <w:pStyle w:val="TableCaption"/>
      </w:pPr>
      <w:r>
        <w:t xml:space="preserve">MLE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0.0696811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0.0247171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0.0247171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0.0114622</w:t>
            </w:r>
          </w:p>
        </w:tc>
      </w:tr>
    </w:tbl>
    <w:p/>
    <w:p>
      <w:pPr>
        <w:pStyle w:val="TableCaption"/>
      </w:pPr>
      <w:r>
        <w:t xml:space="preserve">IS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4.2299230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0.4404943</w:t>
            </w:r>
          </w:p>
        </w:tc>
      </w:tr>
    </w:tbl>
    <w:p/>
    <w:p>
      <w:pPr>
        <w:pStyle w:val="TableCaption"/>
      </w:pPr>
      <w:r>
        <w:t xml:space="preserve">IS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meanlog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0.0545435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0.0201378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0.0201378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0.0100655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MLE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0.2450539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4.0866467</w:t>
            </w:r>
          </w:p>
        </w:tc>
      </w:tr>
    </w:tbl>
    <w:p/>
    <w:p>
      <w:pPr>
        <w:pStyle w:val="TableCaption"/>
      </w:pPr>
      <w:r>
        <w:t xml:space="preserve">MLE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-0.0213001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-0.0213001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0.0434079</w:t>
            </w:r>
          </w:p>
        </w:tc>
      </w:tr>
    </w:tbl>
    <w:p/>
    <w:p>
      <w:pPr>
        <w:pStyle w:val="TableCaption"/>
      </w:pPr>
      <w:r>
        <w:t xml:space="preserve">IS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0.3103417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3.9558382</w:t>
            </w:r>
          </w:p>
        </w:tc>
      </w:tr>
    </w:tbl>
    <w:p/>
    <w:p>
      <w:pPr>
        <w:pStyle w:val="TableCaption"/>
      </w:pPr>
      <w:r>
        <w:t xml:space="preserve">IS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Covariance Matrix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0.0111243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-0.0139385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-0.0139385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0.0276608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MLE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4.1703317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-0.3599072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1.2031485</w:t>
            </w:r>
          </w:p>
        </w:tc>
      </w:tr>
    </w:tbl>
    <w:p/>
    <w:p>
      <w:pPr>
        <w:pStyle w:val="TableCaption"/>
      </w:pPr>
      <w:r>
        <w:t xml:space="preserve">MLE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LE Covariance Matrix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0.1026807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0.2899736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-0.3589428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0.2899736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1.2303463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-1.6290913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-0.3589428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-1.6290913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2.1837103</w:t>
            </w:r>
          </w:p>
        </w:tc>
      </w:tr>
    </w:tbl>
    <w:p/>
    <w:p>
      <w:pPr>
        <w:pStyle w:val="TableCaption"/>
      </w:pPr>
      <w:r>
        <w:t xml:space="preserve">IS Parameter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Parameter Estima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4.1857610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-0.3818327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1.2508022</w:t>
            </w:r>
          </w:p>
        </w:tc>
      </w:tr>
    </w:tbl>
    <w:p/>
    <w:p>
      <w:pPr>
        <w:pStyle w:val="TableCaption"/>
      </w:pPr>
      <w:r>
        <w:t xml:space="preserve">IS Covariance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IS Covariance Matrix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0.0219135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0.0031467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0.0125013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0.0031467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0.2238160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-0.3291366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0.0125013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-0.3291366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0.5057176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llplots-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78" w:name="parameter-variability"/>
    <w:p>
      <w:pPr>
        <w:pStyle w:val="Heading2"/>
      </w:pPr>
      <w:r>
        <w:t xml:space="preserve">Parameter variability</w:t>
      </w:r>
    </w:p>
    <w:p>
      <w:pPr>
        <w:pStyle w:val="FirstParagraph"/>
      </w:pPr>
      <w:r>
        <w:t xml:space="preserve">Compare</w:t>
      </w:r>
      <w:r>
        <w:t xml:space="preserve"> </w:t>
      </w:r>
      <w:r>
        <w:t xml:space="preserve">‘</w:t>
      </w:r>
      <w:r>
        <w:t xml:space="preserve">Generalised variance,</w:t>
      </w:r>
      <w:r>
        <w:t xml:space="preserve">’</w:t>
      </w:r>
      <w:r>
        <w:t xml:space="preserve"> </w:t>
      </w:r>
      <w:r>
        <w:t xml:space="preserve">i.e., determinants of variance-covariance matrices. This gives the area of the 95% highest density ellipse and can be interpreted as a 1-parameter measure of parameter uncertainty. See</w:t>
      </w:r>
      <w:r>
        <w:t xml:space="preserve"> </w:t>
      </w:r>
      <w:hyperlink r:id="rId77">
        <w:r>
          <w:rPr>
            <w:rStyle w:val="Hyperlink"/>
          </w:rPr>
          <w:t xml:space="preserve">https://stats.stackexchange.com/questions/12762/measure-of-spread-of-a-multivariate-normal-distribution</w:t>
        </w:r>
      </w:hyperlink>
      <w:r>
        <w:t xml:space="preserve"> 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MLE.Variance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IS.Variance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0.0957855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0.0169491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0.0138444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0.8168193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weibull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0.0413796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0.4948566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gompertz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0.1474564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0.1140791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lognormal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0.3260830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0.7641277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llogis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0.1461963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0.6466355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gengamma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0.0546778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0.1138456</w:t>
            </w:r>
          </w:p>
        </w:tc>
      </w:tr>
    </w:tbl>
    <w:bookmarkEnd w:id="78"/>
    <w:bookmarkStart w:id="128" w:name="comparison-with-expertsurv-output"/>
    <w:p>
      <w:pPr>
        <w:pStyle w:val="Heading1"/>
      </w:pPr>
      <w:r>
        <w:t xml:space="preserve">Comparison with expertsurv output</w:t>
      </w:r>
    </w:p>
    <w:bookmarkStart w:id="119" w:name="plots-of-survival-curves-over-time"/>
    <w:p>
      <w:pPr>
        <w:pStyle w:val="Heading2"/>
      </w:pPr>
      <w:r>
        <w:t xml:space="preserve">Plots of survival curves over time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expersurvIS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expersurvIS-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expersurvIS-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expersurvIS-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expersurvIS-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expersurvIS-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expersurvIS-7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8" w:name="comparisons-of-parameter-distributions"/>
    <w:p>
      <w:pPr>
        <w:pStyle w:val="Heading3"/>
      </w:pPr>
      <w:r>
        <w:t xml:space="preserve">Comparisons of parameter distributions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plotparams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plotparams-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plotparams-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plotparams-4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plotparams-5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plotparams-6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End w:id="119"/>
    <w:bookmarkStart w:id="123" w:name="comparisons-of-auc-distributions"/>
    <w:p>
      <w:pPr>
        <w:pStyle w:val="Heading2"/>
      </w:pPr>
      <w:r>
        <w:t xml:space="preserve">Comparisons of AUC distributions</w:t>
      </w:r>
    </w:p>
    <w:p>
      <w:pPr>
        <w:pStyle w:val="SourceCode"/>
      </w:pPr>
      <w:r>
        <w:rPr>
          <w:rStyle w:val="VerbatimChar"/>
        </w:rPr>
        <w:t xml:space="preserve">## `summarise()` has grouped output by 'Distribution'. You can override using the</w:t>
      </w:r>
      <w:r>
        <w:br/>
      </w:r>
      <w:r>
        <w:rPr>
          <w:rStyle w:val="VerbatimChar"/>
        </w:rPr>
        <w:t xml:space="preserve">## `.groups` argument.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7"/>
        <w:gridCol w:w="2376"/>
        <w:gridCol w:w="2277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expertsurv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Mean.Diff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Var.Ratio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88.48 (70.48, 109.73)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87.74 (69.78, 109.28)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gengamma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62.23 (42.85, 103.18)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71.11 (38.84, 216.27)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gompertz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55.85 (39.56, 92.84)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53.89 (39.24, 85.24)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llogis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123.17 (77.65, 189.59)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119.06 (71.11, 181.96)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202.54 (126.08, 311.84)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183.80 (97.93, 295.22)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weibull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62.43 (45.73, 90.16)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61.93 (44.18, 85.17)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Picking joint bandwidth of 3.28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AUC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Start w:id="127" w:name="comparisons-of-5-year-os"/>
    <w:p>
      <w:pPr>
        <w:pStyle w:val="Heading2"/>
      </w:pPr>
      <w:r>
        <w:t xml:space="preserve">Comparisons of 5-year OS</w:t>
      </w:r>
    </w:p>
    <w:p>
      <w:pPr>
        <w:pStyle w:val="SourceCode"/>
      </w:pPr>
      <w:r>
        <w:rPr>
          <w:rStyle w:val="VerbatimChar"/>
        </w:rPr>
        <w:t xml:space="preserve">## `summarise()` has grouped output by 'Distribution'. You can override using the</w:t>
      </w:r>
      <w:r>
        <w:br/>
      </w:r>
      <w:r>
        <w:rPr>
          <w:rStyle w:val="VerbatimChar"/>
        </w:rPr>
        <w:t xml:space="preserve">## `.groups` argument.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91"/>
        <w:gridCol w:w="1177"/>
        <w:gridCol w:w="1070"/>
        <w:gridCol w:w="1070"/>
        <w:gridCol w:w="1070"/>
        <w:gridCol w:w="1070"/>
        <w:gridCol w:w="10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lwr.95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upr.95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0.5015712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0.5028130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0.0403055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0.4232340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0.5775170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expertsurv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0.5046627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0.5055975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0.0387414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0.4268043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0.5787865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Gen. Gamma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0.3894131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0.4011250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0.0973911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0.1665180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0.5504477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Gen. Gamma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expertsurv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0.4008263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0.4002772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0.0711704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0.2544532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0.5387806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Gompertz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0.3563374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0.3597580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0.0886875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0.1767547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0.5186724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Gompertz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expertsurv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0.3588510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0.3600741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0.0871142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0.1883793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0.5277247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Log-logistic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0.4489415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0.4525138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0.0597830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0.3221308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0.5546484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Log-logistic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expertsurv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0.4587555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0.4594696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0.0537035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0.3519203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0.5629648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Log-normal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0.5294063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0.5343886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0.0572427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0.4076783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0.6269207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Log-normal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expertsurv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0.5511250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0.5519835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0.0450352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0.4642199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0.6366939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Weibull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0.4005433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0.4056199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0.0665464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0.2585982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0.5130380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Weibull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expertsurv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0.4032310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0.4040838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0.0652862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0.2763925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0.5268926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Picking joint bandwidth of 0.0105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2024_07_26_Supplementary_appendix_files/figure-docx/ststar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0" Target="media/rId120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24" Target="media/rId124.png" /><Relationship Type="http://schemas.openxmlformats.org/officeDocument/2006/relationships/hyperlink" Id="rId77" Target="https://stats.stackexchange.com/questions/12762/measure-of-spread-of-a-multivariate-normal-distribution" TargetMode="External" /><Relationship Type="http://schemas.openxmlformats.org/officeDocument/2006/relationships/hyperlink" Id="rId20" Target="https://www.nice.org.uk/guidance/ta650/documents/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stats.stackexchange.com/questions/12762/measure-of-spread-of-a-multivariate-normal-distribution" TargetMode="External" /><Relationship Type="http://schemas.openxmlformats.org/officeDocument/2006/relationships/hyperlink" Id="rId20" Target="https://www.nice.org.uk/guidance/ta650/documents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extrapolation - comparison of methods</dc:title>
  <dc:creator>NCPE</dc:creator>
  <cp:keywords/>
  <dcterms:created xsi:type="dcterms:W3CDTF">2024-10-04T13:06:01Z</dcterms:created>
  <dcterms:modified xsi:type="dcterms:W3CDTF">2024-10-04T13:06:01Z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2023</vt:lpwstr>
  </property>
  <property fmtid="{D5CDD505-2E9C-101B-9397-08002B2CF9AE}" pid="3" name="geometry">
    <vt:lpwstr>margin=2cm</vt:lpwstr>
  </property>
  <property fmtid="{D5CDD505-2E9C-101B-9397-08002B2CF9AE}" pid="4" name="output">
    <vt:lpwstr>word_document</vt:lpwstr>
  </property>
</Properties>
</file>