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aramond" w:hAnsi="Garamond"/>
          <w:b/>
          <w:color w:val="000000"/>
          <w:sz w:val="36"/>
        </w:rPr>
        <w:t>Future Chapter Plan</w:t>
      </w:r>
    </w:p>
    <w:p>
      <w:pPr>
        <w:pStyle w:val="Subtitle"/>
      </w:pPr>
      <w:r>
        <w:rPr>
          <w:rFonts w:ascii="Garamond" w:hAnsi="Garamond"/>
          <w:i/>
          <w:color w:val="000000"/>
          <w:sz w:val="22"/>
        </w:rPr>
        <w:t>Food and Depression, a Lesson from Japan</w:t>
      </w:r>
    </w:p>
    <w:p>
      <w:pPr>
        <w:pStyle w:val="Heading1"/>
      </w:pPr>
      <w:r>
        <w:t>Purpose</w:t>
      </w:r>
    </w:p>
    <w:p>
      <w:r>
        <w:t>This plan shows how the existing ten-chapter food-biodiversity manuscript should become a complete Japan-framed book. The manuscript now uses Japan as a lesson, not as a cure or universal model. The next chapters should carry the reader from the biology of narrow diets into washoku, Japanese dietary infrastructure, and a falsifiable research programme.</w:t>
      </w:r>
    </w:p>
    <w:p>
      <w:pPr>
        <w:pStyle w:val="Heading1"/>
      </w:pPr>
      <w:r>
        <w:t>Recommended final architecture</w:t>
      </w:r>
    </w:p>
    <w:p>
      <w:r>
        <w:rPr>
          <w:rFonts w:ascii="Garamond" w:hAnsi="Garamond"/>
          <w:b/>
          <w:color w:val="000000"/>
          <w:sz w:val="21"/>
        </w:rPr>
        <w:t xml:space="preserve">Part I - Why Food Belongs in the Depression Conversation: </w:t>
      </w:r>
      <w:r>
        <w:rPr>
          <w:rFonts w:ascii="Garamond" w:hAnsi="Garamond"/>
          <w:color w:val="000000"/>
          <w:sz w:val="21"/>
        </w:rPr>
        <w:t>Chapters 1-3. Establish ethical boundaries, evidence literacy, and depression heterogeneity.</w:t>
      </w:r>
    </w:p>
    <w:p>
      <w:r>
        <w:rPr>
          <w:rFonts w:ascii="Garamond" w:hAnsi="Garamond"/>
          <w:b/>
          <w:color w:val="000000"/>
          <w:sz w:val="21"/>
        </w:rPr>
        <w:t xml:space="preserve">Part II - What Nutritional Psychiatry Already Knows: </w:t>
      </w:r>
      <w:r>
        <w:rPr>
          <w:rFonts w:ascii="Garamond" w:hAnsi="Garamond"/>
          <w:color w:val="000000"/>
          <w:sz w:val="21"/>
        </w:rPr>
        <w:t>Chapters 4-8. Build the evidence base: Mediterranean trials, ultra-processed foods, immuno-metabolic depression, gut-brain axis, and nutrients/supplements.</w:t>
      </w:r>
    </w:p>
    <w:p>
      <w:r>
        <w:rPr>
          <w:rFonts w:ascii="Garamond" w:hAnsi="Garamond"/>
          <w:b/>
          <w:color w:val="000000"/>
          <w:sz w:val="21"/>
        </w:rPr>
        <w:t xml:space="preserve">Part III - The Biodiversity Hypothesis: </w:t>
      </w:r>
      <w:r>
        <w:rPr>
          <w:rFonts w:ascii="Garamond" w:hAnsi="Garamond"/>
          <w:color w:val="000000"/>
          <w:sz w:val="21"/>
        </w:rPr>
        <w:t>Chapters 9-10. Move from generic variety to food biodiversity and explain the biology of a narrow diet.</w:t>
      </w:r>
    </w:p>
    <w:p>
      <w:r>
        <w:rPr>
          <w:rFonts w:ascii="Garamond" w:hAnsi="Garamond"/>
          <w:b/>
          <w:color w:val="000000"/>
          <w:sz w:val="21"/>
        </w:rPr>
        <w:t xml:space="preserve">Part IV - The Lesson from Japan: </w:t>
      </w:r>
      <w:r>
        <w:rPr>
          <w:rFonts w:ascii="Garamond" w:hAnsi="Garamond"/>
          <w:color w:val="000000"/>
          <w:sz w:val="21"/>
        </w:rPr>
        <w:t>Chapters 11-14. Translate the hypothesis through the depressed menu, washoku, distinctive Japanese food routes, and the food environment.</w:t>
      </w:r>
    </w:p>
    <w:p>
      <w:r>
        <w:rPr>
          <w:rFonts w:ascii="Garamond" w:hAnsi="Garamond"/>
          <w:b/>
          <w:color w:val="000000"/>
          <w:sz w:val="21"/>
        </w:rPr>
        <w:t xml:space="preserve">Part V - Prescription and Proof: </w:t>
      </w:r>
      <w:r>
        <w:rPr>
          <w:rFonts w:ascii="Garamond" w:hAnsi="Garamond"/>
          <w:color w:val="000000"/>
          <w:sz w:val="21"/>
        </w:rPr>
        <w:t>Chapter 15 and Epilogue. Define what would prove or falsify the Japan lesson and close with an adaptable, non-romanticized table.</w:t>
      </w:r>
    </w:p>
    <w:p>
      <w:pPr>
        <w:pStyle w:val="Heading1"/>
      </w:pPr>
      <w:r>
        <w:t>Chapter-by-chapter plan for the Japan arc</w:t>
      </w:r>
    </w:p>
    <w:p>
      <w:pPr>
        <w:pStyle w:val="Heading2"/>
      </w:pPr>
      <w:r>
        <w:t>Chapter 11 - The Depressed Menu: When Mood Narrows Food</w:t>
      </w:r>
    </w:p>
    <w:p>
      <w:pPr>
        <w:ind w:left="259" w:hanging="259"/>
      </w:pPr>
      <w:r>
        <w:t>Function: bridge from biology into behaviour. Show that depression narrows food through anhedonia, fatigue, irregular meal timing, executive friction, appetite changes, shame, loneliness, and convenience dependence.</w:t>
      </w:r>
      <w:r/>
    </w:p>
    <w:p>
      <w:pPr>
        <w:ind w:left="259" w:hanging="259"/>
      </w:pPr>
      <w:r>
        <w:t>Japan role: introduce a Japanese character or composite vignette, Mika, whose diet shifts from small structured meals to rice, noodles, convenience foods, coffee, sweet yoghurt, and skipped breakfasts. Use Japan to show both structure and modern pressure.</w:t>
      </w:r>
      <w:r/>
    </w:p>
    <w:p>
      <w:pPr>
        <w:ind w:left="259" w:hanging="259"/>
      </w:pPr>
      <w:r>
        <w:t>Expansion: add clinical assessment questions: What foods disappear first? What remains because it is easy? What would be the smallest safe addition? Keep the ethics of addition before correction.</w:t>
      </w:r>
      <w:r/>
    </w:p>
    <w:p>
      <w:pPr>
        <w:pStyle w:val="Heading2"/>
      </w:pPr>
      <w:r>
        <w:t>Chapter 12 - Washoku: Food Biodiversity as a Cultural Lesson</w:t>
      </w:r>
    </w:p>
    <w:p>
      <w:pPr>
        <w:ind w:left="259" w:hanging="259"/>
      </w:pPr>
      <w:r>
        <w:t>Function: translate the biodiversity hypothesis into a cultural grammar rather than a nutrient list. Use rice, side dishes, soup, fish or soy, vegetables, mushrooms, sea vegetables, fermented elements, tea, and seasonality to show quiet range.</w:t>
      </w:r>
      <w:r/>
    </w:p>
    <w:p>
      <w:pPr>
        <w:ind w:left="259" w:hanging="259"/>
      </w:pPr>
      <w:r>
        <w:t>Japan role: explain washoku as a lesson in structure, not a claim that Japanese cuisine prevents depression. Avoid nostalgia and avoid presenting sushi, miso, natto, green tea, or seaweed as antidepressants.</w:t>
      </w:r>
      <w:r/>
    </w:p>
    <w:p>
      <w:pPr>
        <w:ind w:left="259" w:hanging="259"/>
      </w:pPr>
      <w:r>
        <w:t>Expansion: include a short box on what readers outside Japan can adapt: staple, side dish, protein route, fermented element if tolerated, plant or mushroom route, marine or mineral route where culturally appropriate, and social meal support.</w:t>
      </w:r>
      <w:r/>
    </w:p>
    <w:p>
      <w:pPr>
        <w:pStyle w:val="Heading2"/>
      </w:pPr>
      <w:r>
        <w:t>Chapter 13 - Fermentation, Sea Vegetables, Soy, and the Texture of Biodiversity</w:t>
      </w:r>
    </w:p>
    <w:p>
      <w:pPr>
        <w:ind w:left="259" w:hanging="259"/>
      </w:pPr>
      <w:r>
        <w:t>Function: deepen the biology. Show why biodiversity is not only the number of foods but the number of biological routes: microbial fermentation, fibres, phytochemicals, marine polysaccharides, isoflavones, amino acids, umami, minerals, and food matrices.</w:t>
      </w:r>
      <w:r/>
    </w:p>
    <w:p>
      <w:pPr>
        <w:ind w:left="259" w:hanging="259"/>
      </w:pPr>
      <w:r>
        <w:t>Japan role: use miso, natto, pickles, soy sauce, tofu, edamame, sea vegetables, mushrooms, green tea, fish, sesame, and rice as examples of many small exposures rather than magic foods.</w:t>
      </w:r>
      <w:r/>
    </w:p>
    <w:p>
      <w:pPr>
        <w:ind w:left="259" w:hanging="259"/>
      </w:pPr>
      <w:r>
        <w:t>Expansion: add safety notes on sodium, iodine, mercury, histamine intolerance, IBS/FODMAP sensitivity, eating disorders, and supplement-style overuse of traditional foods.</w:t>
      </w:r>
      <w:r/>
    </w:p>
    <w:p>
      <w:pPr>
        <w:pStyle w:val="Heading2"/>
      </w:pPr>
      <w:r>
        <w:t>Chapter 14 - Changing the Food Environment: Japan Beyond the Plate</w:t>
      </w:r>
    </w:p>
    <w:p>
      <w:pPr>
        <w:ind w:left="259" w:hanging="259"/>
      </w:pPr>
      <w:r>
        <w:t>Function: move from individual advice to systems. Food biodiversity is easier when schools, workplaces, shops, policy, local agriculture, and social routines support it.</w:t>
      </w:r>
      <w:r/>
    </w:p>
    <w:p>
      <w:pPr>
        <w:ind w:left="259" w:hanging="259"/>
      </w:pPr>
      <w:r>
        <w:t>Japan role: use shokuiku, school meals, workplace/canteen settings, convenience stores, ageing, solitary eating, time pressure, income, and regional food cultures. Show Japan as a mixed reality, not an idealized food paradise.</w:t>
      </w:r>
      <w:r/>
    </w:p>
    <w:p>
      <w:pPr>
        <w:ind w:left="259" w:hanging="259"/>
      </w:pPr>
      <w:r>
        <w:t>Expansion: add a policy box: what other countries can learn without copying Japan - procurement, school meals, dietitian-supported public guidance, food education, affordable side-dish access, and protection of local food repertoires.</w:t>
      </w:r>
      <w:r/>
    </w:p>
    <w:p>
      <w:pPr>
        <w:pStyle w:val="Heading2"/>
      </w:pPr>
      <w:r>
        <w:t>Chapter 15 - What Would Prove the Japan Lesson?</w:t>
      </w:r>
    </w:p>
    <w:p>
      <w:pPr>
        <w:ind w:left="259" w:hanging="259"/>
      </w:pPr>
      <w:r>
        <w:t>Function: turn the thesis into a research programme. Define the tests that would separate food biodiversity from ordinary diet quality, health consciousness, income, social order, and reverse causality.</w:t>
      </w:r>
      <w:r/>
    </w:p>
    <w:p>
      <w:pPr>
        <w:ind w:left="259" w:hanging="259"/>
      </w:pPr>
      <w:r>
        <w:t>Japan role: propose Japanese cohorts, workplace panels, school/canteen natural experiments, RCTs comparing matched healthy diets with different species richness, and mechanistic crossover studies.</w:t>
      </w:r>
      <w:r/>
    </w:p>
    <w:p>
      <w:pPr>
        <w:ind w:left="259" w:hanging="259"/>
      </w:pPr>
      <w:r>
        <w:t>Expansion: include a falsification box: the hypothesis weakens if dietary species richness adds nothing beyond diet quality and UPF, if high-biodiversity diets do not outperform matched low-biodiversity healthy diets, or if tracking diversity increases anxiety or disordered eating.</w:t>
      </w:r>
      <w:r/>
    </w:p>
    <w:p>
      <w:pPr>
        <w:pStyle w:val="Heading2"/>
      </w:pPr>
      <w:r>
        <w:t>Epilogue - A Wider Table</w:t>
      </w:r>
    </w:p>
    <w:p>
      <w:pPr>
        <w:ind w:left="259" w:hanging="259"/>
      </w:pPr>
      <w:r>
        <w:t>Function: close by making Japan a lesson in edible structure and possibility. The conclusion should say: do not eat Japanese as imitation; learn how each culture can protect range, rhythm, and small supports for people whose lives have narrowed.</w:t>
      </w:r>
      <w:r/>
    </w:p>
    <w:p>
      <w:pPr>
        <w:pStyle w:val="Heading1"/>
      </w:pPr>
      <w:r>
        <w:t>Research and fact-checking priorities</w:t>
      </w:r>
    </w:p>
    <w:p>
      <w:pPr>
        <w:ind w:left="259" w:hanging="259"/>
      </w:pPr>
      <w:r>
        <w:t>• Use official and primary sources wherever possible: UNESCO/MAFF for washoku framing; Japanese government sources for shokuiku, school meals, food guidance, and nutrition survey data; peer-reviewed Japanese diet-depression studies for mood associations.</w:t>
      </w:r>
    </w:p>
    <w:p>
      <w:pPr>
        <w:ind w:left="259" w:hanging="259"/>
      </w:pPr>
      <w:r>
        <w:t>• Add a Japan specialist or Japanese-speaking reviewer before publication. The book must avoid cultural flattening, nostalgia, and “Japan as cure” framing.</w:t>
      </w:r>
    </w:p>
    <w:p>
      <w:pPr>
        <w:ind w:left="259" w:hanging="259"/>
      </w:pPr>
      <w:r>
        <w:t>• Update all 2025-2026 references before final upload. Several current claims should be verified against full papers, not press summaries.</w:t>
      </w:r>
    </w:p>
    <w:p>
      <w:pPr>
        <w:ind w:left="259" w:hanging="259"/>
      </w:pPr>
      <w:r>
        <w:t>• Consider adding two fieldwork-style scenes: one ordinary home meal and one institutional meal, such as a school lunch or workplace lunch. These scenes would make the Japan lesson more narrative and less abstract.</w:t>
      </w:r>
    </w:p>
    <w:p>
      <w:pPr>
        <w:ind w:left="259" w:hanging="259"/>
      </w:pPr>
      <w:r>
        <w:t>• Decide whether the Japan arc should remain concise, as in the current completed KDP draft, or be expanded into four full-length chapters before commercial release.</w:t>
      </w:r>
    </w:p>
    <w:p>
      <w:pPr>
        <w:pStyle w:val="Heading1"/>
      </w:pPr>
      <w:r>
        <w:t>Evidence anchors to use in revision</w:t>
      </w:r>
    </w:p>
    <w:p>
      <w:r>
        <w:t>• Washoku: use official cultural descriptions that emphasize respect for nature, local/seasonal ingredients, rice, seafood, vegetables, sea vegetables, and balanced meal structure.</w:t>
      </w:r>
    </w:p>
    <w:p>
      <w:r>
        <w:t>• Japanese diet and depression: include both supportive cross-sectional findings and the important prospective null result so the book remains credible.</w:t>
      </w:r>
    </w:p>
    <w:p>
      <w:r>
        <w:t>• Shokuiku: use the Basic Act on Shokuiku to frame food education as public infrastructure, especially schools, communities, local food culture, and hands-on food experience.</w:t>
      </w:r>
    </w:p>
    <w:p>
      <w:r>
        <w:t>• Food biodiversity: keep dietary species richness as a hypothesis and measurement tool, not a proven clinical intervention.</w:t>
      </w:r>
    </w:p>
    <w:p>
      <w:pPr>
        <w:pStyle w:val="Heading1"/>
      </w:pPr>
      <w:r>
        <w:t>Production notes</w:t>
      </w:r>
    </w:p>
    <w:p>
      <w:r>
        <w:t>• The KDP manuscript should keep the medical disclaimer and the “food changes the terrain” boundary language.</w:t>
      </w:r>
    </w:p>
    <w:p>
      <w:r>
        <w:t>• Back matter should keep consolidated Notes and Sources rather than interrupting chapters with source blocks.</w:t>
      </w:r>
    </w:p>
    <w:p>
      <w:r>
        <w:t>• Before upload, order a physical proof and check page darkness, table of contents, notes readability, and gutter comfort.</w:t>
      </w:r>
    </w:p>
    <w:p>
      <w:r>
        <w:t>• If the book is later expanded, the Japan chapters should be fact-checked and line-edited before being treated as final prose.</w:t>
      </w:r>
    </w:p>
    <w:sectPr w:rsidR="00FC693F" w:rsidRPr="0006063C" w:rsidSect="00034616">
      <w:pgSz w:w="8640" w:h="12960"/>
      <w:pgMar w:top="1037" w:right="792"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4" w:lineRule="auto"/>
    </w:pPr>
    <w:rPr>
      <w:rFonts w:ascii="Garamond" w:hAnsi="Garamond"/>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asciiTheme="majorHAnsi" w:eastAsiaTheme="majorEastAsia" w:hAnsiTheme="majorHAnsi" w:cstheme="majorBidi" w:ascii="Garamond" w:hAnsi="Garamond"/>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54" w:lineRule="auto"/>
      <w:outlineLvl w:val="1"/>
    </w:pPr>
    <w:rPr>
      <w:rFonts w:asciiTheme="majorHAnsi" w:eastAsiaTheme="majorEastAsia" w:hAnsiTheme="majorHAnsi" w:cstheme="majorBidi" w:ascii="Garamond" w:hAnsi="Garamond"/>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54" w:lineRule="auto" w:before="0"/>
      <w:contextualSpacing/>
      <w:jc w:val="center"/>
    </w:pPr>
    <w:rPr>
      <w:rFonts w:asciiTheme="majorHAnsi" w:eastAsiaTheme="majorEastAsia" w:hAnsiTheme="majorHAnsi" w:cstheme="majorBidi" w:ascii="Garamond" w:hAnsi="Garamond"/>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54" w:lineRule="auto"/>
      <w:jc w:val="center"/>
    </w:pPr>
    <w:rPr>
      <w:rFonts w:asciiTheme="majorHAnsi" w:eastAsiaTheme="majorEastAsia" w:hAnsiTheme="majorHAnsi" w:cstheme="majorBidi" w:ascii="Garamond" w:hAnsi="Garamond"/>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Bullet">
    <w:name w:val="Plan Bulle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Chapter Plan - Food and Depression, a Lesson from Japan</dc:title>
  <dc:subject/>
  <dc:creator>Natalia Corvo</dc:creator>
  <cp:keywords/>
  <dc:description>generated by python-docx</dc:description>
  <cp:lastModifiedBy/>
  <cp:revision>1</cp:revision>
  <dcterms:created xsi:type="dcterms:W3CDTF">2013-12-23T23:15:00Z</dcterms:created>
  <dcterms:modified xsi:type="dcterms:W3CDTF">2013-12-23T23:15:00Z</dcterms:modified>
  <cp:category/>
</cp:coreProperties>
</file>