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f4f8b24c276744779ef18feef7edaa2d3faa727"/>
    <w:p>
      <w:pPr>
        <w:pStyle w:val="Heading1"/>
      </w:pPr>
      <w:r>
        <w:t xml:space="preserve">Food Biodiversity Depletion and Depression</w:t>
      </w:r>
    </w:p>
    <w:bookmarkStart w:id="27" w:name="executive-summary"/>
    <w:p>
      <w:pPr>
        <w:pStyle w:val="Heading2"/>
      </w:pPr>
      <w:r>
        <w:t xml:space="preserve">Executive summary</w:t>
      </w:r>
    </w:p>
    <w:p>
      <w:pPr>
        <w:pStyle w:val="FirstParagraph"/>
      </w:pPr>
      <w:r>
        <w:t xml:space="preserve">Depression is a major public-health problem, with the World Health Organization</w:t>
      </w:r>
      <w:hyperlink r:id="rId21">
        <w:r>
          <w:rPr>
            <w:rStyle w:val="Hyperlink"/>
          </w:rPr>
          <w:t xml:space="preserve">[1]</w:t>
        </w:r>
      </w:hyperlink>
      <w:r>
        <w:t xml:space="preserve"> </w:t>
      </w:r>
      <w:r>
        <w:t xml:space="preserve">identifying it as a leading cause of disability worldwide, and the National Institute of Mental Health</w:t>
      </w:r>
      <w:hyperlink r:id="rId22">
        <w:r>
          <w:rPr>
            <w:rStyle w:val="Hyperlink"/>
          </w:rPr>
          <w:t xml:space="preserve">[2]</w:t>
        </w:r>
      </w:hyperlink>
      <w:r>
        <w:t xml:space="preserve"> </w:t>
      </w:r>
      <w:r>
        <w:t xml:space="preserve">estimating that 21.0 million U.S. adults experienced at least one major depressive episode in 2021. Nutritional psychiatry has already shown that diet matters, but the field still concentrates mainly on overall diet quality, the Mediterranean pattern, or ultra-processed foods rather than on the ecological richness of what people actually eat.</w:t>
      </w:r>
      <w:r>
        <w:t xml:space="preserve"> </w:t>
      </w:r>
      <w:hyperlink r:id="rId23">
        <w:r>
          <w:rPr>
            <w:rStyle w:val="Hyperlink"/>
          </w:rPr>
          <w:t xml:space="preserve">[3]</w:t>
        </w:r>
      </w:hyperlink>
    </w:p>
    <w:p>
      <w:pPr>
        <w:pStyle w:val="BodyText"/>
      </w:pPr>
      <w:r>
        <w:rPr>
          <w:b/>
          <w:bCs/>
        </w:rPr>
        <w:t xml:space="preserve">Working hypothesis:</w:t>
      </w:r>
      <w:r>
        <w:t xml:space="preserve"> </w:t>
      </w:r>
      <w:r>
        <w:t xml:space="preserve">depression is partly driven by</w:t>
      </w:r>
      <w:r>
        <w:t xml:space="preserve"> </w:t>
      </w:r>
      <w:r>
        <w:rPr>
          <w:b/>
          <w:bCs/>
        </w:rPr>
        <w:t xml:space="preserve">food biodiversity depletion</w:t>
      </w:r>
      <w:r>
        <w:t xml:space="preserve">—that is, a sustained collapse from a species-rich, minimally processed, culturally varied diet to a narrow, repetitive repertoire built from relatively few plant and animal species, often embedded in ultra-processed products. The prediction is not merely that “healthy diets help mood”, but that</w:t>
      </w:r>
      <w:r>
        <w:t xml:space="preserve"> </w:t>
      </w:r>
      <w:r>
        <w:rPr>
          <w:b/>
          <w:bCs/>
        </w:rPr>
        <w:t xml:space="preserve">low dietary species richness</w:t>
      </w:r>
      <w:r>
        <w:t xml:space="preserve"> </w:t>
      </w:r>
      <w:r>
        <w:t xml:space="preserve">and low within-group diversity will predict depression risk and poorer recovery</w:t>
      </w:r>
      <w:r>
        <w:t xml:space="preserve"> </w:t>
      </w:r>
      <w:r>
        <w:rPr>
          <w:b/>
          <w:bCs/>
        </w:rPr>
        <w:t xml:space="preserve">over and above</w:t>
      </w:r>
      <w:r>
        <w:t xml:space="preserve"> </w:t>
      </w:r>
      <w:r>
        <w:t xml:space="preserve">calories, macronutrients, Mediterranean-diet scores, and ultra-processed-food exposure.</w:t>
      </w:r>
      <w:r>
        <w:t xml:space="preserve"> </w:t>
      </w:r>
      <w:hyperlink r:id="rId24">
        <w:r>
          <w:rPr>
            <w:rStyle w:val="Hyperlink"/>
          </w:rPr>
          <w:t xml:space="preserve">[4]</w:t>
        </w:r>
      </w:hyperlink>
    </w:p>
    <w:p>
      <w:pPr>
        <w:pStyle w:val="BodyText"/>
      </w:pPr>
      <w:r>
        <w:t xml:space="preserve">This idea appears genuinely underdeveloped. The depression literature does include studies on food-group diversity and food variety, and a 2025 meta-analysis found an inverse association between dietary diversity and depression; however, those studies were overwhelmingly cross-sectional and usually used coarse food-group counts rather than species-level measures. By contrast, a 2025 scoping review of</w:t>
      </w:r>
      <w:r>
        <w:t xml:space="preserve"> </w:t>
      </w:r>
      <w:r>
        <w:rPr>
          <w:b/>
          <w:bCs/>
        </w:rPr>
        <w:t xml:space="preserve">food biodiversity</w:t>
      </w:r>
      <w:r>
        <w:t xml:space="preserve"> </w:t>
      </w:r>
      <w:r>
        <w:t xml:space="preserve">found only a handful of health-outcome studies at all, centred on mortality, gastrointestinal cancer, and body fat; it did not identify a depression-specific food-biodiversity literature. That gap makes the idea novel enough for a book and research programme, while still being biologically and socially plausible.</w:t>
      </w:r>
      <w:r>
        <w:t xml:space="preserve"> </w:t>
      </w:r>
      <w:hyperlink r:id="rId25">
        <w:r>
          <w:rPr>
            <w:rStyle w:val="Hyperlink"/>
          </w:rPr>
          <w:t xml:space="preserve">[5]</w:t>
        </w:r>
      </w:hyperlink>
    </w:p>
    <w:p>
      <w:pPr>
        <w:pStyle w:val="BodyText"/>
      </w:pPr>
      <w:r>
        <w:t xml:space="preserve">The idea is high-impact because it unifies several established findings that are currently discussed separately: the protective signal around Mediterranean-style diets, the risk signal around ultra-processed foods, the emerging literature on gut microbial composition in depression, the gradient linking deprivation to poorer diet and lower microbiome diversity, and evidence that diversity of plant bioactives can matter independently of quantity. It also has unusual policy leverage, because it connects mental health not only to personal choice but also to agriculture, retail concentration, food insecurity, cultural erosion, and the availability of diverse affordable foods.</w:t>
      </w:r>
      <w:r>
        <w:t xml:space="preserve"> </w:t>
      </w:r>
      <w:hyperlink r:id="rId26">
        <w:r>
          <w:rPr>
            <w:rStyle w:val="Hyperlink"/>
          </w:rPr>
          <w:t xml:space="preserve">[6]</w:t>
        </w:r>
      </w:hyperlink>
    </w:p>
    <w:p>
      <w:pPr>
        <w:pStyle w:val="BodyText"/>
      </w:pPr>
      <w:r>
        <w:t xml:space="preserve">Unless otherwise specified, the proposed research programme should begin in</w:t>
      </w:r>
      <w:r>
        <w:t xml:space="preserve"> </w:t>
      </w:r>
      <w:r>
        <w:rPr>
          <w:b/>
          <w:bCs/>
        </w:rPr>
        <w:t xml:space="preserve">adults</w:t>
      </w:r>
      <w:r>
        <w:t xml:space="preserve">, because the most developed intervention and cohort evidence in nutritional psychiatry currently sits there; extension into adolescence, older age, and perinatal populations should follow once measurement and effect sizes are established.</w:t>
      </w:r>
      <w:r>
        <w:t xml:space="preserve"> </w:t>
      </w:r>
      <w:hyperlink r:id="rId26">
        <w:r>
          <w:rPr>
            <w:rStyle w:val="Hyperlink"/>
          </w:rPr>
          <w:t xml:space="preserve">[7]</w:t>
        </w:r>
      </w:hyperlink>
    </w:p>
    <w:bookmarkEnd w:id="27"/>
    <w:bookmarkStart w:id="31" w:name="the-hypothesis-and-its-novelty"/>
    <w:p>
      <w:pPr>
        <w:pStyle w:val="Heading2"/>
      </w:pPr>
      <w:r>
        <w:t xml:space="preserve">The hypothesis and its novelty</w:t>
      </w:r>
    </w:p>
    <w:bookmarkStart w:id="28" w:name="concise-statement-of-the-hypothesis"/>
    <w:p>
      <w:pPr>
        <w:pStyle w:val="Heading3"/>
      </w:pPr>
      <w:r>
        <w:t xml:space="preserve">Concise statement of the hypothesis</w:t>
      </w:r>
    </w:p>
    <w:p>
      <w:pPr>
        <w:pStyle w:val="FirstParagraph"/>
      </w:pPr>
      <w:r>
        <w:t xml:space="preserve">The core claim is that</w:t>
      </w:r>
      <w:r>
        <w:t xml:space="preserve"> </w:t>
      </w:r>
      <w:r>
        <w:rPr>
          <w:b/>
          <w:bCs/>
        </w:rPr>
        <w:t xml:space="preserve">a low-biodiversity diet increases depression risk because it narrows the biological, behavioural, and social functions of eating</w:t>
      </w:r>
      <w:r>
        <w:t xml:space="preserve">. In practical terms, the key exposure is not just low fruit and veg intake, nor simply high ultra-processed intake, but a chronic pattern of eating from too few species and too few distinct foods within major food groups, especially where this loss of diversity is coupled to low food quality, low fibre, low fermentation exposure, and socially fragmented eating.</w:t>
      </w:r>
      <w:r>
        <w:t xml:space="preserve"> </w:t>
      </w:r>
      <w:hyperlink r:id="rId24">
        <w:r>
          <w:rPr>
            <w:rStyle w:val="Hyperlink"/>
          </w:rPr>
          <w:t xml:space="preserve">[8]</w:t>
        </w:r>
      </w:hyperlink>
    </w:p>
    <w:p>
      <w:pPr>
        <w:pStyle w:val="BodyText"/>
      </w:pPr>
      <w:r>
        <w:t xml:space="preserve">A useful measurement concept for the book would be the</w:t>
      </w:r>
      <w:r>
        <w:t xml:space="preserve"> </w:t>
      </w:r>
      <w:r>
        <w:rPr>
          <w:b/>
          <w:bCs/>
        </w:rPr>
        <w:t xml:space="preserve">dietary biodiversity gap</w:t>
      </w:r>
      <w:r>
        <w:t xml:space="preserve">: the difference between the diversity of foods that is realistically available within a person’s cultural and economic environment and the much narrower set that is repeatedly consumed. That framing is important because it shifts the question from private virtue to structural exposure. This “gap” is a proposed analytic construct rather than an established measure, but it is a natural extension of existing work on dietary species richness, deprivation, and food insecurity.</w:t>
      </w:r>
      <w:r>
        <w:t xml:space="preserve"> </w:t>
      </w:r>
      <w:hyperlink r:id="rId21">
        <w:r>
          <w:rPr>
            <w:rStyle w:val="Hyperlink"/>
          </w:rPr>
          <w:t xml:space="preserve">[9]</w:t>
        </w:r>
      </w:hyperlink>
    </w:p>
    <w:bookmarkEnd w:id="28"/>
    <w:bookmarkStart w:id="30" w:name="X947f2b574cdd172e76d09be8cb65d9ccd349ba1"/>
    <w:p>
      <w:pPr>
        <w:pStyle w:val="Heading3"/>
      </w:pPr>
      <w:r>
        <w:t xml:space="preserve">Why the idea is novel relative to existing literature</w:t>
      </w:r>
    </w:p>
    <w:p>
      <w:pPr>
        <w:pStyle w:val="FirstParagraph"/>
      </w:pPr>
      <w:r>
        <w:t xml:space="preserve">The closest existing literatures are not empty; they are simply not the same thing. First, the Mediterranean-diet literature asks whether a generally healthier dietary pattern reduces depressive symptoms. Second, the ultra-processed-food literature asks whether industrial processing is harmful to mood. Third, the dietary-diversity literature asks whether eating across more food groups or more “food kinds” is associated with lower depression. None of these, on current evidence, has dealt in depth with</w:t>
      </w:r>
      <w:r>
        <w:t xml:space="preserve"> </w:t>
      </w:r>
      <w:r>
        <w:rPr>
          <w:b/>
          <w:bCs/>
        </w:rPr>
        <w:t xml:space="preserve">species-level food biodiversity as the primary depression exposure</w:t>
      </w:r>
      <w:r>
        <w:t xml:space="preserve">.</w:t>
      </w:r>
      <w:r>
        <w:t xml:space="preserve"> </w:t>
      </w:r>
      <w:hyperlink r:id="rId26">
        <w:r>
          <w:rPr>
            <w:rStyle w:val="Hyperlink"/>
          </w:rPr>
          <w:t xml:space="preserve">[10]</w:t>
        </w:r>
      </w:hyperlink>
    </w:p>
    <w:p>
      <w:pPr>
        <w:pStyle w:val="BodyText"/>
      </w:pPr>
      <w:r>
        <w:t xml:space="preserve">The strongest novelty claim is therefore</w:t>
      </w:r>
      <w:r>
        <w:t xml:space="preserve"> </w:t>
      </w:r>
      <w:r>
        <w:rPr>
          <w:b/>
          <w:bCs/>
        </w:rPr>
        <w:t xml:space="preserve">not</w:t>
      </w:r>
      <w:r>
        <w:t xml:space="preserve"> </w:t>
      </w:r>
      <w:r>
        <w:t xml:space="preserve">that nobody has ever studied variety and depression. It is that the field has not yet properly tested whether</w:t>
      </w:r>
      <w:r>
        <w:t xml:space="preserve"> </w:t>
      </w:r>
      <w:r>
        <w:rPr>
          <w:b/>
          <w:bCs/>
        </w:rPr>
        <w:t xml:space="preserve">food biodiversity</w:t>
      </w:r>
      <w:r>
        <w:t xml:space="preserve">—measured as dietary species richness and related diversity metrics—adds explanatory power beyond standard diet-quality scores, food-group diversity, or ultra-processed-food intake. The 2025 scoping review explicitly concluded that food-biodiversity research remains limited, with only four health-outcome studies and no mental-health outcomes highlighted; it also stated that the added value of food biodiversity over dietary diversity is still unclear. That is exactly the unresolved question a book could organise around.</w:t>
      </w:r>
      <w:r>
        <w:t xml:space="preserve"> </w:t>
      </w:r>
      <w:hyperlink r:id="rId29">
        <w:r>
          <w:rPr>
            <w:rStyle w:val="Hyperlink"/>
          </w:rPr>
          <w:t xml:space="preserve">[11]</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Closest existing hypothesis</w:t>
            </w:r>
          </w:p>
        </w:tc>
        <w:tc>
          <w:tcPr/>
          <w:p>
            <w:pPr>
              <w:pStyle w:val="Compact"/>
            </w:pPr>
            <w:r>
              <w:t xml:space="preserve">What it says</w:t>
            </w:r>
          </w:p>
        </w:tc>
        <w:tc>
          <w:tcPr/>
          <w:p>
            <w:pPr>
              <w:pStyle w:val="Compact"/>
            </w:pPr>
            <w:r>
              <w:t xml:space="preserve">Why it is close</w:t>
            </w:r>
          </w:p>
        </w:tc>
        <w:tc>
          <w:tcPr/>
          <w:p>
            <w:pPr>
              <w:pStyle w:val="Compact"/>
            </w:pPr>
            <w:r>
              <w:t xml:space="preserve">Why it is not the same as the present idea</w:t>
            </w:r>
          </w:p>
        </w:tc>
        <w:tc>
          <w:tcPr/>
          <w:p>
            <w:pPr>
              <w:pStyle w:val="Compact"/>
            </w:pPr>
            <w:r>
              <w:t xml:space="preserve">Main risk if the new idea is wrong</w:t>
            </w:r>
          </w:p>
        </w:tc>
      </w:tr>
      <w:tr>
        <w:tc>
          <w:tcPr/>
          <w:p>
            <w:pPr>
              <w:pStyle w:val="Compact"/>
            </w:pPr>
            <w:r>
              <w:t xml:space="preserve">Mediterranean-diet hypothesis</w:t>
            </w:r>
          </w:p>
        </w:tc>
        <w:tc>
          <w:tcPr/>
          <w:p>
            <w:pPr>
              <w:pStyle w:val="Compact"/>
            </w:pPr>
            <w:r>
              <w:t xml:space="preserve">A healthier whole-diet pattern lowers depression risk or severity</w:t>
            </w:r>
          </w:p>
        </w:tc>
        <w:tc>
          <w:tcPr/>
          <w:p>
            <w:pPr>
              <w:pStyle w:val="Compact"/>
            </w:pPr>
            <w:r>
              <w:t xml:space="preserve">Both emphasise whole dietary patterns rather than single nutrients</w:t>
            </w:r>
          </w:p>
        </w:tc>
        <w:tc>
          <w:tcPr/>
          <w:p>
            <w:pPr>
              <w:pStyle w:val="Compact"/>
            </w:pPr>
            <w:r>
              <w:t xml:space="preserve">Mediterranean adherence may improve mood even when species richness is not the operative variable; biodiversity could simply be one ingredient of the broader pattern</w:t>
            </w:r>
          </w:p>
        </w:tc>
        <w:tc>
          <w:tcPr/>
          <w:p>
            <w:pPr>
              <w:pStyle w:val="Compact"/>
            </w:pPr>
            <w:r>
              <w:t xml:space="preserve">Food biodiversity may turn out to be a secondary marker of overall healthy eating rather than an independent driver</w:t>
            </w:r>
          </w:p>
        </w:tc>
      </w:tr>
      <w:tr>
        <w:tc>
          <w:tcPr/>
          <w:p>
            <w:pPr>
              <w:pStyle w:val="Compact"/>
            </w:pPr>
            <w:r>
              <w:t xml:space="preserve">Ultra-processed-food hypothesis</w:t>
            </w:r>
          </w:p>
        </w:tc>
        <w:tc>
          <w:tcPr/>
          <w:p>
            <w:pPr>
              <w:pStyle w:val="Compact"/>
            </w:pPr>
            <w:r>
              <w:t xml:space="preserve">Industrially processed foods increase depression risk</w:t>
            </w:r>
          </w:p>
        </w:tc>
        <w:tc>
          <w:tcPr/>
          <w:p>
            <w:pPr>
              <w:pStyle w:val="Compact"/>
            </w:pPr>
            <w:r>
              <w:t xml:space="preserve">Both are about modern food-system exposure rather than single nutrients</w:t>
            </w:r>
          </w:p>
        </w:tc>
        <w:tc>
          <w:tcPr/>
          <w:p>
            <w:pPr>
              <w:pStyle w:val="Compact"/>
            </w:pPr>
            <w:r>
              <w:t xml:space="preserve">UPF harms may be due to additives, texture, glycaemic load, or displacement of whole foods, not specifically species depletion</w:t>
            </w:r>
          </w:p>
        </w:tc>
        <w:tc>
          <w:tcPr/>
          <w:p>
            <w:pPr>
              <w:pStyle w:val="Compact"/>
            </w:pPr>
            <w:r>
              <w:t xml:space="preserve">The biodiversity signal may vanish after controlling tightly for UPF intake</w:t>
            </w:r>
          </w:p>
        </w:tc>
      </w:tr>
      <w:tr>
        <w:tc>
          <w:tcPr/>
          <w:p>
            <w:pPr>
              <w:pStyle w:val="Compact"/>
            </w:pPr>
            <w:r>
              <w:t xml:space="preserve">Dietary-diversity hypothesis</w:t>
            </w:r>
          </w:p>
        </w:tc>
        <w:tc>
          <w:tcPr/>
          <w:p>
            <w:pPr>
              <w:pStyle w:val="Compact"/>
            </w:pPr>
            <w:r>
              <w:t xml:space="preserve">More food groups or food kinds are associated with less depression</w:t>
            </w:r>
          </w:p>
        </w:tc>
        <w:tc>
          <w:tcPr/>
          <w:p>
            <w:pPr>
              <w:pStyle w:val="Compact"/>
            </w:pPr>
            <w:r>
              <w:t xml:space="preserve">Closest conceptual predecessor</w:t>
            </w:r>
          </w:p>
        </w:tc>
        <w:tc>
          <w:tcPr/>
          <w:p>
            <w:pPr>
              <w:pStyle w:val="Compact"/>
            </w:pPr>
            <w:r>
              <w:t xml:space="preserve">Most studies use food-group counts or simple food-kind tallies, not species richness, phytochemical diversity, or ecological food-biodiversity metrics</w:t>
            </w:r>
          </w:p>
        </w:tc>
        <w:tc>
          <w:tcPr/>
          <w:p>
            <w:pPr>
              <w:pStyle w:val="Compact"/>
            </w:pPr>
            <w:r>
              <w:t xml:space="preserve">Species-level metrics may not outperform simpler variety scores in prediction or intervention response</w:t>
            </w:r>
          </w:p>
        </w:tc>
      </w:tr>
    </w:tbl>
    <w:p>
      <w:pPr>
        <w:pStyle w:val="BodyText"/>
      </w:pPr>
      <w:r>
        <w:t xml:space="preserve">The comparator rows above are grounded in the Mediterranean-diet, ultra-processed-food, and dietary-diversity literatures. The novelty and risk columns are an inference from those literatures plus the current food-biodiversity gap in the evidence base.</w:t>
      </w:r>
      <w:r>
        <w:t xml:space="preserve"> </w:t>
      </w:r>
      <w:hyperlink r:id="rId26">
        <w:r>
          <w:rPr>
            <w:rStyle w:val="Hyperlink"/>
          </w:rPr>
          <w:t xml:space="preserve">[12]</w:t>
        </w:r>
      </w:hyperlink>
    </w:p>
    <w:bookmarkEnd w:id="30"/>
    <w:bookmarkEnd w:id="31"/>
    <w:bookmarkStart w:id="43" w:name="mechanisms"/>
    <w:p>
      <w:pPr>
        <w:pStyle w:val="Heading2"/>
      </w:pPr>
      <w:r>
        <w:t xml:space="preserve">Mechanisms</w:t>
      </w:r>
    </w:p>
    <w:p>
      <w:pPr>
        <w:pStyle w:val="FirstParagraph"/>
      </w:pPr>
      <w:r>
        <w:t xml:space="preserve">Food biodiversity is defined by the Food and Agriculture Organization of the United Nations</w:t>
      </w:r>
      <w:hyperlink r:id="rId29">
        <w:r>
          <w:rPr>
            <w:rStyle w:val="Hyperlink"/>
          </w:rPr>
          <w:t xml:space="preserve">[13]</w:t>
        </w:r>
      </w:hyperlink>
      <w:r>
        <w:t xml:space="preserve"> </w:t>
      </w:r>
      <w:r>
        <w:t xml:space="preserve">and related guidance as the diversity of plants, animals, and other organisms used as food. At the individual level, the most usable existing metric is</w:t>
      </w:r>
      <w:r>
        <w:t xml:space="preserve"> </w:t>
      </w:r>
      <w:r>
        <w:rPr>
          <w:b/>
          <w:bCs/>
        </w:rPr>
        <w:t xml:space="preserve">dietary species richness</w:t>
      </w:r>
      <w:r>
        <w:t xml:space="preserve">, a count of the unique species consumed over a defined period. The causal claim for depression would require several pathways to align, and they plausibly do.</w:t>
      </w:r>
      <w:r>
        <w:t xml:space="preserve"> </w:t>
      </w:r>
      <w:hyperlink r:id="rId32">
        <w:r>
          <w:rPr>
            <w:rStyle w:val="Hyperlink"/>
          </w:rPr>
          <w:t xml:space="preserve">[14]</w:t>
        </w:r>
      </w:hyperlink>
    </w:p>
    <w:bookmarkStart w:id="36" w:name="biological-mechanisms"/>
    <w:p>
      <w:pPr>
        <w:pStyle w:val="Heading3"/>
      </w:pPr>
      <w:r>
        <w:t xml:space="preserve">Biological mechanisms</w:t>
      </w:r>
    </w:p>
    <w:p>
      <w:pPr>
        <w:pStyle w:val="FirstParagraph"/>
      </w:pPr>
      <w:r>
        <w:t xml:space="preserve">A low-biodiversity diet likely narrows the</w:t>
      </w:r>
      <w:r>
        <w:t xml:space="preserve"> </w:t>
      </w:r>
      <w:r>
        <w:rPr>
          <w:b/>
          <w:bCs/>
        </w:rPr>
        <w:t xml:space="preserve">metabolic repertoire</w:t>
      </w:r>
      <w:r>
        <w:t xml:space="preserve"> </w:t>
      </w:r>
      <w:r>
        <w:t xml:space="preserve">available to the gut microbiome. Depression meta-analysis does not show a consistent global drop in alpha diversity across all studies, but it does show a repeated depletion of anti-inflammatory, butyrate-producing genera such as</w:t>
      </w:r>
      <w:r>
        <w:t xml:space="preserve"> </w:t>
      </w:r>
      <w:r>
        <w:rPr>
          <w:i/>
          <w:iCs/>
        </w:rPr>
        <w:t xml:space="preserve">Faecalibacterium</w:t>
      </w:r>
      <w:r>
        <w:t xml:space="preserve">,</w:t>
      </w:r>
      <w:r>
        <w:t xml:space="preserve"> </w:t>
      </w:r>
      <w:r>
        <w:rPr>
          <w:i/>
          <w:iCs/>
        </w:rPr>
        <w:t xml:space="preserve">Coprococcus</w:t>
      </w:r>
      <w:r>
        <w:t xml:space="preserve">, and</w:t>
      </w:r>
      <w:r>
        <w:t xml:space="preserve"> </w:t>
      </w:r>
      <w:r>
        <w:rPr>
          <w:i/>
          <w:iCs/>
        </w:rPr>
        <w:t xml:space="preserve">Butyricicoccus</w:t>
      </w:r>
      <w:r>
        <w:t xml:space="preserve">, alongside enrichment of more pro-inflammatory taxa. That pattern matters because gut microbes can affect the brain through immune signalling, neurotransmitter-related pathways, vagal signalling, gut permeability, and tryptophan metabolism.</w:t>
      </w:r>
      <w:r>
        <w:t xml:space="preserve"> </w:t>
      </w:r>
      <w:hyperlink r:id="rId33">
        <w:r>
          <w:rPr>
            <w:rStyle w:val="Hyperlink"/>
          </w:rPr>
          <w:t xml:space="preserve">[15]</w:t>
        </w:r>
      </w:hyperlink>
    </w:p>
    <w:p>
      <w:pPr>
        <w:pStyle w:val="BodyText"/>
      </w:pPr>
      <w:r>
        <w:t xml:space="preserve">Food biodiversity could matter here for two separate reasons. The first is</w:t>
      </w:r>
      <w:r>
        <w:t xml:space="preserve"> </w:t>
      </w:r>
      <w:r>
        <w:rPr>
          <w:b/>
          <w:bCs/>
        </w:rPr>
        <w:t xml:space="preserve">substrate diversity</w:t>
      </w:r>
      <w:r>
        <w:t xml:space="preserve">: more distinct plants, fibres, polyphenols, fats, and protein sources create more niches and more fermentable substrates for gut microbial function. The second is</w:t>
      </w:r>
      <w:r>
        <w:t xml:space="preserve"> </w:t>
      </w:r>
      <w:r>
        <w:rPr>
          <w:b/>
          <w:bCs/>
        </w:rPr>
        <w:t xml:space="preserve">exposure diversity</w:t>
      </w:r>
      <w:r>
        <w:t xml:space="preserve">: emerging work suggests that microbes associated with fruits and vegetables can be found in the human gut and may contribute to gut-microbiome diversity, implying that a narrow diet may also be a narrow source of incoming microbial exposure.</w:t>
      </w:r>
      <w:r>
        <w:t xml:space="preserve"> </w:t>
      </w:r>
      <w:hyperlink r:id="rId34">
        <w:r>
          <w:rPr>
            <w:rStyle w:val="Hyperlink"/>
          </w:rPr>
          <w:t xml:space="preserve">[16]</w:t>
        </w:r>
      </w:hyperlink>
    </w:p>
    <w:p>
      <w:pPr>
        <w:pStyle w:val="BodyText"/>
      </w:pPr>
      <w:r>
        <w:t xml:space="preserve">The biodiversity idea is also supported by adjacent chemistry. In the UK Biobank</w:t>
      </w:r>
      <w:hyperlink r:id="rId21">
        <w:r>
          <w:rPr>
            <w:rStyle w:val="Hyperlink"/>
          </w:rPr>
          <w:t xml:space="preserve">[17]</w:t>
        </w:r>
      </w:hyperlink>
      <w:r>
        <w:t xml:space="preserve">, higher</w:t>
      </w:r>
      <w:r>
        <w:t xml:space="preserve"> </w:t>
      </w:r>
      <w:r>
        <w:rPr>
          <w:b/>
          <w:bCs/>
        </w:rPr>
        <w:t xml:space="preserve">diversity</w:t>
      </w:r>
      <w:r>
        <w:t xml:space="preserve"> </w:t>
      </w:r>
      <w:r>
        <w:t xml:space="preserve">of flavonoid intake predicted lower risk of all-cause mortality and several chronic diseases even after accounting for flavonoid quantity, suggesting that diversity of bioactives can carry information that total intake alone misses. This is not depression evidence, but it materially strengthens the plausibility that “variety within a healthy class” could matter independently of absolute amount.</w:t>
      </w:r>
      <w:r>
        <w:t xml:space="preserve"> </w:t>
      </w:r>
      <w:hyperlink r:id="rId35">
        <w:r>
          <w:rPr>
            <w:rStyle w:val="Hyperlink"/>
          </w:rPr>
          <w:t xml:space="preserve">[18]</w:t>
        </w:r>
      </w:hyperlink>
    </w:p>
    <w:p>
      <w:pPr>
        <w:pStyle w:val="BodyText"/>
      </w:pPr>
      <w:r>
        <w:t xml:space="preserve">Low biodiversity may also increase depression risk through</w:t>
      </w:r>
      <w:r>
        <w:t xml:space="preserve"> </w:t>
      </w:r>
      <w:r>
        <w:rPr>
          <w:b/>
          <w:bCs/>
        </w:rPr>
        <w:t xml:space="preserve">reduced micronutrient redundancy</w:t>
      </w:r>
      <w:r>
        <w:t xml:space="preserve">. Species-rich diets make it more likely that nutritional gaps in one food are covered by another, whereas repetitive diets are more vulnerable to recurring shortfalls in folate, magnesium, zinc, omega-3s, and other compounds repeatedly implicated in nutritional psychiatry. This is one reason species-level diversity may outperform simple calorie or macro descriptions.</w:t>
      </w:r>
      <w:r>
        <w:t xml:space="preserve"> </w:t>
      </w:r>
      <w:hyperlink r:id="rId24">
        <w:r>
          <w:rPr>
            <w:rStyle w:val="Hyperlink"/>
          </w:rPr>
          <w:t xml:space="preserve">[19]</w:t>
        </w:r>
      </w:hyperlink>
    </w:p>
    <w:bookmarkEnd w:id="36"/>
    <w:bookmarkStart w:id="38" w:name="behavioural-mechanisms"/>
    <w:p>
      <w:pPr>
        <w:pStyle w:val="Heading3"/>
      </w:pPr>
      <w:r>
        <w:t xml:space="preserve">Behavioural mechanisms</w:t>
      </w:r>
    </w:p>
    <w:p>
      <w:pPr>
        <w:pStyle w:val="FirstParagraph"/>
      </w:pPr>
      <w:r>
        <w:t xml:space="preserve">Depression changes eating behaviour, which creates a serious reverse-causality problem but also a mechanistic opening. A 2024 real-world digital-monitoring study found that people with more severe depression had less diverse food choices, more irregular eating patterns, more fluctuating meal times, and less frequent breakfast consumption. This means that low biodiversity may be both a</w:t>
      </w:r>
      <w:r>
        <w:t xml:space="preserve"> </w:t>
      </w:r>
      <w:r>
        <w:rPr>
          <w:b/>
          <w:bCs/>
        </w:rPr>
        <w:t xml:space="preserve">cause</w:t>
      </w:r>
      <w:r>
        <w:t xml:space="preserve"> </w:t>
      </w:r>
      <w:r>
        <w:t xml:space="preserve">and a</w:t>
      </w:r>
      <w:r>
        <w:t xml:space="preserve"> </w:t>
      </w:r>
      <w:r>
        <w:rPr>
          <w:b/>
          <w:bCs/>
        </w:rPr>
        <w:t xml:space="preserve">marker</w:t>
      </w:r>
      <w:r>
        <w:t xml:space="preserve"> </w:t>
      </w:r>
      <w:r>
        <w:t xml:space="preserve">of worsening depressive states. That bidirectionality is a problem for naïve observational work, but it is exactly why within-person designs could be powerful.</w:t>
      </w:r>
      <w:r>
        <w:t xml:space="preserve"> </w:t>
      </w:r>
      <w:hyperlink r:id="rId37">
        <w:r>
          <w:rPr>
            <w:rStyle w:val="Hyperlink"/>
          </w:rPr>
          <w:t xml:space="preserve">[20]</w:t>
        </w:r>
      </w:hyperlink>
    </w:p>
    <w:p>
      <w:pPr>
        <w:pStyle w:val="BodyText"/>
      </w:pPr>
      <w:r>
        <w:t xml:space="preserve">Monotonous eating can also reduce cooking effort, experimentation, anticipation, and reward learning around food. That matters because depression is partly a disorder of anhedonia, reduced initiation, and cognitive load. A low-biodiversity diet may therefore become self-reinforcing: low mood narrows food choice; a narrowed food repertoire lowers sensory novelty, social participation, and nutritional flexibility; these then leave recovery harder. This loop is consistent with the observed reduction in dietary diversity in more severe depression, even if the loop’s directionality still needs formal testing.</w:t>
      </w:r>
      <w:r>
        <w:t xml:space="preserve"> </w:t>
      </w:r>
      <w:hyperlink r:id="rId37">
        <w:r>
          <w:rPr>
            <w:rStyle w:val="Hyperlink"/>
          </w:rPr>
          <w:t xml:space="preserve">[21]</w:t>
        </w:r>
      </w:hyperlink>
    </w:p>
    <w:bookmarkEnd w:id="38"/>
    <w:bookmarkStart w:id="42" w:name="social-and-environmental-mechanisms"/>
    <w:p>
      <w:pPr>
        <w:pStyle w:val="Heading3"/>
      </w:pPr>
      <w:r>
        <w:t xml:space="preserve">Social and environmental mechanisms</w:t>
      </w:r>
    </w:p>
    <w:p>
      <w:pPr>
        <w:pStyle w:val="FirstParagraph"/>
      </w:pPr>
      <w:r>
        <w:t xml:space="preserve">In the United Kingdom</w:t>
      </w:r>
      <w:hyperlink r:id="rId24">
        <w:r>
          <w:rPr>
            <w:rStyle w:val="Hyperlink"/>
          </w:rPr>
          <w:t xml:space="preserve">[22]</w:t>
        </w:r>
      </w:hyperlink>
      <w:r>
        <w:t xml:space="preserve">, a 2025 dietary species richness study found higher richness among younger participants, those with higher household incomes, and those living in the least deprived areas. In other words, food biodiversity is socially stratified. That matters because a hypothesis centred on biodiversity can incorporate deprivation, food cost, local retail supply, cooking infrastructure, and time pressure more naturally than a narrow nutrient model can.</w:t>
      </w:r>
      <w:r>
        <w:t xml:space="preserve"> </w:t>
      </w:r>
      <w:hyperlink r:id="rId21">
        <w:r>
          <w:rPr>
            <w:rStyle w:val="Hyperlink"/>
          </w:rPr>
          <w:t xml:space="preserve">[23]</w:t>
        </w:r>
      </w:hyperlink>
    </w:p>
    <w:p>
      <w:pPr>
        <w:pStyle w:val="BodyText"/>
      </w:pPr>
      <w:r>
        <w:t xml:space="preserve">There is convergent evidence on the microbiome side. A 2023 study in low-socioeconomic-status neighbourhoods reported lower gut-microbiome diversity, and another 2024 multi-ethnic U.S. study linked multiple individual and neighbourhood socioeconomic indicators to microbiome composition; the 2023 study specifically reported mediation by food insecurity. If deprivation reduces access to diverse foods and also alters the microbiome, food biodiversity becomes a plausible bridge between social inequality and depressive risk.</w:t>
      </w:r>
      <w:r>
        <w:t xml:space="preserve"> </w:t>
      </w:r>
      <w:hyperlink r:id="rId39">
        <w:r>
          <w:rPr>
            <w:rStyle w:val="Hyperlink"/>
          </w:rPr>
          <w:t xml:space="preserve">[24]</w:t>
        </w:r>
      </w:hyperlink>
    </w:p>
    <w:p>
      <w:pPr>
        <w:pStyle w:val="BodyText"/>
      </w:pPr>
      <w:r>
        <w:t xml:space="preserve">Social eating is another plausible component. Studies of eating alone and later single-person-household work suggest that solo eating, lower dietary quality, and depressive symptoms cluster together. This does not prove causality, but it indicates that food biodiversity may be partly social: diverse meals are often cooked, shared, and culturally transmitted, whereas repetitive low-variety diets are often more isolated and convenience-driven.</w:t>
      </w:r>
      <w:r>
        <w:t xml:space="preserve"> </w:t>
      </w:r>
      <w:hyperlink r:id="rId40">
        <w:r>
          <w:rPr>
            <w:rStyle w:val="Hyperlink"/>
          </w:rPr>
          <w:t xml:space="preserve">[25]</w:t>
        </w:r>
      </w:hyperlink>
    </w:p>
    <w:p>
      <w:pPr>
        <w:pStyle w:val="BodyText"/>
      </w:pPr>
      <w:r>
        <w:t xml:space="preserve">The environmental level matters too. The Food and Agriculture Organization of the United Nations</w:t>
      </w:r>
      <w:hyperlink r:id="rId29">
        <w:r>
          <w:rPr>
            <w:rStyle w:val="Hyperlink"/>
          </w:rPr>
          <w:t xml:space="preserve">[13]</w:t>
        </w:r>
      </w:hyperlink>
      <w:r>
        <w:t xml:space="preserve"> </w:t>
      </w:r>
      <w:r>
        <w:t xml:space="preserve">describes biodiversity as foundational to agrifood systems, while World Health Organization</w:t>
      </w:r>
      <w:hyperlink r:id="rId21">
        <w:r>
          <w:rPr>
            <w:rStyle w:val="Hyperlink"/>
          </w:rPr>
          <w:t xml:space="preserve">[1]</w:t>
        </w:r>
      </w:hyperlink>
      <w:r>
        <w:t xml:space="preserve"> </w:t>
      </w:r>
      <w:r>
        <w:t xml:space="preserve">guidance on mainstreaming biodiversity for nutrition and health explicitly frames biodiversity as relevant to healthy and sustainable diets. A depression book built on this idea would therefore connect mental health to a broader story of dietary simplification driven by modern food systems.</w:t>
      </w:r>
      <w:r>
        <w:t xml:space="preserve"> </w:t>
      </w:r>
      <w:hyperlink r:id="rId41">
        <w:r>
          <w:rPr>
            <w:rStyle w:val="Hyperlink"/>
          </w:rPr>
          <w:t xml:space="preserve">[26]</w:t>
        </w:r>
      </w:hyperlink>
    </w:p>
    <w:p>
      <w:pPr>
        <w:pStyle w:val="SourceCode"/>
      </w:pPr>
      <w:r>
        <w:rPr>
          <w:rStyle w:val="VerbatimChar"/>
        </w:rPr>
        <w:t xml:space="preserve">flowchart LR</w:t>
      </w:r>
      <w:r>
        <w:br/>
      </w:r>
      <w:r>
        <w:rPr>
          <w:rStyle w:val="VerbatimChar"/>
        </w:rPr>
        <w:t xml:space="preserve">    A[Food-system simplification&lt;br/&gt;few staple species, retail concentration,&lt;br/&gt;UPF displacement, affordability constraints]</w:t>
      </w:r>
      <w:r>
        <w:br/>
      </w:r>
      <w:r>
        <w:rPr>
          <w:rStyle w:val="VerbatimChar"/>
        </w:rPr>
        <w:t xml:space="preserve">    B[Low dietary species richness&lt;br/&gt;low within-group diversity&lt;br/&gt;repetitive menus]</w:t>
      </w:r>
      <w:r>
        <w:br/>
      </w:r>
      <w:r>
        <w:rPr>
          <w:rStyle w:val="VerbatimChar"/>
        </w:rPr>
        <w:t xml:space="preserve">    C[Microbiome narrowing&lt;br/&gt;reduced functional redundancy&lt;br/&gt;lower butyrate pathways]</w:t>
      </w:r>
      <w:r>
        <w:br/>
      </w:r>
      <w:r>
        <w:rPr>
          <w:rStyle w:val="VerbatimChar"/>
        </w:rPr>
        <w:t xml:space="preserve">    D[Micronutrient and phytochemical&lt;br/&gt;redundancy loss]</w:t>
      </w:r>
      <w:r>
        <w:br/>
      </w:r>
      <w:r>
        <w:rPr>
          <w:rStyle w:val="VerbatimChar"/>
        </w:rPr>
        <w:t xml:space="preserve">    E[Inflammation, gut permeability,&lt;br/&gt;tryptophan-kynurenine shifts,&lt;br/&gt;stress-axis dysregulation]</w:t>
      </w:r>
      <w:r>
        <w:br/>
      </w:r>
      <w:r>
        <w:rPr>
          <w:rStyle w:val="VerbatimChar"/>
        </w:rPr>
        <w:t xml:space="preserve">    F[Behavioural narrowing&lt;br/&gt;lower cooking effort, low novelty,&lt;br/&gt;irregular meals]</w:t>
      </w:r>
      <w:r>
        <w:br/>
      </w:r>
      <w:r>
        <w:rPr>
          <w:rStyle w:val="VerbatimChar"/>
        </w:rPr>
        <w:t xml:space="preserve">    G[Social erosion&lt;br/&gt;eating alone, weakened food culture,&lt;br/&gt;food insecurity]</w:t>
      </w:r>
      <w:r>
        <w:br/>
      </w:r>
      <w:r>
        <w:rPr>
          <w:rStyle w:val="VerbatimChar"/>
        </w:rPr>
        <w:t xml:space="preserve">    H[Higher depression risk&lt;br/&gt;and poorer recovery]</w:t>
      </w:r>
      <w:r>
        <w:br/>
      </w:r>
      <w:r>
        <w:rPr>
          <w:rStyle w:val="VerbatimChar"/>
        </w:rPr>
        <w:t xml:space="preserve">    A --&gt; B</w:t>
      </w:r>
      <w:r>
        <w:br/>
      </w:r>
      <w:r>
        <w:rPr>
          <w:rStyle w:val="VerbatimChar"/>
        </w:rPr>
        <w:t xml:space="preserve">    B --&gt; C</w:t>
      </w:r>
      <w:r>
        <w:br/>
      </w:r>
      <w:r>
        <w:rPr>
          <w:rStyle w:val="VerbatimChar"/>
        </w:rPr>
        <w:t xml:space="preserve">    B --&gt; D</w:t>
      </w:r>
      <w:r>
        <w:br/>
      </w:r>
      <w:r>
        <w:rPr>
          <w:rStyle w:val="VerbatimChar"/>
        </w:rPr>
        <w:t xml:space="preserve">    B --&gt; F</w:t>
      </w:r>
      <w:r>
        <w:br/>
      </w:r>
      <w:r>
        <w:rPr>
          <w:rStyle w:val="VerbatimChar"/>
        </w:rPr>
        <w:t xml:space="preserve">    A --&gt; G</w:t>
      </w:r>
      <w:r>
        <w:br/>
      </w:r>
      <w:r>
        <w:rPr>
          <w:rStyle w:val="VerbatimChar"/>
        </w:rPr>
        <w:t xml:space="preserve">    C --&gt; E</w:t>
      </w:r>
      <w:r>
        <w:br/>
      </w:r>
      <w:r>
        <w:rPr>
          <w:rStyle w:val="VerbatimChar"/>
        </w:rPr>
        <w:t xml:space="preserve">    D --&gt; E</w:t>
      </w:r>
      <w:r>
        <w:br/>
      </w:r>
      <w:r>
        <w:rPr>
          <w:rStyle w:val="VerbatimChar"/>
        </w:rPr>
        <w:t xml:space="preserve">    F --&gt; H</w:t>
      </w:r>
      <w:r>
        <w:br/>
      </w:r>
      <w:r>
        <w:rPr>
          <w:rStyle w:val="VerbatimChar"/>
        </w:rPr>
        <w:t xml:space="preserve">    G --&gt; H</w:t>
      </w:r>
      <w:r>
        <w:br/>
      </w:r>
      <w:r>
        <w:rPr>
          <w:rStyle w:val="VerbatimChar"/>
        </w:rPr>
        <w:t xml:space="preserve">    E --&gt; H</w:t>
      </w:r>
      <w:r>
        <w:br/>
      </w:r>
      <w:r>
        <w:rPr>
          <w:rStyle w:val="VerbatimChar"/>
        </w:rPr>
        <w:t xml:space="preserve">    H --&gt; B</w:t>
      </w:r>
    </w:p>
    <w:p>
      <w:pPr>
        <w:pStyle w:val="FirstParagraph"/>
      </w:pPr>
      <w:r>
        <w:t xml:space="preserve">The feedback arrow is essential: depression can also shrink dietary diversity, which means the research programme has to be designed explicitly against reverse causality.</w:t>
      </w:r>
      <w:r>
        <w:t xml:space="preserve"> </w:t>
      </w:r>
      <w:hyperlink r:id="rId37">
        <w:r>
          <w:rPr>
            <w:rStyle w:val="Hyperlink"/>
          </w:rPr>
          <w:t xml:space="preserve">[27]</w:t>
        </w:r>
      </w:hyperlink>
    </w:p>
    <w:bookmarkEnd w:id="42"/>
    <w:bookmarkEnd w:id="43"/>
    <w:bookmarkStart w:id="45" w:name="evidence-base-and-research-gaps"/>
    <w:p>
      <w:pPr>
        <w:pStyle w:val="Heading2"/>
      </w:pPr>
      <w:r>
        <w:t xml:space="preserve">Evidence base and research gaps</w:t>
      </w:r>
    </w:p>
    <w:p>
      <w:pPr>
        <w:pStyle w:val="FirstParagraph"/>
      </w:pPr>
      <w:r>
        <w:t xml:space="preserve">The nearest established anchor is the whole-diet intervention literature. The SMILES trial randomised adults with major depression and poor diets to a modified Mediterranean-style intervention or social support; the diet arm showed a larger MADRS improvement and higher remission (32.3% versus 8.0%). The HELFIMED trial also reported improved diet quality and better mental-health outcomes in adults with depression. These trials show that changing food patterns can matter clinically, but they do</w:t>
      </w:r>
      <w:r>
        <w:t xml:space="preserve"> </w:t>
      </w:r>
      <w:r>
        <w:rPr>
          <w:b/>
          <w:bCs/>
        </w:rPr>
        <w:t xml:space="preserve">not</w:t>
      </w:r>
      <w:r>
        <w:t xml:space="preserve"> </w:t>
      </w:r>
      <w:r>
        <w:t xml:space="preserve">isolate biodiversity as the active ingredient.</w:t>
      </w:r>
      <w:r>
        <w:t xml:space="preserve"> </w:t>
      </w:r>
      <w:hyperlink r:id="rId26">
        <w:r>
          <w:rPr>
            <w:rStyle w:val="Hyperlink"/>
          </w:rPr>
          <w:t xml:space="preserve">[28]</w:t>
        </w:r>
      </w:hyperlink>
    </w:p>
    <w:p>
      <w:pPr>
        <w:pStyle w:val="BodyText"/>
      </w:pPr>
      <w:r>
        <w:t xml:space="preserve">The strongest observational risk signal currently comes from the ultra-processed-food literature. In a large U.S. cohort of 31,712 women, the highest quintile of ultra-processed-food intake was associated with higher incident depression risk; the hazard ratio for the strict definition was 1.49, and the signal persisted in lag analyses. This is important because ultra-processed foods may be one of the main mechanisms by which biodiverse foods are displaced from modern diets. But again, processing burden and biodiversity loss are not identical exposures.</w:t>
      </w:r>
      <w:r>
        <w:t xml:space="preserve"> </w:t>
      </w:r>
      <w:hyperlink r:id="rId22">
        <w:r>
          <w:rPr>
            <w:rStyle w:val="Hyperlink"/>
          </w:rPr>
          <w:t xml:space="preserve">[29]</w:t>
        </w:r>
      </w:hyperlink>
    </w:p>
    <w:p>
      <w:pPr>
        <w:pStyle w:val="BodyText"/>
      </w:pPr>
      <w:r>
        <w:t xml:space="preserve">The dietary-diversity literature is promising but shallow. The 2025 meta-analysis of cross-sectional studies reported pooled odds suggesting lower depression with higher dietary diversity, while a 2017 cross-sectional study in women found an inverse association, and a 2024 NHANES-based study found lower depression odds with more food kinds. Yet the most informative longitudinal result so far may be the opposite: in the PREDIMED-Plus sample, higher baseline dietary diversity was associated cross-sectionally with lower depression prevalence, but baseline diversity did</w:t>
      </w:r>
      <w:r>
        <w:t xml:space="preserve"> </w:t>
      </w:r>
      <w:r>
        <w:rPr>
          <w:b/>
          <w:bCs/>
        </w:rPr>
        <w:t xml:space="preserve">not</w:t>
      </w:r>
      <w:r>
        <w:t xml:space="preserve"> </w:t>
      </w:r>
      <w:r>
        <w:t xml:space="preserve">predict lower depressive symptoms after two years. That is precisely the pattern one expects when cross-sectional results are real but mixed with reverse causality and measurement coarseness.</w:t>
      </w:r>
      <w:r>
        <w:t xml:space="preserve"> </w:t>
      </w:r>
      <w:hyperlink r:id="rId25">
        <w:r>
          <w:rPr>
            <w:rStyle w:val="Hyperlink"/>
          </w:rPr>
          <w:t xml:space="preserve">[30]</w:t>
        </w:r>
      </w:hyperlink>
    </w:p>
    <w:p>
      <w:pPr>
        <w:pStyle w:val="BodyText"/>
      </w:pPr>
      <w:r>
        <w:t xml:space="preserve">The food-biodiversity literature shows that the broader construct is viable. Dietary species richness was proposed in 2018 as a measure of food biodiversity and nutritional quality; a nine-country European cohort found that higher food biodiversity predicted lower total and cause-specific mortality; and a 2025 study in older Spanish adults again found that each additional species consumed over follow-up was associated with lower mortality, with dietary species richness only moderately correlated with Mediterranean-diet adherence. That moderate correlation is important: it suggests biodiversity may capture information not reducible to an ordinary healthy-diet score.</w:t>
      </w:r>
      <w:r>
        <w:t xml:space="preserve"> </w:t>
      </w:r>
      <w:hyperlink r:id="rId24">
        <w:r>
          <w:rPr>
            <w:rStyle w:val="Hyperlink"/>
          </w:rPr>
          <w:t xml:space="preserve">[31]</w:t>
        </w:r>
      </w:hyperlink>
    </w:p>
    <w:p>
      <w:pPr>
        <w:pStyle w:val="BodyText"/>
      </w:pPr>
      <w:r>
        <w:t xml:space="preserve">The main gap is therefore clear. As of the current evidence base,</w:t>
      </w:r>
      <w:r>
        <w:t xml:space="preserve"> </w:t>
      </w:r>
      <w:r>
        <w:rPr>
          <w:b/>
          <w:bCs/>
        </w:rPr>
        <w:t xml:space="preserve">depression has been linked to dietary diversity, but not convincingly to food biodiversity measured as dietary species richness</w:t>
      </w:r>
      <w:r>
        <w:t xml:space="preserve">. The 2025 scoping review concluded that food-biodiversity studies are still few, that their added value over dietary diversity remains unclear, and that future studies should test exactly that question. A depression-focused book built on this hypothesis would therefore be pushing into a real frontier rather than reheating a settled one.</w:t>
      </w:r>
      <w:r>
        <w:t xml:space="preserve"> </w:t>
      </w:r>
      <w:hyperlink r:id="rId29">
        <w:r>
          <w:rPr>
            <w:rStyle w:val="Hyperlink"/>
          </w:rPr>
          <w:t xml:space="preserve">[11]</w:t>
        </w:r>
      </w:hyperlink>
    </w:p>
    <w:bookmarkStart w:id="44" w:name="open-questions-and-limitations"/>
    <w:p>
      <w:pPr>
        <w:pStyle w:val="Heading3"/>
      </w:pPr>
      <w:r>
        <w:t xml:space="preserve">Open questions and limitations</w:t>
      </w:r>
    </w:p>
    <w:p>
      <w:pPr>
        <w:pStyle w:val="FirstParagraph"/>
      </w:pPr>
      <w:r>
        <w:t xml:space="preserve">The largest scientific risk is that species richness may end up being a</w:t>
      </w:r>
      <w:r>
        <w:t xml:space="preserve"> </w:t>
      </w:r>
      <w:r>
        <w:rPr>
          <w:b/>
          <w:bCs/>
        </w:rPr>
        <w:t xml:space="preserve">proxy</w:t>
      </w:r>
      <w:r>
        <w:t xml:space="preserve"> </w:t>
      </w:r>
      <w:r>
        <w:t xml:space="preserve">for healthier eating, higher income, or lower ultra-processed-food exposure rather than an independent mechanism. A second risk is measurement: dietary species richness is not yet standardised across psychiatric research, and rare foods, herbs, or composite dishes can complicate scoring. A third risk is clinical heterogeneity: food biodiversity may matter more for inflammatory, atypical, metabolically comorbid, or recurrent depression than for all depressive syndromes. A fourth risk is overreach: the 2025 review of prospective studies judged the current overall diet-quality/depression evidence to be of very low strength because of low internal validity and reverse causation.</w:t>
      </w:r>
      <w:r>
        <w:t xml:space="preserve"> </w:t>
      </w:r>
      <w:hyperlink r:id="rId29">
        <w:r>
          <w:rPr>
            <w:rStyle w:val="Hyperlink"/>
          </w:rPr>
          <w:t xml:space="preserve">[32]</w:t>
        </w:r>
      </w:hyperlink>
    </w:p>
    <w:bookmarkEnd w:id="44"/>
    <w:bookmarkEnd w:id="45"/>
    <w:bookmarkStart w:id="54" w:name="research-and-intervention-agenda"/>
    <w:p>
      <w:pPr>
        <w:pStyle w:val="Heading2"/>
      </w:pPr>
      <w:r>
        <w:t xml:space="preserve">Research and intervention agenda</w:t>
      </w:r>
    </w:p>
    <w:bookmarkStart w:id="47" w:name="testable-predictions"/>
    <w:p>
      <w:pPr>
        <w:pStyle w:val="Heading3"/>
      </w:pPr>
      <w:r>
        <w:t xml:space="preserve">Testable predictions</w:t>
      </w:r>
    </w:p>
    <w:p>
      <w:pPr>
        <w:pStyle w:val="FirstParagraph"/>
      </w:pPr>
      <w:r>
        <w:t xml:space="preserve">The first prediction is</w:t>
      </w:r>
      <w:r>
        <w:t xml:space="preserve"> </w:t>
      </w:r>
      <w:r>
        <w:rPr>
          <w:b/>
          <w:bCs/>
        </w:rPr>
        <w:t xml:space="preserve">prospective independence</w:t>
      </w:r>
      <w:r>
        <w:t xml:space="preserve">: lower baseline dietary species richness will predict incident depression even after adjustment for Mediterranean-diet score, ultra-processed-food intake, energy intake, physical activity, sleep, BMI, smoking, alcohol, deprivation, food insecurity, and baseline subclinical depressive symptoms. If this prediction fails repeatedly, the biodiversity story is probably just a proxy.</w:t>
      </w:r>
      <w:r>
        <w:t xml:space="preserve"> </w:t>
      </w:r>
      <w:hyperlink r:id="rId46">
        <w:r>
          <w:rPr>
            <w:rStyle w:val="Hyperlink"/>
          </w:rPr>
          <w:t xml:space="preserve">[33]</w:t>
        </w:r>
      </w:hyperlink>
    </w:p>
    <w:p>
      <w:pPr>
        <w:pStyle w:val="BodyText"/>
      </w:pPr>
      <w:r>
        <w:t xml:space="preserve">The second prediction is</w:t>
      </w:r>
      <w:r>
        <w:t xml:space="preserve"> </w:t>
      </w:r>
      <w:r>
        <w:rPr>
          <w:b/>
          <w:bCs/>
        </w:rPr>
        <w:t xml:space="preserve">within-person temporal ordering</w:t>
      </w:r>
      <w:r>
        <w:t xml:space="preserve">: when a person’s weekly species richness falls below their own norm for several consecutive weeks, depressive symptoms should worsen one to four weeks later more often than the reverse, though both directions may exist. The digital dietary-behaviour study makes this prediction feasible to test.</w:t>
      </w:r>
      <w:r>
        <w:t xml:space="preserve"> </w:t>
      </w:r>
      <w:hyperlink r:id="rId37">
        <w:r>
          <w:rPr>
            <w:rStyle w:val="Hyperlink"/>
          </w:rPr>
          <w:t xml:space="preserve">[20]</w:t>
        </w:r>
      </w:hyperlink>
    </w:p>
    <w:p>
      <w:pPr>
        <w:pStyle w:val="BodyText"/>
      </w:pPr>
      <w:r>
        <w:t xml:space="preserve">The third prediction is</w:t>
      </w:r>
      <w:r>
        <w:t xml:space="preserve"> </w:t>
      </w:r>
      <w:r>
        <w:rPr>
          <w:b/>
          <w:bCs/>
        </w:rPr>
        <w:t xml:space="preserve">mechanistic mediation</w:t>
      </w:r>
      <w:r>
        <w:t xml:space="preserve">: any depression signal from low food biodiversity should be partially mediated by microbiome function and inflammatory pathways rather than only by calories or weight. The depression microbiome meta-analysis, the plant-microbiome work, and the high-diversity plant-diet trial all point to this as the most plausible mechanistic route.</w:t>
      </w:r>
      <w:r>
        <w:t xml:space="preserve"> </w:t>
      </w:r>
      <w:hyperlink r:id="rId33">
        <w:r>
          <w:rPr>
            <w:rStyle w:val="Hyperlink"/>
          </w:rPr>
          <w:t xml:space="preserve">[34]</w:t>
        </w:r>
      </w:hyperlink>
    </w:p>
    <w:p>
      <w:pPr>
        <w:pStyle w:val="BodyText"/>
      </w:pPr>
      <w:r>
        <w:t xml:space="preserve">The fourth prediction is</w:t>
      </w:r>
      <w:r>
        <w:t xml:space="preserve"> </w:t>
      </w:r>
      <w:r>
        <w:rPr>
          <w:b/>
          <w:bCs/>
        </w:rPr>
        <w:t xml:space="preserve">effect modification by deprivation and food insecurity</w:t>
      </w:r>
      <w:r>
        <w:t xml:space="preserve">: biodiversity should matter most where it is structurally constrained. This is where the hypothesis becomes more than nutritional psychiatry and starts to become social psychiatry.</w:t>
      </w:r>
      <w:r>
        <w:t xml:space="preserve"> </w:t>
      </w:r>
      <w:hyperlink r:id="rId21">
        <w:r>
          <w:rPr>
            <w:rStyle w:val="Hyperlink"/>
          </w:rPr>
          <w:t xml:space="preserve">[35]</w:t>
        </w:r>
      </w:hyperlink>
    </w:p>
    <w:p>
      <w:pPr>
        <w:pStyle w:val="BodyText"/>
      </w:pPr>
      <w:r>
        <w:t xml:space="preserve">The fifth prediction is</w:t>
      </w:r>
      <w:r>
        <w:t xml:space="preserve"> </w:t>
      </w:r>
      <w:r>
        <w:rPr>
          <w:b/>
          <w:bCs/>
        </w:rPr>
        <w:t xml:space="preserve">intervention specificity</w:t>
      </w:r>
      <w:r>
        <w:t xml:space="preserve">: if two diets are matched for overall quality, fibre, and coaching intensity, the higher-biodiversity diet should outperform the lower-biodiversity diet on at least some combination of depressive symptoms, remission, gut-microbial function, or inflammatory markers. Existing RCTs do not yet test that head-to-head.</w:t>
      </w:r>
      <w:r>
        <w:t xml:space="preserve"> </w:t>
      </w:r>
      <w:hyperlink r:id="rId26">
        <w:r>
          <w:rPr>
            <w:rStyle w:val="Hyperlink"/>
          </w:rPr>
          <w:t xml:space="preserve">[36]</w:t>
        </w:r>
      </w:hyperlink>
    </w:p>
    <w:bookmarkEnd w:id="47"/>
    <w:bookmarkStart w:id="48" w:name="proposed-study-designs"/>
    <w:p>
      <w:pPr>
        <w:pStyle w:val="Heading3"/>
      </w:pPr>
      <w:r>
        <w:t xml:space="preserve">Proposed study designs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Design</w:t>
            </w:r>
          </w:p>
        </w:tc>
        <w:tc>
          <w:tcPr/>
          <w:p>
            <w:pPr>
              <w:pStyle w:val="Compact"/>
              <w:jc w:val="right"/>
            </w:pPr>
            <w:r>
              <w:t xml:space="preserve">Target sample</w:t>
            </w:r>
          </w:p>
        </w:tc>
        <w:tc>
          <w:tcPr/>
          <w:p>
            <w:pPr>
              <w:pStyle w:val="Compact"/>
            </w:pPr>
            <w:r>
              <w:t xml:space="preserve">Exposure and outcome measures</w:t>
            </w:r>
          </w:p>
        </w:tc>
        <w:tc>
          <w:tcPr/>
          <w:p>
            <w:pPr>
              <w:pStyle w:val="Compact"/>
            </w:pPr>
            <w:r>
              <w:t xml:space="preserve">Main confounders</w:t>
            </w:r>
          </w:p>
        </w:tc>
        <w:tc>
          <w:tcPr/>
          <w:p>
            <w:pPr>
              <w:pStyle w:val="Compact"/>
            </w:pPr>
            <w:r>
              <w:t xml:space="preserve">Feasibility notes</w:t>
            </w:r>
          </w:p>
        </w:tc>
      </w:tr>
      <w:tr>
        <w:tc>
          <w:tcPr/>
          <w:p>
            <w:pPr>
              <w:pStyle w:val="Compact"/>
            </w:pPr>
            <w:r>
              <w:t xml:space="preserve">Prospective adult cohort</w:t>
            </w:r>
          </w:p>
        </w:tc>
        <w:tc>
          <w:tcPr/>
          <w:p>
            <w:pPr>
              <w:pStyle w:val="Compact"/>
              <w:jc w:val="right"/>
            </w:pPr>
            <w:r>
              <w:t xml:space="preserve">20,000–30,000 adults, 3–5 years</w:t>
            </w:r>
          </w:p>
        </w:tc>
        <w:tc>
          <w:tcPr/>
          <w:p>
            <w:pPr>
              <w:pStyle w:val="Compact"/>
            </w:pPr>
            <w:r>
              <w:t xml:space="preserve">Repeated 24-hour recalls or app-based food logs; total DSR, plant DSR, within-group DSR, UPF %, Mediterranean score; PHQ-9 every 3 months; structured diagnostic interview annually; antidepressant starts and health-record linkage</w:t>
            </w:r>
          </w:p>
        </w:tc>
        <w:tc>
          <w:tcPr/>
          <w:p>
            <w:pPr>
              <w:pStyle w:val="Compact"/>
            </w:pPr>
            <w:r>
              <w:t xml:space="preserve">Baseline depressive symptoms, SES, food insecurity, education, BMI, activity, sleep, chronotype, smoking, alcohol, pain, chronic disease, antibiotics, PPIs, social isolation</w:t>
            </w:r>
          </w:p>
        </w:tc>
        <w:tc>
          <w:tcPr/>
          <w:p>
            <w:pPr>
              <w:pStyle w:val="Compact"/>
            </w:pPr>
            <w:r>
              <w:t xml:space="preserve">High value, lower cost than feeding trials; repeated measures essential to reduce reverse causality</w:t>
            </w:r>
          </w:p>
        </w:tc>
      </w:tr>
      <w:tr>
        <w:tc>
          <w:tcPr/>
          <w:p>
            <w:pPr>
              <w:pStyle w:val="Compact"/>
            </w:pPr>
            <w:r>
              <w:t xml:space="preserve">Within-person digital panel</w:t>
            </w:r>
          </w:p>
        </w:tc>
        <w:tc>
          <w:tcPr/>
          <w:p>
            <w:pPr>
              <w:pStyle w:val="Compact"/>
              <w:jc w:val="right"/>
            </w:pPr>
            <w:r>
              <w:t xml:space="preserve">2,000–3,000 adults, 12 months</w:t>
            </w:r>
          </w:p>
        </w:tc>
        <w:tc>
          <w:tcPr/>
          <w:p>
            <w:pPr>
              <w:pStyle w:val="Compact"/>
            </w:pPr>
            <w:r>
              <w:t xml:space="preserve">Smartphone food photography, barcode data, weekly DSR; ecological momentary mood assessment; passive sleep/activity; optional stool subsample</w:t>
            </w:r>
          </w:p>
        </w:tc>
        <w:tc>
          <w:tcPr/>
          <w:p>
            <w:pPr>
              <w:pStyle w:val="Compact"/>
            </w:pPr>
            <w:r>
              <w:t xml:space="preserve">Time-varying stress, illness, menstrual cycle, shift work, travel, seasonality</w:t>
            </w:r>
          </w:p>
        </w:tc>
        <w:tc>
          <w:tcPr/>
          <w:p>
            <w:pPr>
              <w:pStyle w:val="Compact"/>
            </w:pPr>
            <w:r>
              <w:t xml:space="preserve">Strongest design for temporal ordering short of randomisation</w:t>
            </w:r>
          </w:p>
        </w:tc>
      </w:tr>
      <w:tr>
        <w:tc>
          <w:tcPr/>
          <w:p>
            <w:pPr>
              <w:pStyle w:val="Compact"/>
            </w:pPr>
            <w:r>
              <w:t xml:space="preserve">Depression-treatment RCT</w:t>
            </w:r>
          </w:p>
        </w:tc>
        <w:tc>
          <w:tcPr/>
          <w:p>
            <w:pPr>
              <w:pStyle w:val="Compact"/>
              <w:jc w:val="right"/>
            </w:pPr>
            <w:r>
              <w:t xml:space="preserve">300–320 adults with mild–moderate major depression or elevated PHQ-9</w:t>
            </w:r>
          </w:p>
        </w:tc>
        <w:tc>
          <w:tcPr/>
          <w:p>
            <w:pPr>
              <w:pStyle w:val="Compact"/>
            </w:pPr>
            <w:r>
              <w:t xml:space="preserve">Two 16-week diets matched on calories and broad quality, differing mainly in species richness; primary outcome MADRS; secondary PHQ-9, remission, QoL, adherence, cost, GI tolerance</w:t>
            </w:r>
          </w:p>
        </w:tc>
        <w:tc>
          <w:tcPr/>
          <w:p>
            <w:pPr>
              <w:pStyle w:val="Compact"/>
            </w:pPr>
            <w:r>
              <w:t xml:space="preserve">Medication changes, psychotherapy changes, baseline severity, socioeconomic constraints</w:t>
            </w:r>
          </w:p>
        </w:tc>
        <w:tc>
          <w:tcPr/>
          <w:p>
            <w:pPr>
              <w:pStyle w:val="Compact"/>
            </w:pPr>
            <w:r>
              <w:t xml:space="preserve">Approximate power for a small–moderate effect after attrition; food provision or vouchers needed</w:t>
            </w:r>
          </w:p>
        </w:tc>
      </w:tr>
      <w:tr>
        <w:tc>
          <w:tcPr/>
          <w:p>
            <w:pPr>
              <w:pStyle w:val="Compact"/>
            </w:pPr>
            <w:r>
              <w:t xml:space="preserve">Controlled mechanistic crossover</w:t>
            </w:r>
          </w:p>
        </w:tc>
        <w:tc>
          <w:tcPr/>
          <w:p>
            <w:pPr>
              <w:pStyle w:val="Compact"/>
              <w:jc w:val="right"/>
            </w:pPr>
            <w:r>
              <w:t xml:space="preserve">60–80 adults, 4 weeks per diet plus washout</w:t>
            </w:r>
          </w:p>
        </w:tc>
        <w:tc>
          <w:tcPr/>
          <w:p>
            <w:pPr>
              <w:pStyle w:val="Compact"/>
            </w:pPr>
            <w:r>
              <w:t xml:space="preserve">Isoenergetic low-DSR versus high-DSR diets; stool metagenomics, SCFAs, bile acids, kynurenine/tryptophan, CRP, IL-6, cortisol, appetite, negative affect, cognitive tests</w:t>
            </w:r>
          </w:p>
        </w:tc>
        <w:tc>
          <w:tcPr/>
          <w:p>
            <w:pPr>
              <w:pStyle w:val="Compact"/>
            </w:pPr>
            <w:r>
              <w:t xml:space="preserve">Recent infection, antibiotics, exercise spikes, menstrual timing, sleep disruption</w:t>
            </w:r>
          </w:p>
        </w:tc>
        <w:tc>
          <w:tcPr/>
          <w:p>
            <w:pPr>
              <w:pStyle w:val="Compact"/>
            </w:pPr>
            <w:r>
              <w:t xml:space="preserve">Best route to mechanism; short and expensive but tractable</w:t>
            </w:r>
          </w:p>
        </w:tc>
      </w:tr>
      <w:tr>
        <w:tc>
          <w:tcPr/>
          <w:p>
            <w:pPr>
              <w:pStyle w:val="Compact"/>
            </w:pPr>
            <w:r>
              <w:t xml:space="preserve">Natural-experiment or policy study</w:t>
            </w:r>
          </w:p>
        </w:tc>
        <w:tc>
          <w:tcPr/>
          <w:p>
            <w:pPr>
              <w:pStyle w:val="Compact"/>
              <w:jc w:val="right"/>
            </w:pPr>
            <w:r>
              <w:t xml:space="preserve">5,000+ per arm if administrative data available</w:t>
            </w:r>
          </w:p>
        </w:tc>
        <w:tc>
          <w:tcPr/>
          <w:p>
            <w:pPr>
              <w:pStyle w:val="Compact"/>
            </w:pPr>
            <w:r>
              <w:t xml:space="preserve">Produce-voucher, school-meal, worksite-canteen, or procurement reform that increases food diversity; compare depression-related outcomes and prescribing</w:t>
            </w:r>
          </w:p>
        </w:tc>
        <w:tc>
          <w:tcPr/>
          <w:p>
            <w:pPr>
              <w:pStyle w:val="Compact"/>
            </w:pPr>
            <w:r>
              <w:t xml:space="preserve">Area deprivation, programme uptake, concurrent welfare changes</w:t>
            </w:r>
          </w:p>
        </w:tc>
        <w:tc>
          <w:tcPr/>
          <w:p>
            <w:pPr>
              <w:pStyle w:val="Compact"/>
            </w:pPr>
            <w:r>
              <w:t xml:space="preserve">High policy relevance; causal inference depends on strong quasi-experimental design</w:t>
            </w:r>
          </w:p>
        </w:tc>
      </w:tr>
    </w:tbl>
    <w:p>
      <w:pPr>
        <w:pStyle w:val="BodyText"/>
      </w:pPr>
      <w:r>
        <w:t xml:space="preserve">The proposed designs are motivated by four empirical facts already in the literature: depression alters eating patterns; cross-sectional diversity signals may not persist longitudinally; whole-diet RCTs suggest food can affect depressive symptoms; and food biodiversity is measurable and only moderately overlaps with standard diet-quality indices.</w:t>
      </w:r>
      <w:r>
        <w:t xml:space="preserve"> </w:t>
      </w:r>
      <w:hyperlink r:id="rId37">
        <w:r>
          <w:rPr>
            <w:rStyle w:val="Hyperlink"/>
          </w:rPr>
          <w:t xml:space="preserve">[37]</w:t>
        </w:r>
      </w:hyperlink>
    </w:p>
    <w:bookmarkEnd w:id="48"/>
    <w:bookmarkStart w:id="49" w:name="measures-to-prioritise"/>
    <w:p>
      <w:pPr>
        <w:pStyle w:val="Heading3"/>
      </w:pPr>
      <w:r>
        <w:t xml:space="preserve">Measures to prioritise</w:t>
      </w:r>
    </w:p>
    <w:p>
      <w:pPr>
        <w:pStyle w:val="FirstParagraph"/>
      </w:pPr>
      <w:r>
        <w:t xml:space="preserve">The central exposure set should include: total dietary species richness; plant species richness; within-group richness for vegetables, legumes, grains, fruit, nuts/seeds, fish, and fermented foods; a biodiversity-evenness index; and a “biodiversity gap” score based on local affordability and availability. These should always be analysed alongside standard healthy-diet indices and ultra-processed-food share so that biodiversity can be tested as an additive signal rather than a substitute label.</w:t>
      </w:r>
      <w:r>
        <w:t xml:space="preserve"> </w:t>
      </w:r>
      <w:hyperlink r:id="rId24">
        <w:r>
          <w:rPr>
            <w:rStyle w:val="Hyperlink"/>
          </w:rPr>
          <w:t xml:space="preserve">[38]</w:t>
        </w:r>
      </w:hyperlink>
    </w:p>
    <w:p>
      <w:pPr>
        <w:pStyle w:val="BodyText"/>
      </w:pPr>
      <w:r>
        <w:t xml:space="preserve">Depression outcomes should not rely on a single self-report scale. At minimum, use PHQ-9 or CES-D for frequent symptom tracking, MADRS or HDRS in treatment trials, and structured diagnostic interviews for incident disorder. Recovery outcomes should include remission, relapse, functioning, absenteeism, sleep regularity, and quality of life. If the hypothesis is right, the biggest gains may show up in persistent low mood, fatigue, cognitive fog, and anhedonia rather than in every depressive domain equally.</w:t>
      </w:r>
      <w:r>
        <w:t xml:space="preserve"> </w:t>
      </w:r>
      <w:hyperlink r:id="rId26">
        <w:r>
          <w:rPr>
            <w:rStyle w:val="Hyperlink"/>
          </w:rPr>
          <w:t xml:space="preserve">[39]</w:t>
        </w:r>
      </w:hyperlink>
    </w:p>
    <w:p>
      <w:pPr>
        <w:pStyle w:val="BodyText"/>
      </w:pPr>
      <w:r>
        <w:t xml:space="preserve">Mechanistic panels should prioritise stool metagenomics and metabolomics over simple alpha-diversity measures alone. The depression microbiome meta-analysis shows that broad diversity metrics are inconsistent, while taxonomic and functional shifts involving butyrate-producing genera look more reproducible. A biodiversity-depression programme that stops at Shannon diversity would probably miss the most informative biology.</w:t>
      </w:r>
      <w:r>
        <w:t xml:space="preserve"> </w:t>
      </w:r>
      <w:hyperlink r:id="rId33">
        <w:r>
          <w:rPr>
            <w:rStyle w:val="Hyperlink"/>
          </w:rPr>
          <w:t xml:space="preserve">[15]</w:t>
        </w:r>
      </w:hyperlink>
    </w:p>
    <w:bookmarkEnd w:id="49"/>
    <w:bookmarkStart w:id="53" w:name="Xd4c577cf486671a86802fc5326ac44b89c31c6b"/>
    <w:p>
      <w:pPr>
        <w:pStyle w:val="Heading3"/>
      </w:pPr>
      <w:r>
        <w:t xml:space="preserve">Potential interventions, public-health implications, and ethics</w:t>
      </w:r>
    </w:p>
    <w:p>
      <w:pPr>
        <w:pStyle w:val="FirstParagraph"/>
      </w:pPr>
      <w:r>
        <w:t xml:space="preserve">A plausible intervention family is the</w:t>
      </w:r>
      <w:r>
        <w:t xml:space="preserve"> </w:t>
      </w:r>
      <w:r>
        <w:rPr>
          <w:b/>
          <w:bCs/>
        </w:rPr>
        <w:t xml:space="preserve">biodiversity prescription</w:t>
      </w:r>
      <w:r>
        <w:t xml:space="preserve">: not merely “eat better”, but “increase the number of distinct minimally processed species eaten each week”, with culturally adaptable targets and strong affordability support. A practical pilot target could be increasing plant diversity substantially from baseline and, where tolerated, aiming for something like 30 distinct plant foods per week as a behavioural scaffold; however, that number is currently better supported for microbiome diversity than for depression specifically and should not yet be treated as a validated psychiatric threshold.</w:t>
      </w:r>
      <w:r>
        <w:t xml:space="preserve"> </w:t>
      </w:r>
      <w:hyperlink r:id="rId50">
        <w:r>
          <w:rPr>
            <w:rStyle w:val="Hyperlink"/>
          </w:rPr>
          <w:t xml:space="preserve">[40]</w:t>
        </w:r>
      </w:hyperlink>
    </w:p>
    <w:p>
      <w:pPr>
        <w:pStyle w:val="BodyText"/>
      </w:pPr>
      <w:r>
        <w:t xml:space="preserve">The public-health upside is unusually broad. If biodiversity adds predictive value, mental-health nutrition policy could move away from crude calorie messages toward affordable produce diversity, species-rich institutional meals, support for legumes and whole grains, school and workplace procurement reform, and food-security policies that improve not just quantity but also diversity of access. Because food biodiversity also aligns with sustainable-diet goals, the idea could create a rare shared agenda between mental-health policy and agrifood policy.</w:t>
      </w:r>
      <w:r>
        <w:t xml:space="preserve"> </w:t>
      </w:r>
      <w:hyperlink r:id="rId51">
        <w:r>
          <w:rPr>
            <w:rStyle w:val="Hyperlink"/>
          </w:rPr>
          <w:t xml:space="preserve">[41]</w:t>
        </w:r>
      </w:hyperlink>
    </w:p>
    <w:p>
      <w:pPr>
        <w:pStyle w:val="BodyText"/>
      </w:pPr>
      <w:r>
        <w:t xml:space="preserve">The ethical constraints are substantial. The book should explicitly reject any implication that depression is caused by personal dietary failure. Low-biodiversity diets are often a consequence of poverty, fatigue, unstable work patterns, caregiving load, retail deserts, and illness. Interventions must therefore be designed to reduce burden, not increase it. The hypothesis should never be used to rationalise withdrawal of psychotherapy or medication.</w:t>
      </w:r>
      <w:r>
        <w:t xml:space="preserve"> </w:t>
      </w:r>
      <w:hyperlink r:id="rId21">
        <w:r>
          <w:rPr>
            <w:rStyle w:val="Hyperlink"/>
          </w:rPr>
          <w:t xml:space="preserve">[42]</w:t>
        </w:r>
      </w:hyperlink>
    </w:p>
    <w:p>
      <w:pPr>
        <w:pStyle w:val="BodyText"/>
      </w:pPr>
      <w:r>
        <w:t xml:space="preserve">There are also disorder-specific ethical issues. Any diversity-counting intervention could provoke obsessive tracking in people with eating disorders or rigid health anxiety; gastrointestinal side effects may occur when fibre diversity rises quickly; and food recommendations must remain culturally broad rather than implicitly Eurocentric. Biodiversity should be framed as a property of many cuisines, not a prescription for expensive or exotic foods.</w:t>
      </w:r>
      <w:r>
        <w:t xml:space="preserve"> </w:t>
      </w:r>
      <w:hyperlink r:id="rId52">
        <w:r>
          <w:rPr>
            <w:rStyle w:val="Hyperlink"/>
          </w:rPr>
          <w:t xml:space="preserve">[43]</w:t>
        </w:r>
      </w:hyperlink>
    </w:p>
    <w:p>
      <w:pPr>
        <w:pStyle w:val="SourceCode"/>
      </w:pPr>
      <w:r>
        <w:rPr>
          <w:rStyle w:val="VerbatimChar"/>
        </w:rPr>
        <w:t xml:space="preserve">gantt</w:t>
      </w:r>
      <w:r>
        <w:br/>
      </w:r>
      <w:r>
        <w:rPr>
          <w:rStyle w:val="VerbatimChar"/>
        </w:rPr>
        <w:t xml:space="preserve">    title Proposed research timeline</w:t>
      </w:r>
      <w:r>
        <w:br/>
      </w:r>
      <w:r>
        <w:rPr>
          <w:rStyle w:val="VerbatimChar"/>
        </w:rPr>
        <w:t xml:space="preserve">    dateFormat  YYYY-MM</w:t>
      </w:r>
      <w:r>
        <w:br/>
      </w:r>
      <w:r>
        <w:rPr>
          <w:rStyle w:val="VerbatimChar"/>
        </w:rPr>
        <w:t xml:space="preserve">    axisFormat  %b %Y</w:t>
      </w:r>
      <w:r>
        <w:br/>
      </w:r>
      <w:r>
        <w:br/>
      </w:r>
      <w:r>
        <w:rPr>
          <w:rStyle w:val="VerbatimChar"/>
        </w:rPr>
        <w:t xml:space="preserve">    section Measurement</w:t>
      </w:r>
      <w:r>
        <w:br/>
      </w:r>
      <w:r>
        <w:rPr>
          <w:rStyle w:val="VerbatimChar"/>
        </w:rPr>
        <w:t xml:space="preserve">    Build DSR coding system and food ontology     :a1, 2026-06, 6M</w:t>
      </w:r>
      <w:r>
        <w:br/>
      </w:r>
      <w:r>
        <w:rPr>
          <w:rStyle w:val="VerbatimChar"/>
        </w:rPr>
        <w:t xml:space="preserve">    Validate DSR against recalls and FFQs         :a2, after a1, 6M</w:t>
      </w:r>
      <w:r>
        <w:br/>
      </w:r>
      <w:r>
        <w:br/>
      </w:r>
      <w:r>
        <w:rPr>
          <w:rStyle w:val="VerbatimChar"/>
        </w:rPr>
        <w:t xml:space="preserve">    section Observational</w:t>
      </w:r>
      <w:r>
        <w:br/>
      </w:r>
      <w:r>
        <w:rPr>
          <w:rStyle w:val="VerbatimChar"/>
        </w:rPr>
        <w:t xml:space="preserve">    Launch digital panel cohort                   :b1, 2027-01, 12M</w:t>
      </w:r>
      <w:r>
        <w:br/>
      </w:r>
      <w:r>
        <w:rPr>
          <w:rStyle w:val="VerbatimChar"/>
        </w:rPr>
        <w:t xml:space="preserve">    Launch large prospective cohort               :b2, 2027-01, 36M</w:t>
      </w:r>
      <w:r>
        <w:br/>
      </w:r>
      <w:r>
        <w:rPr>
          <w:rStyle w:val="VerbatimChar"/>
        </w:rPr>
        <w:t xml:space="preserve">    First prospective analyses                    :b3, after b2, 6M</w:t>
      </w:r>
      <w:r>
        <w:br/>
      </w:r>
      <w:r>
        <w:br/>
      </w:r>
      <w:r>
        <w:rPr>
          <w:rStyle w:val="VerbatimChar"/>
        </w:rPr>
        <w:t xml:space="preserve">    section Mechanistic</w:t>
      </w:r>
      <w:r>
        <w:br/>
      </w:r>
      <w:r>
        <w:rPr>
          <w:rStyle w:val="VerbatimChar"/>
        </w:rPr>
        <w:t xml:space="preserve">    Controlled crossover feeding study            :c1, 2027-07, 12M</w:t>
      </w:r>
      <w:r>
        <w:br/>
      </w:r>
      <w:r>
        <w:rPr>
          <w:rStyle w:val="VerbatimChar"/>
        </w:rPr>
        <w:t xml:space="preserve">    Metagenomic and metabolomic analyses          :c2, after c1, 6M</w:t>
      </w:r>
      <w:r>
        <w:br/>
      </w:r>
      <w:r>
        <w:br/>
      </w:r>
      <w:r>
        <w:rPr>
          <w:rStyle w:val="VerbatimChar"/>
        </w:rPr>
        <w:t xml:space="preserve">    section Intervention</w:t>
      </w:r>
      <w:r>
        <w:br/>
      </w:r>
      <w:r>
        <w:rPr>
          <w:rStyle w:val="VerbatimChar"/>
        </w:rPr>
        <w:t xml:space="preserve">    Pilot biodiversity RCT                        :d1, 2028-01, 12M</w:t>
      </w:r>
      <w:r>
        <w:br/>
      </w:r>
      <w:r>
        <w:rPr>
          <w:rStyle w:val="VerbatimChar"/>
        </w:rPr>
        <w:t xml:space="preserve">    Full-scale depression-treatment RCT           :d2, after d1, 18M</w:t>
      </w:r>
      <w:r>
        <w:br/>
      </w:r>
      <w:r>
        <w:br/>
      </w:r>
      <w:r>
        <w:rPr>
          <w:rStyle w:val="VerbatimChar"/>
        </w:rPr>
        <w:t xml:space="preserve">    section Translation</w:t>
      </w:r>
      <w:r>
        <w:br/>
      </w:r>
      <w:r>
        <w:rPr>
          <w:rStyle w:val="VerbatimChar"/>
        </w:rPr>
        <w:t xml:space="preserve">    Health-economic and equity analyses           :e1, 2029-07, 9M</w:t>
      </w:r>
      <w:r>
        <w:br/>
      </w:r>
      <w:r>
        <w:rPr>
          <w:rStyle w:val="VerbatimChar"/>
        </w:rPr>
        <w:t xml:space="preserve">    Policy pilots and implementation studies      :e2, 2030-01, 18M</w:t>
      </w:r>
    </w:p>
    <w:bookmarkEnd w:id="53"/>
    <w:bookmarkEnd w:id="54"/>
    <w:bookmarkStart w:id="62" w:name="book-architecture-and-priority-sources"/>
    <w:p>
      <w:pPr>
        <w:pStyle w:val="Heading2"/>
      </w:pPr>
      <w:r>
        <w:t xml:space="preserve">Book architecture and priority sources</w:t>
      </w:r>
    </w:p>
    <w:bookmarkStart w:id="55" w:name="proposed-chapter-outline"/>
    <w:p>
      <w:pPr>
        <w:pStyle w:val="Heading3"/>
      </w:pPr>
      <w:r>
        <w:t xml:space="preserve">Proposed chapter outline</w:t>
      </w:r>
    </w:p>
    <w:p>
      <w:pPr>
        <w:numPr>
          <w:ilvl w:val="0"/>
          <w:numId w:val="1001"/>
        </w:numPr>
      </w:pPr>
      <w:r>
        <w:rPr>
          <w:b/>
          <w:bCs/>
        </w:rPr>
        <w:t xml:space="preserve">The Missing Variable in Nutritional Psychiatry</w:t>
      </w:r>
      <w:r>
        <w:br/>
      </w:r>
      <w:r>
        <w:t xml:space="preserve">Why existing food-and-depression debates are informative but incomplete, and why biodiversity may be the missing construct.</w:t>
      </w:r>
    </w:p>
    <w:p>
      <w:pPr>
        <w:numPr>
          <w:ilvl w:val="0"/>
          <w:numId w:val="1001"/>
        </w:numPr>
      </w:pPr>
      <w:r>
        <w:rPr>
          <w:b/>
          <w:bCs/>
        </w:rPr>
        <w:t xml:space="preserve">From Variety to Biodiversity</w:t>
      </w:r>
      <w:r>
        <w:br/>
      </w:r>
      <w:r>
        <w:t xml:space="preserve">The distinction between food-group variety, food kinds, dietary species richness, and food-system biodiversity.</w:t>
      </w:r>
    </w:p>
    <w:p>
      <w:pPr>
        <w:numPr>
          <w:ilvl w:val="0"/>
          <w:numId w:val="1001"/>
        </w:numPr>
      </w:pPr>
      <w:r>
        <w:rPr>
          <w:b/>
          <w:bCs/>
        </w:rPr>
        <w:t xml:space="preserve">The Biology of a Narrow Diet</w:t>
      </w:r>
      <w:r>
        <w:br/>
      </w:r>
      <w:r>
        <w:t xml:space="preserve">Gut microbes, inflammation, tryptophan pathways, butyrate, polyphenols, and micronutrient redundancy.</w:t>
      </w:r>
    </w:p>
    <w:p>
      <w:pPr>
        <w:numPr>
          <w:ilvl w:val="0"/>
          <w:numId w:val="1001"/>
        </w:numPr>
      </w:pPr>
      <w:r>
        <w:rPr>
          <w:b/>
          <w:bCs/>
        </w:rPr>
        <w:t xml:space="preserve">The Depressed Menu</w:t>
      </w:r>
      <w:r>
        <w:br/>
      </w:r>
      <w:r>
        <w:t xml:space="preserve">How depression narrows appetite, meal timing, breakfast behaviour, novelty, shopping, cooking, and social eating.</w:t>
      </w:r>
    </w:p>
    <w:p>
      <w:pPr>
        <w:numPr>
          <w:ilvl w:val="0"/>
          <w:numId w:val="1001"/>
        </w:numPr>
      </w:pPr>
      <w:r>
        <w:rPr>
          <w:b/>
          <w:bCs/>
        </w:rPr>
        <w:t xml:space="preserve">Industrial Diets and the Collapse of Edible Diversity</w:t>
      </w:r>
      <w:r>
        <w:br/>
      </w:r>
      <w:r>
        <w:t xml:space="preserve">Ultra-processed foods, retail concentration, monocultures, convenience, and displacement.</w:t>
      </w:r>
    </w:p>
    <w:p>
      <w:pPr>
        <w:numPr>
          <w:ilvl w:val="0"/>
          <w:numId w:val="1001"/>
        </w:numPr>
      </w:pPr>
      <w:r>
        <w:rPr>
          <w:b/>
          <w:bCs/>
        </w:rPr>
        <w:t xml:space="preserve">Poverty, Deprivation, and the Biodiversity Gap</w:t>
      </w:r>
      <w:r>
        <w:br/>
      </w:r>
      <w:r>
        <w:t xml:space="preserve">Food insecurity, neighbourhood effects, affordability, and why this is not a story of individual blame.</w:t>
      </w:r>
    </w:p>
    <w:p>
      <w:pPr>
        <w:numPr>
          <w:ilvl w:val="0"/>
          <w:numId w:val="1001"/>
        </w:numPr>
      </w:pPr>
      <w:r>
        <w:rPr>
          <w:b/>
          <w:bCs/>
        </w:rPr>
        <w:t xml:space="preserve">What the Evidence Really Says</w:t>
      </w:r>
      <w:r>
        <w:br/>
      </w:r>
      <w:r>
        <w:t xml:space="preserve">Mediterranean diet trials, ultra-processed-food cohorts, dietary-diversity studies, microbiome findings, and the limits of current evidence.</w:t>
      </w:r>
    </w:p>
    <w:p>
      <w:pPr>
        <w:numPr>
          <w:ilvl w:val="0"/>
          <w:numId w:val="1001"/>
        </w:numPr>
      </w:pPr>
      <w:r>
        <w:rPr>
          <w:b/>
          <w:bCs/>
        </w:rPr>
        <w:t xml:space="preserve">How to Test the Hypothesis Properly</w:t>
      </w:r>
      <w:r>
        <w:br/>
      </w:r>
      <w:r>
        <w:t xml:space="preserve">Measurement, cohorts, RCTs, mechanistic studies, mediation, and falsification criteria.</w:t>
      </w:r>
    </w:p>
    <w:p>
      <w:pPr>
        <w:numPr>
          <w:ilvl w:val="0"/>
          <w:numId w:val="1001"/>
        </w:numPr>
      </w:pPr>
      <w:r>
        <w:rPr>
          <w:b/>
          <w:bCs/>
        </w:rPr>
        <w:t xml:space="preserve">Interventions That Could Matter</w:t>
      </w:r>
      <w:r>
        <w:br/>
      </w:r>
      <w:r>
        <w:t xml:space="preserve">Clinical advice, voucher schemes, canteens, schools, workplaces, and community food programmes.</w:t>
      </w:r>
    </w:p>
    <w:p>
      <w:pPr>
        <w:numPr>
          <w:ilvl w:val="0"/>
          <w:numId w:val="1001"/>
        </w:numPr>
      </w:pPr>
      <w:r>
        <w:rPr>
          <w:b/>
          <w:bCs/>
        </w:rPr>
        <w:t xml:space="preserve">A New Food Story for Mental Health</w:t>
      </w:r>
      <w:r>
        <w:br/>
      </w:r>
      <w:r>
        <w:t xml:space="preserve">How a biodiversity lens changes research, policy, and everyday language around food and depression.</w:t>
      </w:r>
    </w:p>
    <w:bookmarkEnd w:id="55"/>
    <w:bookmarkStart w:id="60" w:name="annotated-bibliography"/>
    <w:p>
      <w:pPr>
        <w:pStyle w:val="Heading3"/>
      </w:pPr>
      <w:r>
        <w:t xml:space="preserve">Annotated bibliography</w:t>
      </w:r>
    </w:p>
    <w:p>
      <w:pPr>
        <w:numPr>
          <w:ilvl w:val="0"/>
          <w:numId w:val="1002"/>
        </w:numPr>
      </w:pPr>
      <w:r>
        <w:rPr>
          <w:b/>
          <w:bCs/>
        </w:rPr>
        <w:t xml:space="preserve">WHO depression fact sheet.</w:t>
      </w:r>
      <w:r>
        <w:t xml:space="preserve"> </w:t>
      </w:r>
      <w:r>
        <w:t xml:space="preserve">Best official starting point for burden, symptoms, and treatment framing; use it to anchor the public-health importance of the topic.</w:t>
      </w:r>
      <w:r>
        <w:t xml:space="preserve"> </w:t>
      </w:r>
      <w:hyperlink r:id="rId23">
        <w:r>
          <w:rPr>
            <w:rStyle w:val="Hyperlink"/>
          </w:rPr>
          <w:t xml:space="preserve">[44]</w:t>
        </w:r>
      </w:hyperlink>
      <w:r>
        <w:br/>
      </w:r>
      <w:r>
        <w:t xml:space="preserve">URL:</w:t>
      </w:r>
      <w:r>
        <w:t xml:space="preserve"> </w:t>
      </w:r>
      <w:r>
        <w:rPr>
          <w:rStyle w:val="VerbatimChar"/>
        </w:rPr>
        <w:t xml:space="preserve">https://www.who.int/news-room/fact-sheets/detail/depression</w:t>
      </w:r>
    </w:p>
    <w:p>
      <w:pPr>
        <w:numPr>
          <w:ilvl w:val="0"/>
          <w:numId w:val="1002"/>
        </w:numPr>
      </w:pPr>
      <w:r>
        <w:rPr>
          <w:b/>
          <w:bCs/>
        </w:rPr>
        <w:t xml:space="preserve">WHO guidance on mainstreaming biodiversity for nutrition and health.</w:t>
      </w:r>
      <w:r>
        <w:t xml:space="preserve"> </w:t>
      </w:r>
      <w:r>
        <w:t xml:space="preserve">Official policy bridge between biodiversity and health; useful for the environmental and public-health chapters.</w:t>
      </w:r>
      <w:r>
        <w:t xml:space="preserve"> </w:t>
      </w:r>
      <w:hyperlink r:id="rId51">
        <w:r>
          <w:rPr>
            <w:rStyle w:val="Hyperlink"/>
          </w:rPr>
          <w:t xml:space="preserve">[45]</w:t>
        </w:r>
      </w:hyperlink>
      <w:r>
        <w:br/>
      </w:r>
      <w:r>
        <w:t xml:space="preserve">URL:</w:t>
      </w:r>
      <w:r>
        <w:t xml:space="preserve"> </w:t>
      </w:r>
      <w:r>
        <w:rPr>
          <w:rStyle w:val="VerbatimChar"/>
        </w:rPr>
        <w:t xml:space="preserve">https://www.who.int/publications-detail-redirect/guidance-mainstreaming-biodiversity-for-nutrition-and-health</w:t>
      </w:r>
    </w:p>
    <w:p>
      <w:pPr>
        <w:numPr>
          <w:ilvl w:val="0"/>
          <w:numId w:val="1002"/>
        </w:numPr>
      </w:pPr>
      <w:r>
        <w:rPr>
          <w:b/>
          <w:bCs/>
        </w:rPr>
        <w:t xml:space="preserve">FAO biodiversity overview.</w:t>
      </w:r>
      <w:r>
        <w:t xml:space="preserve"> </w:t>
      </w:r>
      <w:r>
        <w:t xml:space="preserve">Concise official definition of biodiversity in agrifood systems; good for conceptual precision.</w:t>
      </w:r>
      <w:r>
        <w:t xml:space="preserve"> </w:t>
      </w:r>
      <w:hyperlink r:id="rId41">
        <w:r>
          <w:rPr>
            <w:rStyle w:val="Hyperlink"/>
          </w:rPr>
          <w:t xml:space="preserve">[46]</w:t>
        </w:r>
      </w:hyperlink>
      <w:r>
        <w:br/>
      </w:r>
      <w:r>
        <w:t xml:space="preserve">URL:</w:t>
      </w:r>
      <w:r>
        <w:t xml:space="preserve"> </w:t>
      </w:r>
      <w:r>
        <w:rPr>
          <w:rStyle w:val="VerbatimChar"/>
        </w:rPr>
        <w:t xml:space="preserve">https://www.fao.org/biodiversity/overview/en</w:t>
      </w:r>
    </w:p>
    <w:p>
      <w:pPr>
        <w:numPr>
          <w:ilvl w:val="0"/>
          <w:numId w:val="1002"/>
        </w:numPr>
      </w:pPr>
      <w:r>
        <w:rPr>
          <w:b/>
          <w:bCs/>
        </w:rPr>
        <w:t xml:space="preserve">Lachat et al., 2018, Dietary species richness as a measure of food biodiversity and nutritional quality of diets.</w:t>
      </w:r>
      <w:r>
        <w:t xml:space="preserve"> </w:t>
      </w:r>
      <w:r>
        <w:t xml:space="preserve">Foundational conceptual paper introducing dietary species richness as a usable human-diet metric.</w:t>
      </w:r>
      <w:r>
        <w:t xml:space="preserve"> </w:t>
      </w:r>
      <w:hyperlink r:id="rId24">
        <w:r>
          <w:rPr>
            <w:rStyle w:val="Hyperlink"/>
          </w:rPr>
          <w:t xml:space="preserve">[47]</w:t>
        </w:r>
      </w:hyperlink>
      <w:r>
        <w:br/>
      </w:r>
      <w:r>
        <w:t xml:space="preserve">URL:</w:t>
      </w:r>
      <w:r>
        <w:t xml:space="preserve"> </w:t>
      </w:r>
      <w:r>
        <w:rPr>
          <w:rStyle w:val="VerbatimChar"/>
        </w:rPr>
        <w:t xml:space="preserve">https://www.pnas.org/doi/10.1073/pnas.1709194115</w:t>
      </w:r>
    </w:p>
    <w:p>
      <w:pPr>
        <w:numPr>
          <w:ilvl w:val="0"/>
          <w:numId w:val="1002"/>
        </w:numPr>
      </w:pPr>
      <w:r>
        <w:rPr>
          <w:b/>
          <w:bCs/>
        </w:rPr>
        <w:t xml:space="preserve">Hofman et al., 2025, Food Biodiversity and its Association with Diet Quality and Health Outcomes.</w:t>
      </w:r>
      <w:r>
        <w:t xml:space="preserve"> </w:t>
      </w:r>
      <w:r>
        <w:t xml:space="preserve">Crucial scoping review showing how little food-biodiversity outcome work exists, and how open the field still is.</w:t>
      </w:r>
      <w:r>
        <w:t xml:space="preserve"> </w:t>
      </w:r>
      <w:hyperlink r:id="rId29">
        <w:r>
          <w:rPr>
            <w:rStyle w:val="Hyperlink"/>
          </w:rPr>
          <w:t xml:space="preserve">[11]</w:t>
        </w:r>
      </w:hyperlink>
      <w:r>
        <w:br/>
      </w:r>
      <w:r>
        <w:t xml:space="preserve">URL:</w:t>
      </w:r>
      <w:r>
        <w:t xml:space="preserve"> </w:t>
      </w:r>
      <w:r>
        <w:rPr>
          <w:rStyle w:val="VerbatimChar"/>
        </w:rPr>
        <w:t xml:space="preserve">https://www.sciencedirect.com/science/article/pii/S2161831325001899</w:t>
      </w:r>
    </w:p>
    <w:p>
      <w:pPr>
        <w:numPr>
          <w:ilvl w:val="0"/>
          <w:numId w:val="1002"/>
        </w:numPr>
      </w:pPr>
      <w:r>
        <w:rPr>
          <w:b/>
          <w:bCs/>
        </w:rPr>
        <w:t xml:space="preserve">Hanley-Cook et al., 2021, Food biodiversity and total and cause-specific mortality in 9 European countries.</w:t>
      </w:r>
      <w:r>
        <w:t xml:space="preserve"> </w:t>
      </w:r>
      <w:r>
        <w:t xml:space="preserve">Strong prospective evidence that dietary species richness predicts health outcomes beyond ordinary diet metrics.</w:t>
      </w:r>
      <w:r>
        <w:t xml:space="preserve"> </w:t>
      </w:r>
      <w:hyperlink r:id="rId56">
        <w:r>
          <w:rPr>
            <w:rStyle w:val="Hyperlink"/>
          </w:rPr>
          <w:t xml:space="preserve">[48]</w:t>
        </w:r>
      </w:hyperlink>
      <w:r>
        <w:br/>
      </w:r>
      <w:r>
        <w:t xml:space="preserve">URL:</w:t>
      </w:r>
      <w:r>
        <w:t xml:space="preserve"> </w:t>
      </w:r>
      <w:r>
        <w:rPr>
          <w:rStyle w:val="VerbatimChar"/>
        </w:rPr>
        <w:t xml:space="preserve">https://pmc.ncbi.nlm.nih.gov/articles/PMC8559947/</w:t>
      </w:r>
    </w:p>
    <w:p>
      <w:pPr>
        <w:numPr>
          <w:ilvl w:val="0"/>
          <w:numId w:val="1002"/>
        </w:numPr>
      </w:pPr>
      <w:r>
        <w:rPr>
          <w:b/>
          <w:bCs/>
        </w:rPr>
        <w:t xml:space="preserve">Aceves-Martins et al., 2025, measurement of dietary species richness in UK diets.</w:t>
      </w:r>
      <w:r>
        <w:t xml:space="preserve"> </w:t>
      </w:r>
      <w:r>
        <w:t xml:space="preserve">Important for operationalisation; shows DSR can be measured in a Western diet and that it tracks income and deprivation.</w:t>
      </w:r>
      <w:r>
        <w:t xml:space="preserve"> </w:t>
      </w:r>
      <w:hyperlink r:id="rId21">
        <w:r>
          <w:rPr>
            <w:rStyle w:val="Hyperlink"/>
          </w:rPr>
          <w:t xml:space="preserve">[49]</w:t>
        </w:r>
      </w:hyperlink>
      <w:r>
        <w:br/>
      </w:r>
      <w:r>
        <w:t xml:space="preserve">URL:</w:t>
      </w:r>
      <w:r>
        <w:t xml:space="preserve"> </w:t>
      </w:r>
      <w:r>
        <w:rPr>
          <w:rStyle w:val="VerbatimChar"/>
        </w:rPr>
        <w:t xml:space="preserve">https://www.cambridge.org/core/journals/public-health-nutrition/article/measurement-of-dietary-species-richness-reveals-that-a-higher-consumption-of-dietary-fibre-fish-fruits-and-vegetables-is-associated-with-greater-food-biodiversity-in-uk-diets/D6EA950EE2F398C0DE72EAFDF3AE99AC</w:t>
      </w:r>
    </w:p>
    <w:p>
      <w:pPr>
        <w:numPr>
          <w:ilvl w:val="0"/>
          <w:numId w:val="1002"/>
        </w:numPr>
      </w:pPr>
      <w:r>
        <w:rPr>
          <w:b/>
          <w:bCs/>
        </w:rPr>
        <w:t xml:space="preserve">Nazarian et al., 2025, dietary diversity and depression meta-analysis.</w:t>
      </w:r>
      <w:r>
        <w:t xml:space="preserve"> </w:t>
      </w:r>
      <w:r>
        <w:t xml:space="preserve">Shows that dietary diversity is already linked to depression, but mainly via cross-sectional studies.</w:t>
      </w:r>
      <w:r>
        <w:t xml:space="preserve"> </w:t>
      </w:r>
      <w:hyperlink r:id="rId25">
        <w:r>
          <w:rPr>
            <w:rStyle w:val="Hyperlink"/>
          </w:rPr>
          <w:t xml:space="preserve">[50]</w:t>
        </w:r>
      </w:hyperlink>
      <w:r>
        <w:br/>
      </w:r>
      <w:r>
        <w:t xml:space="preserve">URL:</w:t>
      </w:r>
      <w:r>
        <w:t xml:space="preserve"> </w:t>
      </w:r>
      <w:r>
        <w:rPr>
          <w:rStyle w:val="VerbatimChar"/>
        </w:rPr>
        <w:t xml:space="preserve">https://link.springer.com/article/10.1186/s12889-025-23240-y</w:t>
      </w:r>
    </w:p>
    <w:p>
      <w:pPr>
        <w:numPr>
          <w:ilvl w:val="0"/>
          <w:numId w:val="1002"/>
        </w:numPr>
      </w:pPr>
      <w:r>
        <w:rPr>
          <w:b/>
          <w:bCs/>
        </w:rPr>
        <w:t xml:space="preserve">Cano-Ibáñez et al., 2023, PREDIMED-Plus dietary diversity and depression.</w:t>
      </w:r>
      <w:r>
        <w:t xml:space="preserve"> </w:t>
      </w:r>
      <w:r>
        <w:t xml:space="preserve">Especially important because it found a cross-sectional association but no clear longitudinal effect over two years, highlighting the reverse-causality problem.</w:t>
      </w:r>
      <w:r>
        <w:t xml:space="preserve"> </w:t>
      </w:r>
      <w:hyperlink r:id="rId57">
        <w:r>
          <w:rPr>
            <w:rStyle w:val="Hyperlink"/>
          </w:rPr>
          <w:t xml:space="preserve">[51]</w:t>
        </w:r>
      </w:hyperlink>
      <w:r>
        <w:br/>
      </w:r>
      <w:r>
        <w:t xml:space="preserve">URL:</w:t>
      </w:r>
      <w:r>
        <w:t xml:space="preserve"> </w:t>
      </w:r>
      <w:r>
        <w:rPr>
          <w:rStyle w:val="VerbatimChar"/>
        </w:rPr>
        <w:t xml:space="preserve">https://www.cambridge.org/core/journals/public-health-nutrition/article/dietary-diversity-and-depression-crosssectional-and-longitudinal-analyses-in-spanish-adult-population-with-metabolic-syndrome-findings-from-predimedplus-trial/452034A740BFE099D1D4382B16F20DF1</w:t>
      </w:r>
    </w:p>
    <w:p>
      <w:pPr>
        <w:numPr>
          <w:ilvl w:val="0"/>
          <w:numId w:val="1002"/>
        </w:numPr>
      </w:pPr>
      <w:r>
        <w:rPr>
          <w:b/>
          <w:bCs/>
        </w:rPr>
        <w:t xml:space="preserve">Samuthpongtorn et al., 2023, ultra-processed food and risk of depression.</w:t>
      </w:r>
      <w:r>
        <w:t xml:space="preserve"> </w:t>
      </w:r>
      <w:r>
        <w:t xml:space="preserve">One of the cleanest prospective mental-health studies on food-system exposure; essential comparator literature.</w:t>
      </w:r>
      <w:r>
        <w:t xml:space="preserve"> </w:t>
      </w:r>
      <w:hyperlink r:id="rId22">
        <w:r>
          <w:rPr>
            <w:rStyle w:val="Hyperlink"/>
          </w:rPr>
          <w:t xml:space="preserve">[29]</w:t>
        </w:r>
      </w:hyperlink>
      <w:r>
        <w:br/>
      </w:r>
      <w:r>
        <w:t xml:space="preserve">URL:</w:t>
      </w:r>
      <w:r>
        <w:t xml:space="preserve"> </w:t>
      </w:r>
      <w:r>
        <w:rPr>
          <w:rStyle w:val="VerbatimChar"/>
        </w:rPr>
        <w:t xml:space="preserve">https://jamanetwork.com/journals/jamanetworkopen/fullarticle/2809727</w:t>
      </w:r>
    </w:p>
    <w:p>
      <w:pPr>
        <w:numPr>
          <w:ilvl w:val="0"/>
          <w:numId w:val="1002"/>
        </w:numPr>
      </w:pPr>
      <w:r>
        <w:rPr>
          <w:b/>
          <w:bCs/>
        </w:rPr>
        <w:t xml:space="preserve">Jacka et al., 2017, SMILES trial.</w:t>
      </w:r>
      <w:r>
        <w:t xml:space="preserve"> </w:t>
      </w:r>
      <w:r>
        <w:t xml:space="preserve">Landmark randomised trial showing dietary improvement can reduce depressive symptoms in adults with major depression.</w:t>
      </w:r>
      <w:r>
        <w:t xml:space="preserve"> </w:t>
      </w:r>
      <w:hyperlink r:id="rId26">
        <w:r>
          <w:rPr>
            <w:rStyle w:val="Hyperlink"/>
          </w:rPr>
          <w:t xml:space="preserve">[52]</w:t>
        </w:r>
      </w:hyperlink>
      <w:r>
        <w:br/>
      </w:r>
      <w:r>
        <w:t xml:space="preserve">URL:</w:t>
      </w:r>
      <w:r>
        <w:t xml:space="preserve"> </w:t>
      </w:r>
      <w:r>
        <w:rPr>
          <w:rStyle w:val="VerbatimChar"/>
        </w:rPr>
        <w:t xml:space="preserve">https://link.springer.com/article/10.1186/s12916-017-0791-y</w:t>
      </w:r>
    </w:p>
    <w:p>
      <w:pPr>
        <w:numPr>
          <w:ilvl w:val="0"/>
          <w:numId w:val="1002"/>
        </w:numPr>
      </w:pPr>
      <w:r>
        <w:rPr>
          <w:b/>
          <w:bCs/>
        </w:rPr>
        <w:t xml:space="preserve">Gao et al., 2023, Gut microbiota composition in depressive disorder.</w:t>
      </w:r>
      <w:r>
        <w:t xml:space="preserve"> </w:t>
      </w:r>
      <w:r>
        <w:t xml:space="preserve">Best current synthesis to support the microbial-mechanistic chapter, especially the repeat signal for depleted butyrate-producing taxa.</w:t>
      </w:r>
      <w:r>
        <w:t xml:space="preserve"> </w:t>
      </w:r>
      <w:hyperlink r:id="rId33">
        <w:r>
          <w:rPr>
            <w:rStyle w:val="Hyperlink"/>
          </w:rPr>
          <w:t xml:space="preserve">[15]</w:t>
        </w:r>
      </w:hyperlink>
      <w:r>
        <w:br/>
      </w:r>
      <w:r>
        <w:t xml:space="preserve">URL:</w:t>
      </w:r>
      <w:r>
        <w:t xml:space="preserve"> </w:t>
      </w:r>
      <w:r>
        <w:rPr>
          <w:rStyle w:val="VerbatimChar"/>
        </w:rPr>
        <w:t xml:space="preserve">https://www.nature.com/articles/s41398-023-02670-5</w:t>
      </w:r>
    </w:p>
    <w:p>
      <w:pPr>
        <w:numPr>
          <w:ilvl w:val="0"/>
          <w:numId w:val="1002"/>
        </w:numPr>
      </w:pPr>
      <w:r>
        <w:rPr>
          <w:b/>
          <w:bCs/>
        </w:rPr>
        <w:t xml:space="preserve">Zuniga-Chaves et al., 2023, neighbourhood socioeconomic status and gut microbiomes.</w:t>
      </w:r>
      <w:r>
        <w:t xml:space="preserve"> </w:t>
      </w:r>
      <w:r>
        <w:t xml:space="preserve">Important for linking deprivation, food insecurity, microbiome diversity, and structural inequality.</w:t>
      </w:r>
      <w:r>
        <w:t xml:space="preserve"> </w:t>
      </w:r>
      <w:hyperlink r:id="rId58">
        <w:r>
          <w:rPr>
            <w:rStyle w:val="Hyperlink"/>
          </w:rPr>
          <w:t xml:space="preserve">[53]</w:t>
        </w:r>
      </w:hyperlink>
      <w:r>
        <w:br/>
      </w:r>
      <w:r>
        <w:t xml:space="preserve">URL:</w:t>
      </w:r>
      <w:r>
        <w:t xml:space="preserve"> </w:t>
      </w:r>
      <w:r>
        <w:rPr>
          <w:rStyle w:val="VerbatimChar"/>
        </w:rPr>
        <w:t xml:space="preserve">https://www.nature.com/articles/s41522-023-00430-3</w:t>
      </w:r>
    </w:p>
    <w:p>
      <w:pPr>
        <w:numPr>
          <w:ilvl w:val="0"/>
          <w:numId w:val="1002"/>
        </w:numPr>
      </w:pPr>
      <w:r>
        <w:rPr>
          <w:b/>
          <w:bCs/>
        </w:rPr>
        <w:t xml:space="preserve">Parmenter et al., 2025, diversity of dietary flavonoid intake.</w:t>
      </w:r>
      <w:r>
        <w:t xml:space="preserve"> </w:t>
      </w:r>
      <w:r>
        <w:t xml:space="preserve">Not a depression paper, but a strategic analogue: it shows that chemical diversity within a healthy dietary domain can matter independently of total intake.</w:t>
      </w:r>
      <w:r>
        <w:t xml:space="preserve"> </w:t>
      </w:r>
      <w:hyperlink r:id="rId35">
        <w:r>
          <w:rPr>
            <w:rStyle w:val="Hyperlink"/>
          </w:rPr>
          <w:t xml:space="preserve">[18]</w:t>
        </w:r>
      </w:hyperlink>
      <w:r>
        <w:br/>
      </w:r>
      <w:r>
        <w:t xml:space="preserve">URL:</w:t>
      </w:r>
      <w:r>
        <w:t xml:space="preserve"> </w:t>
      </w:r>
      <w:r>
        <w:rPr>
          <w:rStyle w:val="VerbatimChar"/>
        </w:rPr>
        <w:t xml:space="preserve">https://www.nature.com/articles/s43016-025-01176-1</w:t>
      </w:r>
    </w:p>
    <w:p>
      <w:pPr>
        <w:numPr>
          <w:ilvl w:val="0"/>
          <w:numId w:val="1002"/>
        </w:numPr>
      </w:pPr>
      <w:r>
        <w:rPr>
          <w:b/>
          <w:bCs/>
        </w:rPr>
        <w:t xml:space="preserve">Molero et al., 2025, diet quality and depression risk.</w:t>
      </w:r>
      <w:r>
        <w:t xml:space="preserve"> </w:t>
      </w:r>
      <w:r>
        <w:t xml:space="preserve">An essential sceptical source; it argues the overall evidence remains weak because of reverse causation and validity issues. It should be read early to keep the book rigorous.</w:t>
      </w:r>
      <w:r>
        <w:t xml:space="preserve"> </w:t>
      </w:r>
      <w:hyperlink r:id="rId59">
        <w:r>
          <w:rPr>
            <w:rStyle w:val="Hyperlink"/>
          </w:rPr>
          <w:t xml:space="preserve">[54]</w:t>
        </w:r>
      </w:hyperlink>
      <w:r>
        <w:br/>
      </w:r>
      <w:r>
        <w:t xml:space="preserve">URL:</w:t>
      </w:r>
      <w:r>
        <w:t xml:space="preserve"> </w:t>
      </w:r>
      <w:r>
        <w:rPr>
          <w:rStyle w:val="VerbatimChar"/>
        </w:rPr>
        <w:t xml:space="preserve">https://www.sciencedirect.com/science/article/pii/S0165032725005117</w:t>
      </w:r>
    </w:p>
    <w:bookmarkEnd w:id="60"/>
    <w:bookmarkStart w:id="61" w:name="suggested-visuals-and-charts"/>
    <w:p>
      <w:pPr>
        <w:pStyle w:val="Heading3"/>
      </w:pPr>
      <w:r>
        <w:t xml:space="preserve">Suggested visuals and charts</w:t>
      </w:r>
    </w:p>
    <w:p>
      <w:pPr>
        <w:pStyle w:val="FirstParagraph"/>
      </w:pPr>
      <w:r>
        <w:t xml:space="preserve">The two most useful</w:t>
      </w:r>
      <w:r>
        <w:t xml:space="preserve"> </w:t>
      </w:r>
      <w:r>
        <w:rPr>
          <w:b/>
          <w:bCs/>
        </w:rPr>
        <w:t xml:space="preserve">mermaid</w:t>
      </w:r>
      <w:r>
        <w:t xml:space="preserve"> </w:t>
      </w:r>
      <w:r>
        <w:t xml:space="preserve">visuals are already included above: the causal-pathway diagram and the staged research timeline. They should sit at the centre of the proposal because this idea lives or dies on causal structure and measurement order. The supporting chart set should then be built around data needs rather than decoration.</w:t>
      </w:r>
      <w:r>
        <w:t xml:space="preserve"> </w:t>
      </w:r>
      <w:hyperlink r:id="rId29">
        <w:r>
          <w:rPr>
            <w:rStyle w:val="Hyperlink"/>
          </w:rPr>
          <w:t xml:space="preserve">[55]</w:t>
        </w:r>
      </w:hyperlink>
    </w:p>
    <w:p>
      <w:pPr>
        <w:pStyle w:val="BodyText"/>
      </w:pPr>
      <w:r>
        <w:t xml:space="preserve">The most informative additional charts would be:</w:t>
      </w:r>
    </w:p>
    <w:p>
      <w:pPr>
        <w:pStyle w:val="Compact"/>
        <w:numPr>
          <w:ilvl w:val="0"/>
          <w:numId w:val="1003"/>
        </w:numPr>
      </w:pPr>
      <w:r>
        <w:rPr>
          <w:b/>
          <w:bCs/>
        </w:rPr>
        <w:t xml:space="preserve">A conceptual exposure chart</w:t>
      </w:r>
      <w:r>
        <w:t xml:space="preserve"> </w:t>
      </w:r>
      <w:r>
        <w:t xml:space="preserve">showing how Mediterranean score, ultra-processed-food share, food-group diversity, and dietary species richness overlap but are not identical.</w:t>
      </w:r>
    </w:p>
    <w:p>
      <w:pPr>
        <w:pStyle w:val="Compact"/>
        <w:numPr>
          <w:ilvl w:val="0"/>
          <w:numId w:val="1003"/>
        </w:numPr>
      </w:pPr>
      <w:r>
        <w:rPr>
          <w:b/>
          <w:bCs/>
        </w:rPr>
        <w:t xml:space="preserve">A directed mediation chart</w:t>
      </w:r>
      <w:r>
        <w:t xml:space="preserve"> </w:t>
      </w:r>
      <w:r>
        <w:t xml:space="preserve">quantifying how much of any DSR–depression association is explained by food insecurity, microbiome function, inflammation, meal regularity, and social eating.</w:t>
      </w:r>
    </w:p>
    <w:p>
      <w:pPr>
        <w:pStyle w:val="Compact"/>
        <w:numPr>
          <w:ilvl w:val="0"/>
          <w:numId w:val="1003"/>
        </w:numPr>
      </w:pPr>
      <w:r>
        <w:rPr>
          <w:b/>
          <w:bCs/>
        </w:rPr>
        <w:t xml:space="preserve">A longitudinal spaghetti plot</w:t>
      </w:r>
      <w:r>
        <w:t xml:space="preserve"> </w:t>
      </w:r>
      <w:r>
        <w:t xml:space="preserve">of within-person weekly DSR against PHQ-9 trajectories, to visualise temporal ordering.</w:t>
      </w:r>
    </w:p>
    <w:p>
      <w:pPr>
        <w:pStyle w:val="Compact"/>
        <w:numPr>
          <w:ilvl w:val="0"/>
          <w:numId w:val="1003"/>
        </w:numPr>
      </w:pPr>
      <w:r>
        <w:rPr>
          <w:b/>
          <w:bCs/>
        </w:rPr>
        <w:t xml:space="preserve">A forest plot</w:t>
      </w:r>
      <w:r>
        <w:t xml:space="preserve"> </w:t>
      </w:r>
      <w:r>
        <w:t xml:space="preserve">comparing effect sizes for Mediterranean-diet adherence, UPF exposure, food-group diversity, and DSR in the same analytic frame.</w:t>
      </w:r>
    </w:p>
    <w:p>
      <w:pPr>
        <w:pStyle w:val="Compact"/>
        <w:numPr>
          <w:ilvl w:val="0"/>
          <w:numId w:val="1003"/>
        </w:numPr>
      </w:pPr>
      <w:r>
        <w:rPr>
          <w:b/>
          <w:bCs/>
        </w:rPr>
        <w:t xml:space="preserve">An equity chart</w:t>
      </w:r>
      <w:r>
        <w:t xml:space="preserve"> </w:t>
      </w:r>
      <w:r>
        <w:t xml:space="preserve">showing DSR by income or deprivation quintile and the corresponding gradient in depressive symptoms or antidepressant initiation.</w:t>
      </w:r>
    </w:p>
    <w:p>
      <w:pPr>
        <w:pStyle w:val="Compact"/>
        <w:numPr>
          <w:ilvl w:val="0"/>
          <w:numId w:val="1003"/>
        </w:numPr>
      </w:pPr>
      <w:r>
        <w:rPr>
          <w:b/>
          <w:bCs/>
        </w:rPr>
        <w:t xml:space="preserve">An intervention dashboard</w:t>
      </w:r>
      <w:r>
        <w:t xml:space="preserve"> </w:t>
      </w:r>
      <w:r>
        <w:t xml:space="preserve">for RCTs, including adherence, cost, GI tolerance, symptom change, microbiome markers, and remission.</w:t>
      </w:r>
      <w:r>
        <w:t xml:space="preserve"> </w:t>
      </w:r>
      <w:hyperlink r:id="rId21">
        <w:r>
          <w:rPr>
            <w:rStyle w:val="Hyperlink"/>
          </w:rPr>
          <w:t xml:space="preserve">[56]</w:t>
        </w:r>
      </w:hyperlink>
    </w:p>
    <w:p>
      <w:pPr>
        <w:pStyle w:val="FirstParagraph"/>
      </w:pPr>
      <w:r>
        <w:t xml:space="preserve">The bottom line is that</w:t>
      </w:r>
      <w:r>
        <w:t xml:space="preserve"> </w:t>
      </w:r>
      <w:r>
        <w:rPr>
          <w:b/>
          <w:bCs/>
        </w:rPr>
        <w:t xml:space="preserve">food biodiversity depletion</w:t>
      </w:r>
      <w:r>
        <w:t xml:space="preserve"> </w:t>
      </w:r>
      <w:r>
        <w:t xml:space="preserve">is a plausible, novel, and strategically important hypothesis for a book on food and depression. It is novel because the depression literature has not explored it in depth at the species-richness level; realistic because it extends validated biodiversity metrics and known nutritional-psychiatric mechanisms; and high-impact because it links biology, behaviour, inequality, and food systems in a single framework. The right standard for the book is not certainty but disciplined ambition: treat the idea as a hypothesis strong enough to organise a serious research and policy programme, but not yet proven enough to sell as settled truth.</w:t>
      </w:r>
      <w:r>
        <w:t xml:space="preserve"> </w:t>
      </w:r>
      <w:hyperlink r:id="rId29">
        <w:r>
          <w:rPr>
            <w:rStyle w:val="Hyperlink"/>
          </w:rPr>
          <w:t xml:space="preserve">[57]</w:t>
        </w:r>
      </w:hyperlink>
    </w:p>
    <w:bookmarkEnd w:id="61"/>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[17]</w:t>
        </w:r>
      </w:hyperlink>
      <w:r>
        <w:t xml:space="preserve"> </w:t>
      </w:r>
      <w:hyperlink r:id="rId21">
        <w:r>
          <w:rPr>
            <w:rStyle w:val="Hyperlink"/>
          </w:rPr>
          <w:t xml:space="preserve">[23]</w:t>
        </w:r>
      </w:hyperlink>
      <w:r>
        <w:t xml:space="preserve"> </w:t>
      </w:r>
      <w:hyperlink r:id="rId21">
        <w:r>
          <w:rPr>
            <w:rStyle w:val="Hyperlink"/>
          </w:rPr>
          <w:t xml:space="preserve">[35]</w:t>
        </w:r>
      </w:hyperlink>
      <w:r>
        <w:t xml:space="preserve"> </w:t>
      </w:r>
      <w:hyperlink r:id="rId21">
        <w:r>
          <w:rPr>
            <w:rStyle w:val="Hyperlink"/>
          </w:rPr>
          <w:t xml:space="preserve">[42]</w:t>
        </w:r>
      </w:hyperlink>
      <w:r>
        <w:t xml:space="preserve"> </w:t>
      </w:r>
      <w:hyperlink r:id="rId21">
        <w:r>
          <w:rPr>
            <w:rStyle w:val="Hyperlink"/>
          </w:rPr>
          <w:t xml:space="preserve">[49]</w:t>
        </w:r>
      </w:hyperlink>
      <w:r>
        <w:t xml:space="preserve"> </w:t>
      </w:r>
      <w:hyperlink r:id="rId21">
        <w:r>
          <w:rPr>
            <w:rStyle w:val="Hyperlink"/>
          </w:rPr>
          <w:t xml:space="preserve">[56]</w:t>
        </w:r>
      </w:hyperlink>
      <w:r>
        <w:t xml:space="preserve"> </w:t>
      </w:r>
      <w:r>
        <w:t xml:space="preserve">https://www.cambridge.org/core/journals/public-health-nutrition/article/measurement-of-dietary-species-richness-reveals-that-a-higher-consumption-of-dietary-fibre-fish-fruits-and-vegetables-is-associated-with-greater-food-biodiversity-in-uk-diets/D6EA950EE2F398C0DE72EAFDF3AE99AC</w:t>
      </w:r>
    </w:p>
    <w:p>
      <w:pPr>
        <w:pStyle w:val="BodyText"/>
      </w:pPr>
      <w:hyperlink r:id="rId21">
        <w:r>
          <w:rPr>
            <w:rStyle w:val="Hyperlink"/>
          </w:rPr>
          <w:t xml:space="preserve">https://www.cambridge.org/core/journals/public-health-nutrition/article/measurement-of-dietary-species-richness-reveals-that-a-higher-consumption-of-dietary-fibre-fish-fruits-and-vegetables-is-associated-with-greater-food-biodiversity-in-uk-diets/D6EA950EE2F398C0DE72EAFDF3AE99AC</w:t>
        </w:r>
      </w:hyperlink>
    </w:p>
    <w:p>
      <w:pPr>
        <w:pStyle w:val="BodyText"/>
      </w:pPr>
      <w:hyperlink r:id="rId22">
        <w:r>
          <w:rPr>
            <w:rStyle w:val="Hyperlink"/>
          </w:rPr>
          <w:t xml:space="preserve">[2]</w:t>
        </w:r>
      </w:hyperlink>
      <w:r>
        <w:t xml:space="preserve"> </w:t>
      </w:r>
      <w:hyperlink r:id="rId22">
        <w:r>
          <w:rPr>
            <w:rStyle w:val="Hyperlink"/>
          </w:rPr>
          <w:t xml:space="preserve">[29]</w:t>
        </w:r>
      </w:hyperlink>
      <w:r>
        <w:t xml:space="preserve"> </w:t>
      </w:r>
      <w:r>
        <w:t xml:space="preserve">https://jamanetwork.com/journals/jamanetworkopen/fullarticle/2809727</w:t>
      </w:r>
    </w:p>
    <w:p>
      <w:pPr>
        <w:pStyle w:val="BodyText"/>
      </w:pPr>
      <w:hyperlink r:id="rId22">
        <w:r>
          <w:rPr>
            <w:rStyle w:val="Hyperlink"/>
          </w:rPr>
          <w:t xml:space="preserve">https://jamanetwork.com/journals/jamanetworkopen/fullarticle/2809727</w:t>
        </w:r>
      </w:hyperlink>
    </w:p>
    <w:p>
      <w:pPr>
        <w:pStyle w:val="BodyText"/>
      </w:pPr>
      <w:hyperlink r:id="rId23">
        <w:r>
          <w:rPr>
            <w:rStyle w:val="Hyperlink"/>
          </w:rPr>
          <w:t xml:space="preserve">[3]</w:t>
        </w:r>
      </w:hyperlink>
      <w:r>
        <w:t xml:space="preserve"> </w:t>
      </w:r>
      <w:hyperlink r:id="rId23">
        <w:r>
          <w:rPr>
            <w:rStyle w:val="Hyperlink"/>
          </w:rPr>
          <w:t xml:space="preserve">[44]</w:t>
        </w:r>
      </w:hyperlink>
      <w:r>
        <w:t xml:space="preserve"> </w:t>
      </w:r>
      <w:r>
        <w:t xml:space="preserve">https://www.who.int/news-room/fact-sheets/detail/depression</w:t>
      </w:r>
    </w:p>
    <w:p>
      <w:pPr>
        <w:pStyle w:val="BodyText"/>
      </w:pPr>
      <w:hyperlink r:id="rId23">
        <w:r>
          <w:rPr>
            <w:rStyle w:val="Hyperlink"/>
          </w:rPr>
          <w:t xml:space="preserve">https://www.who.int/news-room/fact-sheets/detail/depression</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hyperlink r:id="rId24">
        <w:r>
          <w:rPr>
            <w:rStyle w:val="Hyperlink"/>
          </w:rPr>
          <w:t xml:space="preserve">[19]</w:t>
        </w:r>
      </w:hyperlink>
      <w:r>
        <w:t xml:space="preserve"> </w:t>
      </w:r>
      <w:hyperlink r:id="rId24">
        <w:r>
          <w:rPr>
            <w:rStyle w:val="Hyperlink"/>
          </w:rPr>
          <w:t xml:space="preserve">[22]</w:t>
        </w:r>
      </w:hyperlink>
      <w:r>
        <w:t xml:space="preserve"> </w:t>
      </w:r>
      <w:hyperlink r:id="rId24">
        <w:r>
          <w:rPr>
            <w:rStyle w:val="Hyperlink"/>
          </w:rPr>
          <w:t xml:space="preserve">[31]</w:t>
        </w:r>
      </w:hyperlink>
      <w:r>
        <w:t xml:space="preserve"> </w:t>
      </w:r>
      <w:hyperlink r:id="rId24">
        <w:r>
          <w:rPr>
            <w:rStyle w:val="Hyperlink"/>
          </w:rPr>
          <w:t xml:space="preserve">[38]</w:t>
        </w:r>
      </w:hyperlink>
      <w:r>
        <w:t xml:space="preserve"> </w:t>
      </w:r>
      <w:hyperlink r:id="rId24">
        <w:r>
          <w:rPr>
            <w:rStyle w:val="Hyperlink"/>
          </w:rPr>
          <w:t xml:space="preserve">[47]</w:t>
        </w:r>
      </w:hyperlink>
      <w:r>
        <w:t xml:space="preserve"> </w:t>
      </w:r>
      <w:r>
        <w:t xml:space="preserve">https://www.pnas.org/doi/10.1073/pnas.1709194115</w:t>
      </w:r>
    </w:p>
    <w:p>
      <w:pPr>
        <w:pStyle w:val="BodyText"/>
      </w:pPr>
      <w:hyperlink r:id="rId24">
        <w:r>
          <w:rPr>
            <w:rStyle w:val="Hyperlink"/>
          </w:rPr>
          <w:t xml:space="preserve">https://www.pnas.org/doi/10.1073/pnas.1709194115</w:t>
        </w:r>
      </w:hyperlink>
    </w:p>
    <w:p>
      <w:pPr>
        <w:pStyle w:val="BodyText"/>
      </w:pPr>
      <w:hyperlink r:id="rId25">
        <w:r>
          <w:rPr>
            <w:rStyle w:val="Hyperlink"/>
          </w:rPr>
          <w:t xml:space="preserve">[5]</w:t>
        </w:r>
      </w:hyperlink>
      <w:r>
        <w:t xml:space="preserve"> </w:t>
      </w:r>
      <w:hyperlink r:id="rId25">
        <w:r>
          <w:rPr>
            <w:rStyle w:val="Hyperlink"/>
          </w:rPr>
          <w:t xml:space="preserve">[30]</w:t>
        </w:r>
      </w:hyperlink>
      <w:r>
        <w:t xml:space="preserve"> </w:t>
      </w:r>
      <w:hyperlink r:id="rId25">
        <w:r>
          <w:rPr>
            <w:rStyle w:val="Hyperlink"/>
          </w:rPr>
          <w:t xml:space="preserve">[50]</w:t>
        </w:r>
      </w:hyperlink>
      <w:r>
        <w:t xml:space="preserve"> </w:t>
      </w:r>
      <w:r>
        <w:t xml:space="preserve">https://bmcpublichealth.biomedcentral.com/articles/10.1186/s12889-025-23240-y</w:t>
      </w:r>
    </w:p>
    <w:p>
      <w:pPr>
        <w:pStyle w:val="BodyText"/>
      </w:pPr>
      <w:hyperlink r:id="rId25">
        <w:r>
          <w:rPr>
            <w:rStyle w:val="Hyperlink"/>
          </w:rPr>
          <w:t xml:space="preserve">https://bmcpublichealth.biomedcentral.com/articles/10.1186/s12889-025-23240-y</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[10]</w:t>
        </w:r>
      </w:hyperlink>
      <w:r>
        <w:t xml:space="preserve"> </w:t>
      </w:r>
      <w:hyperlink r:id="rId26">
        <w:r>
          <w:rPr>
            <w:rStyle w:val="Hyperlink"/>
          </w:rPr>
          <w:t xml:space="preserve">[12]</w:t>
        </w:r>
      </w:hyperlink>
      <w:r>
        <w:t xml:space="preserve"> </w:t>
      </w:r>
      <w:hyperlink r:id="rId26">
        <w:r>
          <w:rPr>
            <w:rStyle w:val="Hyperlink"/>
          </w:rPr>
          <w:t xml:space="preserve">[28]</w:t>
        </w:r>
      </w:hyperlink>
      <w:r>
        <w:t xml:space="preserve"> </w:t>
      </w:r>
      <w:hyperlink r:id="rId26">
        <w:r>
          <w:rPr>
            <w:rStyle w:val="Hyperlink"/>
          </w:rPr>
          <w:t xml:space="preserve">[36]</w:t>
        </w:r>
      </w:hyperlink>
      <w:r>
        <w:t xml:space="preserve"> </w:t>
      </w:r>
      <w:hyperlink r:id="rId26">
        <w:r>
          <w:rPr>
            <w:rStyle w:val="Hyperlink"/>
          </w:rPr>
          <w:t xml:space="preserve">[39]</w:t>
        </w:r>
      </w:hyperlink>
      <w:r>
        <w:t xml:space="preserve"> </w:t>
      </w:r>
      <w:hyperlink r:id="rId26">
        <w:r>
          <w:rPr>
            <w:rStyle w:val="Hyperlink"/>
          </w:rPr>
          <w:t xml:space="preserve">[52]</w:t>
        </w:r>
      </w:hyperlink>
      <w:r>
        <w:t xml:space="preserve"> </w:t>
      </w:r>
      <w:r>
        <w:t xml:space="preserve">https://link.springer.com/article/10.1186/s12916-017-0791-y</w:t>
      </w:r>
    </w:p>
    <w:p>
      <w:pPr>
        <w:pStyle w:val="BodyText"/>
      </w:pPr>
      <w:hyperlink r:id="rId26">
        <w:r>
          <w:rPr>
            <w:rStyle w:val="Hyperlink"/>
          </w:rPr>
          <w:t xml:space="preserve">https://link.springer.com/article/10.1186/s12916-017-0791-y</w:t>
        </w:r>
      </w:hyperlink>
    </w:p>
    <w:p>
      <w:pPr>
        <w:pStyle w:val="BodyText"/>
      </w:pPr>
      <w:hyperlink r:id="rId29">
        <w:r>
          <w:rPr>
            <w:rStyle w:val="Hyperlink"/>
          </w:rPr>
          <w:t xml:space="preserve">[11]</w:t>
        </w:r>
      </w:hyperlink>
      <w:r>
        <w:t xml:space="preserve"> </w:t>
      </w:r>
      <w:hyperlink r:id="rId29">
        <w:r>
          <w:rPr>
            <w:rStyle w:val="Hyperlink"/>
          </w:rPr>
          <w:t xml:space="preserve">[13]</w:t>
        </w:r>
      </w:hyperlink>
      <w:r>
        <w:t xml:space="preserve"> </w:t>
      </w:r>
      <w:hyperlink r:id="rId29">
        <w:r>
          <w:rPr>
            <w:rStyle w:val="Hyperlink"/>
          </w:rPr>
          <w:t xml:space="preserve">[32]</w:t>
        </w:r>
      </w:hyperlink>
      <w:r>
        <w:t xml:space="preserve"> </w:t>
      </w:r>
      <w:hyperlink r:id="rId29">
        <w:r>
          <w:rPr>
            <w:rStyle w:val="Hyperlink"/>
          </w:rPr>
          <w:t xml:space="preserve">[55]</w:t>
        </w:r>
      </w:hyperlink>
      <w:r>
        <w:t xml:space="preserve"> </w:t>
      </w:r>
      <w:hyperlink r:id="rId29">
        <w:r>
          <w:rPr>
            <w:rStyle w:val="Hyperlink"/>
          </w:rPr>
          <w:t xml:space="preserve">[57]</w:t>
        </w:r>
      </w:hyperlink>
      <w:r>
        <w:t xml:space="preserve"> </w:t>
      </w:r>
      <w:r>
        <w:t xml:space="preserve">https://www.sciencedirect.com/science/article/pii/S2161831325001899</w:t>
      </w:r>
    </w:p>
    <w:p>
      <w:pPr>
        <w:pStyle w:val="BodyText"/>
      </w:pPr>
      <w:hyperlink r:id="rId29">
        <w:r>
          <w:rPr>
            <w:rStyle w:val="Hyperlink"/>
          </w:rPr>
          <w:t xml:space="preserve">https://www.sciencedirect.com/science/article/pii/S2161831325001899</w:t>
        </w:r>
      </w:hyperlink>
    </w:p>
    <w:p>
      <w:pPr>
        <w:pStyle w:val="BodyText"/>
      </w:pPr>
      <w:hyperlink r:id="rId32">
        <w:r>
          <w:rPr>
            <w:rStyle w:val="Hyperlink"/>
          </w:rPr>
          <w:t xml:space="preserve">[14]</w:t>
        </w:r>
      </w:hyperlink>
      <w:r>
        <w:t xml:space="preserve"> </w:t>
      </w:r>
      <w:r>
        <w:t xml:space="preserve">https://www.fao.org/fileadmin/user_upload/wa_workshop/docs/FAO-guidelines-dietary-diversity2011.pdf</w:t>
      </w:r>
    </w:p>
    <w:p>
      <w:pPr>
        <w:pStyle w:val="BodyText"/>
      </w:pPr>
      <w:hyperlink r:id="rId32">
        <w:r>
          <w:rPr>
            <w:rStyle w:val="Hyperlink"/>
          </w:rPr>
          <w:t xml:space="preserve">https://www.fao.org/fileadmin/user_upload/wa_workshop/docs/FAO-guidelines-dietary-diversity2011.pdf</w:t>
        </w:r>
      </w:hyperlink>
    </w:p>
    <w:p>
      <w:pPr>
        <w:pStyle w:val="BodyText"/>
      </w:pPr>
      <w:hyperlink r:id="rId33">
        <w:r>
          <w:rPr>
            <w:rStyle w:val="Hyperlink"/>
          </w:rPr>
          <w:t xml:space="preserve">[15]</w:t>
        </w:r>
      </w:hyperlink>
      <w:r>
        <w:t xml:space="preserve"> </w:t>
      </w:r>
      <w:hyperlink r:id="rId33">
        <w:r>
          <w:rPr>
            <w:rStyle w:val="Hyperlink"/>
          </w:rPr>
          <w:t xml:space="preserve">[34]</w:t>
        </w:r>
      </w:hyperlink>
      <w:r>
        <w:t xml:space="preserve"> </w:t>
      </w:r>
      <w:r>
        <w:t xml:space="preserve">https://www.nature.com/articles/s41398-023-02670-5</w:t>
      </w:r>
    </w:p>
    <w:p>
      <w:pPr>
        <w:pStyle w:val="BodyText"/>
      </w:pPr>
      <w:hyperlink r:id="rId33">
        <w:r>
          <w:rPr>
            <w:rStyle w:val="Hyperlink"/>
          </w:rPr>
          <w:t xml:space="preserve">https://www.nature.com/articles/s41398-023-02670-5</w:t>
        </w:r>
      </w:hyperlink>
    </w:p>
    <w:p>
      <w:pPr>
        <w:pStyle w:val="BodyText"/>
      </w:pPr>
      <w:hyperlink r:id="rId34">
        <w:r>
          <w:rPr>
            <w:rStyle w:val="Hyperlink"/>
          </w:rPr>
          <w:t xml:space="preserve">[16]</w:t>
        </w:r>
      </w:hyperlink>
      <w:r>
        <w:t xml:space="preserve"> </w:t>
      </w:r>
      <w:r>
        <w:t xml:space="preserve">https://pmc.ncbi.nlm.nih.gov/articles/PMC5954204/</w:t>
      </w:r>
    </w:p>
    <w:p>
      <w:pPr>
        <w:pStyle w:val="BodyText"/>
      </w:pPr>
      <w:hyperlink r:id="rId34">
        <w:r>
          <w:rPr>
            <w:rStyle w:val="Hyperlink"/>
          </w:rPr>
          <w:t xml:space="preserve">https://pmc.ncbi.nlm.nih.gov/articles/PMC5954204/</w:t>
        </w:r>
      </w:hyperlink>
    </w:p>
    <w:p>
      <w:pPr>
        <w:pStyle w:val="BodyText"/>
      </w:pPr>
      <w:hyperlink r:id="rId35">
        <w:r>
          <w:rPr>
            <w:rStyle w:val="Hyperlink"/>
          </w:rPr>
          <w:t xml:space="preserve">[18]</w:t>
        </w:r>
      </w:hyperlink>
      <w:r>
        <w:t xml:space="preserve"> </w:t>
      </w:r>
      <w:r>
        <w:t xml:space="preserve">https://www.nature.com/articles/s43016-025-01176-1</w:t>
      </w:r>
    </w:p>
    <w:p>
      <w:pPr>
        <w:pStyle w:val="BodyText"/>
      </w:pPr>
      <w:hyperlink r:id="rId35">
        <w:r>
          <w:rPr>
            <w:rStyle w:val="Hyperlink"/>
          </w:rPr>
          <w:t xml:space="preserve">https://www.nature.com/articles/s43016-025-01176-1</w:t>
        </w:r>
      </w:hyperlink>
    </w:p>
    <w:p>
      <w:pPr>
        <w:pStyle w:val="BodyText"/>
      </w:pPr>
      <w:hyperlink r:id="rId37">
        <w:r>
          <w:rPr>
            <w:rStyle w:val="Hyperlink"/>
          </w:rPr>
          <w:t xml:space="preserve">[20]</w:t>
        </w:r>
      </w:hyperlink>
      <w:r>
        <w:t xml:space="preserve"> </w:t>
      </w:r>
      <w:hyperlink r:id="rId37">
        <w:r>
          <w:rPr>
            <w:rStyle w:val="Hyperlink"/>
          </w:rPr>
          <w:t xml:space="preserve">[21]</w:t>
        </w:r>
      </w:hyperlink>
      <w:r>
        <w:t xml:space="preserve"> </w:t>
      </w:r>
      <w:hyperlink r:id="rId37">
        <w:r>
          <w:rPr>
            <w:rStyle w:val="Hyperlink"/>
          </w:rPr>
          <w:t xml:space="preserve">[27]</w:t>
        </w:r>
      </w:hyperlink>
      <w:r>
        <w:t xml:space="preserve"> </w:t>
      </w:r>
      <w:hyperlink r:id="rId37">
        <w:r>
          <w:rPr>
            <w:rStyle w:val="Hyperlink"/>
          </w:rPr>
          <w:t xml:space="preserve">[37]</w:t>
        </w:r>
      </w:hyperlink>
      <w:r>
        <w:t xml:space="preserve"> </w:t>
      </w:r>
      <w:r>
        <w:t xml:space="preserve">https://publichealth.jmir.org/2024/1/e47428</w:t>
      </w:r>
    </w:p>
    <w:p>
      <w:pPr>
        <w:pStyle w:val="BodyText"/>
      </w:pPr>
      <w:hyperlink r:id="rId37">
        <w:r>
          <w:rPr>
            <w:rStyle w:val="Hyperlink"/>
          </w:rPr>
          <w:t xml:space="preserve">https://publichealth.jmir.org/2024/1/e47428</w:t>
        </w:r>
      </w:hyperlink>
    </w:p>
    <w:p>
      <w:pPr>
        <w:pStyle w:val="BodyText"/>
      </w:pPr>
      <w:hyperlink r:id="rId39">
        <w:r>
          <w:rPr>
            <w:rStyle w:val="Hyperlink"/>
          </w:rPr>
          <w:t xml:space="preserve">[24]</w:t>
        </w:r>
      </w:hyperlink>
      <w:r>
        <w:t xml:space="preserve"> </w:t>
      </w:r>
      <w:r>
        <w:t xml:space="preserve">https://journals.plos.org/plosone/article?id=10.1371%2Fjournal.pone.0148952</w:t>
      </w:r>
    </w:p>
    <w:p>
      <w:pPr>
        <w:pStyle w:val="BodyText"/>
      </w:pPr>
      <w:hyperlink r:id="rId39">
        <w:r>
          <w:rPr>
            <w:rStyle w:val="Hyperlink"/>
          </w:rPr>
          <w:t xml:space="preserve">https://journals.plos.org/plosone/article?id=10.1371%2Fjournal.pone.0148952</w:t>
        </w:r>
      </w:hyperlink>
    </w:p>
    <w:p>
      <w:pPr>
        <w:pStyle w:val="BodyText"/>
      </w:pPr>
      <w:hyperlink r:id="rId40">
        <w:r>
          <w:rPr>
            <w:rStyle w:val="Hyperlink"/>
          </w:rPr>
          <w:t xml:space="preserve">[25]</w:t>
        </w:r>
      </w:hyperlink>
      <w:r>
        <w:t xml:space="preserve"> </w:t>
      </w:r>
      <w:r>
        <w:t xml:space="preserve">https://pmc.ncbi.nlm.nih.gov/articles/PMC4621239/</w:t>
      </w:r>
    </w:p>
    <w:p>
      <w:pPr>
        <w:pStyle w:val="BodyText"/>
      </w:pPr>
      <w:hyperlink r:id="rId40">
        <w:r>
          <w:rPr>
            <w:rStyle w:val="Hyperlink"/>
          </w:rPr>
          <w:t xml:space="preserve">https://pmc.ncbi.nlm.nih.gov/articles/PMC4621239/</w:t>
        </w:r>
      </w:hyperlink>
    </w:p>
    <w:p>
      <w:pPr>
        <w:pStyle w:val="BodyText"/>
      </w:pPr>
      <w:hyperlink r:id="rId41">
        <w:r>
          <w:rPr>
            <w:rStyle w:val="Hyperlink"/>
          </w:rPr>
          <w:t xml:space="preserve">[26]</w:t>
        </w:r>
      </w:hyperlink>
      <w:r>
        <w:t xml:space="preserve"> </w:t>
      </w:r>
      <w:hyperlink r:id="rId41">
        <w:r>
          <w:rPr>
            <w:rStyle w:val="Hyperlink"/>
          </w:rPr>
          <w:t xml:space="preserve">[46]</w:t>
        </w:r>
      </w:hyperlink>
      <w:r>
        <w:t xml:space="preserve"> </w:t>
      </w:r>
      <w:r>
        <w:t xml:space="preserve">https://www.fao.org/biodiversity/overview/en</w:t>
      </w:r>
    </w:p>
    <w:p>
      <w:pPr>
        <w:pStyle w:val="BodyText"/>
      </w:pPr>
      <w:hyperlink r:id="rId41">
        <w:r>
          <w:rPr>
            <w:rStyle w:val="Hyperlink"/>
          </w:rPr>
          <w:t xml:space="preserve">https://www.fao.org/biodiversity/overview/en</w:t>
        </w:r>
      </w:hyperlink>
    </w:p>
    <w:p>
      <w:pPr>
        <w:pStyle w:val="BodyText"/>
      </w:pPr>
      <w:hyperlink r:id="rId46">
        <w:r>
          <w:rPr>
            <w:rStyle w:val="Hyperlink"/>
          </w:rPr>
          <w:t xml:space="preserve">[33]</w:t>
        </w:r>
      </w:hyperlink>
      <w:r>
        <w:t xml:space="preserve"> </w:t>
      </w:r>
      <w:r>
        <w:t xml:space="preserve">https://www.sciencedirect.com/science/article/pii/S0048969725014482</w:t>
      </w:r>
    </w:p>
    <w:p>
      <w:pPr>
        <w:pStyle w:val="BodyText"/>
      </w:pPr>
      <w:hyperlink r:id="rId46">
        <w:r>
          <w:rPr>
            <w:rStyle w:val="Hyperlink"/>
          </w:rPr>
          <w:t xml:space="preserve">https://www.sciencedirect.com/science/article/pii/S0048969725014482</w:t>
        </w:r>
      </w:hyperlink>
    </w:p>
    <w:p>
      <w:pPr>
        <w:pStyle w:val="BodyText"/>
      </w:pPr>
      <w:hyperlink r:id="rId50">
        <w:r>
          <w:rPr>
            <w:rStyle w:val="Hyperlink"/>
          </w:rPr>
          <w:t xml:space="preserve">[40]</w:t>
        </w:r>
      </w:hyperlink>
      <w:r>
        <w:t xml:space="preserve"> </w:t>
      </w:r>
      <w:r>
        <w:t xml:space="preserve">https://journals.asm.org/doi/10.1128/msystems.00031-18</w:t>
      </w:r>
    </w:p>
    <w:p>
      <w:pPr>
        <w:pStyle w:val="BodyText"/>
      </w:pPr>
      <w:hyperlink r:id="rId50">
        <w:r>
          <w:rPr>
            <w:rStyle w:val="Hyperlink"/>
          </w:rPr>
          <w:t xml:space="preserve">https://journals.asm.org/doi/10.1128/msystems.00031-18</w:t>
        </w:r>
      </w:hyperlink>
    </w:p>
    <w:p>
      <w:pPr>
        <w:pStyle w:val="BodyText"/>
      </w:pPr>
      <w:hyperlink r:id="rId51">
        <w:r>
          <w:rPr>
            <w:rStyle w:val="Hyperlink"/>
          </w:rPr>
          <w:t xml:space="preserve">[41]</w:t>
        </w:r>
      </w:hyperlink>
      <w:r>
        <w:t xml:space="preserve"> </w:t>
      </w:r>
      <w:hyperlink r:id="rId51">
        <w:r>
          <w:rPr>
            <w:rStyle w:val="Hyperlink"/>
          </w:rPr>
          <w:t xml:space="preserve">[45]</w:t>
        </w:r>
      </w:hyperlink>
      <w:r>
        <w:t xml:space="preserve"> </w:t>
      </w:r>
      <w:r>
        <w:t xml:space="preserve">https://www.who.int/publications-detail-redirect/guidance-mainstreaming-biodiversity-for-nutrition-and-health</w:t>
      </w:r>
    </w:p>
    <w:p>
      <w:pPr>
        <w:pStyle w:val="BodyText"/>
      </w:pPr>
      <w:hyperlink r:id="rId51">
        <w:r>
          <w:rPr>
            <w:rStyle w:val="Hyperlink"/>
          </w:rPr>
          <w:t xml:space="preserve">https://www.who.int/publications-detail-redirect/guidance-mainstreaming-biodiversity-for-nutrition-and-health</w:t>
        </w:r>
      </w:hyperlink>
    </w:p>
    <w:p>
      <w:pPr>
        <w:pStyle w:val="BodyText"/>
      </w:pPr>
      <w:hyperlink r:id="rId52">
        <w:r>
          <w:rPr>
            <w:rStyle w:val="Hyperlink"/>
          </w:rPr>
          <w:t xml:space="preserve">[43]</w:t>
        </w:r>
      </w:hyperlink>
      <w:r>
        <w:t xml:space="preserve"> </w:t>
      </w:r>
      <w:r>
        <w:t xml:space="preserve">https://www.fao.org/4/i3004e/i3004e00.htm</w:t>
      </w:r>
    </w:p>
    <w:p>
      <w:pPr>
        <w:pStyle w:val="BodyText"/>
      </w:pPr>
      <w:hyperlink r:id="rId52">
        <w:r>
          <w:rPr>
            <w:rStyle w:val="Hyperlink"/>
          </w:rPr>
          <w:t xml:space="preserve">https://www.fao.org/4/i3004e/i3004e00.htm</w:t>
        </w:r>
      </w:hyperlink>
    </w:p>
    <w:p>
      <w:pPr>
        <w:pStyle w:val="BodyText"/>
      </w:pPr>
      <w:hyperlink r:id="rId56">
        <w:r>
          <w:rPr>
            <w:rStyle w:val="Hyperlink"/>
          </w:rPr>
          <w:t xml:space="preserve">[48]</w:t>
        </w:r>
      </w:hyperlink>
      <w:r>
        <w:t xml:space="preserve"> </w:t>
      </w:r>
      <w:r>
        <w:t xml:space="preserve">https://pmc.ncbi.nlm.nih.gov/articles/PMC8559947/</w:t>
      </w:r>
    </w:p>
    <w:p>
      <w:pPr>
        <w:pStyle w:val="BodyText"/>
      </w:pPr>
      <w:hyperlink r:id="rId56">
        <w:r>
          <w:rPr>
            <w:rStyle w:val="Hyperlink"/>
          </w:rPr>
          <w:t xml:space="preserve">https://pmc.ncbi.nlm.nih.gov/articles/PMC8559947/</w:t>
        </w:r>
      </w:hyperlink>
    </w:p>
    <w:p>
      <w:pPr>
        <w:pStyle w:val="BodyText"/>
      </w:pPr>
      <w:hyperlink r:id="rId57">
        <w:r>
          <w:rPr>
            <w:rStyle w:val="Hyperlink"/>
          </w:rPr>
          <w:t xml:space="preserve">[51]</w:t>
        </w:r>
      </w:hyperlink>
      <w:r>
        <w:t xml:space="preserve"> </w:t>
      </w:r>
      <w:r>
        <w:t xml:space="preserve">https://www.cambridge.org/core/journals/public-health-nutrition/article/dietary-diversity-and-depression-crosssectional-and-longitudinal-analyses-in-spanish-adult-population-with-metabolic-syndrome-findings-from-predimedplus-trial/452034A740BFE099D1D4382B16F20DF1</w:t>
      </w:r>
    </w:p>
    <w:p>
      <w:pPr>
        <w:pStyle w:val="BodyText"/>
      </w:pPr>
      <w:hyperlink r:id="rId57">
        <w:r>
          <w:rPr>
            <w:rStyle w:val="Hyperlink"/>
          </w:rPr>
          <w:t xml:space="preserve">https://www.cambridge.org/core/journals/public-health-nutrition/article/dietary-diversity-and-depression-crosssectional-and-longitudinal-analyses-in-spanish-adult-population-with-metabolic-syndrome-findings-from-predimedplus-trial/452034A740BFE099D1D4382B16F20DF1</w:t>
        </w:r>
      </w:hyperlink>
    </w:p>
    <w:p>
      <w:pPr>
        <w:pStyle w:val="BodyText"/>
      </w:pPr>
      <w:hyperlink r:id="rId58">
        <w:r>
          <w:rPr>
            <w:rStyle w:val="Hyperlink"/>
          </w:rPr>
          <w:t xml:space="preserve">[53]</w:t>
        </w:r>
      </w:hyperlink>
      <w:r>
        <w:t xml:space="preserve"> </w:t>
      </w:r>
      <w:r>
        <w:t xml:space="preserve">https://pubmed.ncbi.nlm.nih.gov/37640705/</w:t>
      </w:r>
    </w:p>
    <w:p>
      <w:pPr>
        <w:pStyle w:val="BodyText"/>
      </w:pPr>
      <w:hyperlink r:id="rId58">
        <w:r>
          <w:rPr>
            <w:rStyle w:val="Hyperlink"/>
          </w:rPr>
          <w:t xml:space="preserve">https://pubmed.ncbi.nlm.nih.gov/37640705/</w:t>
        </w:r>
      </w:hyperlink>
    </w:p>
    <w:p>
      <w:pPr>
        <w:pStyle w:val="BodyText"/>
      </w:pPr>
      <w:hyperlink r:id="rId59">
        <w:r>
          <w:rPr>
            <w:rStyle w:val="Hyperlink"/>
          </w:rPr>
          <w:t xml:space="preserve">[54]</w:t>
        </w:r>
      </w:hyperlink>
      <w:r>
        <w:t xml:space="preserve"> </w:t>
      </w:r>
      <w:r>
        <w:t xml:space="preserve">https://www.sciencedirect.com/science/article/pii/S0165032725005117</w:t>
      </w:r>
    </w:p>
    <w:p>
      <w:pPr>
        <w:pStyle w:val="BodyText"/>
      </w:pPr>
      <w:hyperlink r:id="rId59">
        <w:r>
          <w:rPr>
            <w:rStyle w:val="Hyperlink"/>
          </w:rPr>
          <w:t xml:space="preserve">https://www.sciencedirect.com/science/article/pii/S0165032725005117</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bmcpublichealth.biomedcentral.com/articles/10.1186/s12889-025-23240-y" TargetMode="External" /><Relationship Type="http://schemas.openxmlformats.org/officeDocument/2006/relationships/hyperlink" Id="rId22" Target="https://jamanetwork.com/journals/jamanetworkopen/fullarticle/2809727" TargetMode="External" /><Relationship Type="http://schemas.openxmlformats.org/officeDocument/2006/relationships/hyperlink" Id="rId50" Target="https://journals.asm.org/doi/10.1128/msystems.00031-18" TargetMode="External" /><Relationship Type="http://schemas.openxmlformats.org/officeDocument/2006/relationships/hyperlink" Id="rId39" Target="https://journals.plos.org/plosone/article?id=10.1371%2Fjournal.pone.0148952" TargetMode="External" /><Relationship Type="http://schemas.openxmlformats.org/officeDocument/2006/relationships/hyperlink" Id="rId26" Target="https://link.springer.com/article/10.1186/s12916-017-0791-y" TargetMode="External" /><Relationship Type="http://schemas.openxmlformats.org/officeDocument/2006/relationships/hyperlink" Id="rId40" Target="https://pmc.ncbi.nlm.nih.gov/articles/PMC4621239/" TargetMode="External" /><Relationship Type="http://schemas.openxmlformats.org/officeDocument/2006/relationships/hyperlink" Id="rId34" Target="https://pmc.ncbi.nlm.nih.gov/articles/PMC5954204/" TargetMode="External" /><Relationship Type="http://schemas.openxmlformats.org/officeDocument/2006/relationships/hyperlink" Id="rId56" Target="https://pmc.ncbi.nlm.nih.gov/articles/PMC8559947/" TargetMode="External" /><Relationship Type="http://schemas.openxmlformats.org/officeDocument/2006/relationships/hyperlink" Id="rId37" Target="https://publichealth.jmir.org/2024/1/e47428" TargetMode="External" /><Relationship Type="http://schemas.openxmlformats.org/officeDocument/2006/relationships/hyperlink" Id="rId58" Target="https://pubmed.ncbi.nlm.nih.gov/37640705/" TargetMode="External" /><Relationship Type="http://schemas.openxmlformats.org/officeDocument/2006/relationships/hyperlink" Id="rId57" Target="https://www.cambridge.org/core/journals/public-health-nutrition/article/dietary-diversity-and-depression-crosssectional-and-longitudinal-analyses-in-spanish-adult-population-with-metabolic-syndrome-findings-from-predimedplus-trial/452034A740BFE099D1D4382B16F20DF1" TargetMode="External" /><Relationship Type="http://schemas.openxmlformats.org/officeDocument/2006/relationships/hyperlink" Id="rId21" Target="https://www.cambridge.org/core/journals/public-health-nutrition/article/measurement-of-dietary-species-richness-reveals-that-a-higher-consumption-of-dietary-fibre-fish-fruits-and-vegetables-is-associated-with-greater-food-biodiversity-in-uk-diets/D6EA950EE2F398C0DE72EAFDF3AE99AC" TargetMode="External" /><Relationship Type="http://schemas.openxmlformats.org/officeDocument/2006/relationships/hyperlink" Id="rId52" Target="https://www.fao.org/4/i3004e/i3004e00.htm" TargetMode="External" /><Relationship Type="http://schemas.openxmlformats.org/officeDocument/2006/relationships/hyperlink" Id="rId41" Target="https://www.fao.org/biodiversity/overview/en" TargetMode="External" /><Relationship Type="http://schemas.openxmlformats.org/officeDocument/2006/relationships/hyperlink" Id="rId32" Target="https://www.fao.org/fileadmin/user_upload/wa_workshop/docs/FAO-guidelines-dietary-diversity2011.pdf" TargetMode="External" /><Relationship Type="http://schemas.openxmlformats.org/officeDocument/2006/relationships/hyperlink" Id="rId33" Target="https://www.nature.com/articles/s41398-023-02670-5" TargetMode="External" /><Relationship Type="http://schemas.openxmlformats.org/officeDocument/2006/relationships/hyperlink" Id="rId35" Target="https://www.nature.com/articles/s43016-025-01176-1" TargetMode="External" /><Relationship Type="http://schemas.openxmlformats.org/officeDocument/2006/relationships/hyperlink" Id="rId24" Target="https://www.pnas.org/doi/10.1073/pnas.1709194115" TargetMode="External" /><Relationship Type="http://schemas.openxmlformats.org/officeDocument/2006/relationships/hyperlink" Id="rId46" Target="https://www.sciencedirect.com/science/article/pii/S0048969725014482" TargetMode="External" /><Relationship Type="http://schemas.openxmlformats.org/officeDocument/2006/relationships/hyperlink" Id="rId59" Target="https://www.sciencedirect.com/science/article/pii/S0165032725005117" TargetMode="External" /><Relationship Type="http://schemas.openxmlformats.org/officeDocument/2006/relationships/hyperlink" Id="rId29" Target="https://www.sciencedirect.com/science/article/pii/S2161831325001899" TargetMode="External" /><Relationship Type="http://schemas.openxmlformats.org/officeDocument/2006/relationships/hyperlink" Id="rId23" Target="https://www.who.int/news-room/fact-sheets/detail/depression" TargetMode="External" /><Relationship Type="http://schemas.openxmlformats.org/officeDocument/2006/relationships/hyperlink" Id="rId51" Target="https://www.who.int/publications-detail-redirect/guidance-mainstreaming-biodiversity-for-nutrition-and-health" TargetMode="External" /></Relationships>
</file>

<file path=word/_rels/footnotes.xml.rels><?xml version="1.0" encoding="UTF-8"?><Relationships xmlns="http://schemas.openxmlformats.org/package/2006/relationships"><Relationship Type="http://schemas.openxmlformats.org/officeDocument/2006/relationships/hyperlink" Id="rId25" Target="https://bmcpublichealth.biomedcentral.com/articles/10.1186/s12889-025-23240-y" TargetMode="External" /><Relationship Type="http://schemas.openxmlformats.org/officeDocument/2006/relationships/hyperlink" Id="rId22" Target="https://jamanetwork.com/journals/jamanetworkopen/fullarticle/2809727" TargetMode="External" /><Relationship Type="http://schemas.openxmlformats.org/officeDocument/2006/relationships/hyperlink" Id="rId50" Target="https://journals.asm.org/doi/10.1128/msystems.00031-18" TargetMode="External" /><Relationship Type="http://schemas.openxmlformats.org/officeDocument/2006/relationships/hyperlink" Id="rId39" Target="https://journals.plos.org/plosone/article?id=10.1371%2Fjournal.pone.0148952" TargetMode="External" /><Relationship Type="http://schemas.openxmlformats.org/officeDocument/2006/relationships/hyperlink" Id="rId26" Target="https://link.springer.com/article/10.1186/s12916-017-0791-y" TargetMode="External" /><Relationship Type="http://schemas.openxmlformats.org/officeDocument/2006/relationships/hyperlink" Id="rId40" Target="https://pmc.ncbi.nlm.nih.gov/articles/PMC4621239/" TargetMode="External" /><Relationship Type="http://schemas.openxmlformats.org/officeDocument/2006/relationships/hyperlink" Id="rId34" Target="https://pmc.ncbi.nlm.nih.gov/articles/PMC5954204/" TargetMode="External" /><Relationship Type="http://schemas.openxmlformats.org/officeDocument/2006/relationships/hyperlink" Id="rId56" Target="https://pmc.ncbi.nlm.nih.gov/articles/PMC8559947/" TargetMode="External" /><Relationship Type="http://schemas.openxmlformats.org/officeDocument/2006/relationships/hyperlink" Id="rId37" Target="https://publichealth.jmir.org/2024/1/e47428" TargetMode="External" /><Relationship Type="http://schemas.openxmlformats.org/officeDocument/2006/relationships/hyperlink" Id="rId58" Target="https://pubmed.ncbi.nlm.nih.gov/37640705/" TargetMode="External" /><Relationship Type="http://schemas.openxmlformats.org/officeDocument/2006/relationships/hyperlink" Id="rId57" Target="https://www.cambridge.org/core/journals/public-health-nutrition/article/dietary-diversity-and-depression-crosssectional-and-longitudinal-analyses-in-spanish-adult-population-with-metabolic-syndrome-findings-from-predimedplus-trial/452034A740BFE099D1D4382B16F20DF1" TargetMode="External" /><Relationship Type="http://schemas.openxmlformats.org/officeDocument/2006/relationships/hyperlink" Id="rId21" Target="https://www.cambridge.org/core/journals/public-health-nutrition/article/measurement-of-dietary-species-richness-reveals-that-a-higher-consumption-of-dietary-fibre-fish-fruits-and-vegetables-is-associated-with-greater-food-biodiversity-in-uk-diets/D6EA950EE2F398C0DE72EAFDF3AE99AC" TargetMode="External" /><Relationship Type="http://schemas.openxmlformats.org/officeDocument/2006/relationships/hyperlink" Id="rId52" Target="https://www.fao.org/4/i3004e/i3004e00.htm" TargetMode="External" /><Relationship Type="http://schemas.openxmlformats.org/officeDocument/2006/relationships/hyperlink" Id="rId41" Target="https://www.fao.org/biodiversity/overview/en" TargetMode="External" /><Relationship Type="http://schemas.openxmlformats.org/officeDocument/2006/relationships/hyperlink" Id="rId32" Target="https://www.fao.org/fileadmin/user_upload/wa_workshop/docs/FAO-guidelines-dietary-diversity2011.pdf" TargetMode="External" /><Relationship Type="http://schemas.openxmlformats.org/officeDocument/2006/relationships/hyperlink" Id="rId33" Target="https://www.nature.com/articles/s41398-023-02670-5" TargetMode="External" /><Relationship Type="http://schemas.openxmlformats.org/officeDocument/2006/relationships/hyperlink" Id="rId35" Target="https://www.nature.com/articles/s43016-025-01176-1" TargetMode="External" /><Relationship Type="http://schemas.openxmlformats.org/officeDocument/2006/relationships/hyperlink" Id="rId24" Target="https://www.pnas.org/doi/10.1073/pnas.1709194115" TargetMode="External" /><Relationship Type="http://schemas.openxmlformats.org/officeDocument/2006/relationships/hyperlink" Id="rId46" Target="https://www.sciencedirect.com/science/article/pii/S0048969725014482" TargetMode="External" /><Relationship Type="http://schemas.openxmlformats.org/officeDocument/2006/relationships/hyperlink" Id="rId59" Target="https://www.sciencedirect.com/science/article/pii/S0165032725005117" TargetMode="External" /><Relationship Type="http://schemas.openxmlformats.org/officeDocument/2006/relationships/hyperlink" Id="rId29" Target="https://www.sciencedirect.com/science/article/pii/S2161831325001899" TargetMode="External" /><Relationship Type="http://schemas.openxmlformats.org/officeDocument/2006/relationships/hyperlink" Id="rId23" Target="https://www.who.int/news-room/fact-sheets/detail/depression" TargetMode="External" /><Relationship Type="http://schemas.openxmlformats.org/officeDocument/2006/relationships/hyperlink" Id="rId51" Target="https://www.who.int/publications-detail-redirect/guidance-mainstreaming-biodiversity-for-nutrition-and-heal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2026-04-25T20:14:55Z</dcterms:created>
  <dcterms:modified xsi:type="dcterms:W3CDTF">2026-04-25T20:14:55Z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