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c5dde8201a860abdda3ccdcb143f6d81583e5d5"/>
    <w:p>
      <w:pPr>
        <w:pStyle w:val="Heading1"/>
      </w:pPr>
      <w:r>
        <w:t xml:space="preserve">Writing an English-Language Book on Food and Depression</w:t>
      </w:r>
    </w:p>
    <w:bookmarkStart w:id="26" w:name="executive-summary"/>
    <w:p>
      <w:pPr>
        <w:pStyle w:val="Heading2"/>
      </w:pPr>
      <w:r>
        <w:t xml:space="preserve">Executive summary</w:t>
      </w:r>
    </w:p>
    <w:p>
      <w:pPr>
        <w:pStyle w:val="FirstParagraph"/>
      </w:pPr>
      <w:r>
        <w:t xml:space="preserve">The current evidence supports a book thesis that is strong, useful, and defensible if it is framed carefully:</w:t>
      </w:r>
      <w:r>
        <w:t xml:space="preserve"> </w:t>
      </w:r>
      <w:r>
        <w:rPr>
          <w:b/>
          <w:bCs/>
        </w:rPr>
        <w:t xml:space="preserve">diet is neither a fringe topic nor a standalone cure for depression; it is a plausible causal risk factor, a meaningful adjunctive treatment target, and a credible public-health prevention lever</w:t>
      </w:r>
      <w:r>
        <w:t xml:space="preserve">. Global burden remains high: the World Health Organization</w:t>
      </w:r>
      <w:hyperlink r:id="rId21">
        <w:r>
          <w:rPr>
            <w:rStyle w:val="Hyperlink"/>
          </w:rPr>
          <w:t xml:space="preserve">[1]</w:t>
        </w:r>
      </w:hyperlink>
      <w:r>
        <w:t xml:space="preserve"> </w:t>
      </w:r>
      <w:r>
        <w:t xml:space="preserve">estimates that depression affects about 5% of adults worldwide and is more common in women. Across observational research, the most consistent protective signals come from healthier dietary patterns, especially Mediterranean-style and lower-inflammatory diets; across intervention research, the most convincing benefits come from</w:t>
      </w:r>
      <w:r>
        <w:t xml:space="preserve"> </w:t>
      </w:r>
      <w:r>
        <w:rPr>
          <w:b/>
          <w:bCs/>
        </w:rPr>
        <w:t xml:space="preserve">whole-diet improvement</w:t>
      </w:r>
      <w:r>
        <w:t xml:space="preserve">, not from single “miracle” foods.</w:t>
      </w:r>
      <w:r>
        <w:t xml:space="preserve"> </w:t>
      </w:r>
      <w:hyperlink r:id="rId22">
        <w:r>
          <w:rPr>
            <w:rStyle w:val="Hyperlink"/>
          </w:rPr>
          <w:t xml:space="preserve">[2]</w:t>
        </w:r>
      </w:hyperlink>
    </w:p>
    <w:p>
      <w:pPr>
        <w:pStyle w:val="BodyText"/>
      </w:pPr>
      <w:r>
        <w:t xml:space="preserve">For treatment, the evidence is encouraging but uneven. Small-to-moderate diet trials such as</w:t>
      </w:r>
      <w:r>
        <w:t xml:space="preserve"> </w:t>
      </w:r>
      <w:r>
        <w:rPr>
          <w:b/>
          <w:bCs/>
        </w:rPr>
        <w:t xml:space="preserve">SMILES</w:t>
      </w:r>
      <w:r>
        <w:t xml:space="preserve">,</w:t>
      </w:r>
      <w:r>
        <w:t xml:space="preserve"> </w:t>
      </w:r>
      <w:r>
        <w:rPr>
          <w:b/>
          <w:bCs/>
        </w:rPr>
        <w:t xml:space="preserve">HELFIMED</w:t>
      </w:r>
      <w:r>
        <w:t xml:space="preserve">, and</w:t>
      </w:r>
      <w:r>
        <w:t xml:space="preserve"> </w:t>
      </w:r>
      <w:r>
        <w:rPr>
          <w:b/>
          <w:bCs/>
        </w:rPr>
        <w:t xml:space="preserve">AMMEND</w:t>
      </w:r>
      <w:r>
        <w:t xml:space="preserve"> </w:t>
      </w:r>
      <w:r>
        <w:t xml:space="preserve">support Mediterranean-style dietary improvement as an adjunctive strategy for depressive symptoms; secondary analyses from</w:t>
      </w:r>
      <w:r>
        <w:t xml:space="preserve"> </w:t>
      </w:r>
      <w:r>
        <w:rPr>
          <w:b/>
          <w:bCs/>
        </w:rPr>
        <w:t xml:space="preserve">PREDIDEP</w:t>
      </w:r>
      <w:r>
        <w:t xml:space="preserve"> </w:t>
      </w:r>
      <w:r>
        <w:t xml:space="preserve">suggest benefit for subsyndromal symptoms and quality of life in people with prior depression. By contrast, the large</w:t>
      </w:r>
      <w:r>
        <w:t xml:space="preserve"> </w:t>
      </w:r>
      <w:r>
        <w:rPr>
          <w:b/>
          <w:bCs/>
        </w:rPr>
        <w:t xml:space="preserve">MooDFOOD</w:t>
      </w:r>
      <w:r>
        <w:t xml:space="preserve"> </w:t>
      </w:r>
      <w:r>
        <w:t xml:space="preserve">prevention trial did</w:t>
      </w:r>
      <w:r>
        <w:t xml:space="preserve"> </w:t>
      </w:r>
      <w:r>
        <w:rPr>
          <w:b/>
          <w:bCs/>
        </w:rPr>
        <w:t xml:space="preserve">not</w:t>
      </w:r>
      <w:r>
        <w:t xml:space="preserve"> </w:t>
      </w:r>
      <w:r>
        <w:t xml:space="preserve">show prevention of major depressive disorder with a multinutrient supplement or food-related behavioural activation, and long-term prevention effects of vitamin D and omega-3 in older adults remain weak or null in population-level trials.</w:t>
      </w:r>
      <w:r>
        <w:t xml:space="preserve"> </w:t>
      </w:r>
      <w:hyperlink r:id="rId23">
        <w:r>
          <w:rPr>
            <w:rStyle w:val="Hyperlink"/>
          </w:rPr>
          <w:t xml:space="preserve">[3]</w:t>
        </w:r>
      </w:hyperlink>
    </w:p>
    <w:p>
      <w:pPr>
        <w:pStyle w:val="BodyText"/>
      </w:pPr>
      <w:r>
        <w:t xml:space="preserve">For a book, the implication is straightforward: lead with</w:t>
      </w:r>
      <w:r>
        <w:t xml:space="preserve"> </w:t>
      </w:r>
      <w:r>
        <w:rPr>
          <w:b/>
          <w:bCs/>
        </w:rPr>
        <w:t xml:space="preserve">dietary patterns, mechanisms, and clinical realism</w:t>
      </w:r>
      <w:r>
        <w:t xml:space="preserve">; treat supplements as</w:t>
      </w:r>
      <w:r>
        <w:t xml:space="preserve"> </w:t>
      </w:r>
      <w:r>
        <w:rPr>
          <w:b/>
          <w:bCs/>
        </w:rPr>
        <w:t xml:space="preserve">secondary, conditional tools</w:t>
      </w:r>
      <w:r>
        <w:t xml:space="preserve">; spend real pages on uncertainty, socioeconomic constraints, food access, adherence, and the limits of causality claims. That framing is also consistent with recent nutraceutical guidance from the Canadian Network for Mood and Anxiety Treatments</w:t>
      </w:r>
      <w:hyperlink r:id="rId24">
        <w:r>
          <w:rPr>
            <w:rStyle w:val="Hyperlink"/>
          </w:rPr>
          <w:t xml:space="preserve">[4]</w:t>
        </w:r>
      </w:hyperlink>
      <w:r>
        <w:t xml:space="preserve"> </w:t>
      </w:r>
      <w:r>
        <w:t xml:space="preserve">and the World Federation of Societies of Biological Psychiatry</w:t>
      </w:r>
      <w:hyperlink r:id="rId23">
        <w:r>
          <w:rPr>
            <w:rStyle w:val="Hyperlink"/>
          </w:rPr>
          <w:t xml:space="preserve">[5]</w:t>
        </w:r>
      </w:hyperlink>
      <w:r>
        <w:t xml:space="preserve">, which recommend omega-3 adjunctively for unipolar depression and are more cautious or provisional about probiotics, methylfolate, zinc, and vitamin D.</w:t>
      </w:r>
      <w:r>
        <w:t xml:space="preserve"> </w:t>
      </w:r>
      <w:hyperlink r:id="rId25">
        <w:r>
          <w:rPr>
            <w:rStyle w:val="Hyperlink"/>
          </w:rPr>
          <w:t xml:space="preserve">[6]</w:t>
        </w:r>
      </w:hyperlink>
    </w:p>
    <w:bookmarkEnd w:id="26"/>
    <w:bookmarkStart w:id="28" w:name="scope-assumptions-and-review-method"/>
    <w:p>
      <w:pPr>
        <w:pStyle w:val="Heading2"/>
      </w:pPr>
      <w:r>
        <w:t xml:space="preserve">Scope, assumptions, and review method</w:t>
      </w:r>
    </w:p>
    <w:p>
      <w:pPr>
        <w:pStyle w:val="FirstParagraph"/>
      </w:pPr>
      <w:r>
        <w:t xml:space="preserve">This report is best read as a</w:t>
      </w:r>
      <w:r>
        <w:t xml:space="preserve"> </w:t>
      </w:r>
      <w:r>
        <w:rPr>
          <w:b/>
          <w:bCs/>
        </w:rPr>
        <w:t xml:space="preserve">structured evidence map for book development</w:t>
      </w:r>
      <w:r>
        <w:t xml:space="preserve">, not as a PRISMA-registered systematic review. Your existing thesis was</w:t>
      </w:r>
      <w:r>
        <w:t xml:space="preserve"> </w:t>
      </w:r>
      <w:r>
        <w:rPr>
          <w:b/>
          <w:bCs/>
        </w:rPr>
        <w:t xml:space="preserve">not available in the conversation</w:t>
      </w:r>
      <w:r>
        <w:t xml:space="preserve">, so I used it only as a scope cue and did</w:t>
      </w:r>
      <w:r>
        <w:t xml:space="preserve"> </w:t>
      </w:r>
      <w:r>
        <w:rPr>
          <w:b/>
          <w:bCs/>
        </w:rPr>
        <w:t xml:space="preserve">not</w:t>
      </w:r>
      <w:r>
        <w:t xml:space="preserve"> </w:t>
      </w:r>
      <w:r>
        <w:t xml:space="preserve">assume any of its contents. Unspecified items are treated as assumptions:</w:t>
      </w:r>
      <w:r>
        <w:t xml:space="preserve"> </w:t>
      </w:r>
      <w:r>
        <w:rPr>
          <w:b/>
          <w:bCs/>
        </w:rPr>
        <w:t xml:space="preserve">target audience</w:t>
      </w:r>
      <w:r>
        <w:t xml:space="preserve"> </w:t>
      </w:r>
      <w:r>
        <w:t xml:space="preserve">= educated general readership with some clinician crossover;</w:t>
      </w:r>
      <w:r>
        <w:t xml:space="preserve"> </w:t>
      </w:r>
      <w:r>
        <w:rPr>
          <w:b/>
          <w:bCs/>
        </w:rPr>
        <w:t xml:space="preserve">book length</w:t>
      </w:r>
      <w:r>
        <w:t xml:space="preserve"> </w:t>
      </w:r>
      <w:r>
        <w:t xml:space="preserve">= roughly 70,000–85,000 words;</w:t>
      </w:r>
      <w:r>
        <w:t xml:space="preserve"> </w:t>
      </w:r>
      <w:r>
        <w:rPr>
          <w:b/>
          <w:bCs/>
        </w:rPr>
        <w:t xml:space="preserve">tone</w:t>
      </w:r>
      <w:r>
        <w:t xml:space="preserve"> </w:t>
      </w:r>
      <w:r>
        <w:t xml:space="preserve">= rigorous trade non-fiction rather than a self-help manual or clinical textbook.</w:t>
      </w:r>
    </w:p>
    <w:p>
      <w:pPr>
        <w:pStyle w:val="BodyText"/>
      </w:pPr>
      <w:r>
        <w:t xml:space="preserve">A defensible literature search for the manuscript should cover</w:t>
      </w:r>
      <w:r>
        <w:t xml:space="preserve"> </w:t>
      </w:r>
      <w:r>
        <w:rPr>
          <w:b/>
          <w:bCs/>
        </w:rPr>
        <w:t xml:space="preserve">MEDLINE/PubMed, Embase, PsycINFO, Cochrane CENTRAL, Web of Science, and Scopus</w:t>
      </w:r>
      <w:r>
        <w:t xml:space="preserve">, from database inception to</w:t>
      </w:r>
      <w:r>
        <w:t xml:space="preserve"> </w:t>
      </w:r>
      <w:r>
        <w:rPr>
          <w:b/>
          <w:bCs/>
        </w:rPr>
        <w:t xml:space="preserve">25 April 2026</w:t>
      </w:r>
      <w:r>
        <w:t xml:space="preserve">, plus trial registries and major guideline sources. That database architecture matches the core approach used in leading reviews in this area, including the major observational synthesis, the 2019 RCT meta-analysis, the Mediterranean-diet RCT meta-analysis, and recent vitamin D meta-analyses. English-language human studies should be prioritised; mechanistic reviews can be used to interpret biology, but treatment claims should rest mainly on primary RCTs and meta-analyses.</w:t>
      </w:r>
      <w:r>
        <w:t xml:space="preserve"> </w:t>
      </w:r>
      <w:hyperlink r:id="rId27">
        <w:r>
          <w:rPr>
            <w:rStyle w:val="Hyperlink"/>
          </w:rPr>
          <w:t xml:space="preserve">[7]</w:t>
        </w:r>
      </w:hyperlink>
    </w:p>
    <w:p>
      <w:pPr>
        <w:pStyle w:val="BodyText"/>
      </w:pPr>
      <w:r>
        <w:t xml:space="preserve">A practical search architecture for the book is:</w:t>
      </w:r>
    </w:p>
    <w:p>
      <w:pPr>
        <w:pStyle w:val="SourceCode"/>
      </w:pPr>
      <w:r>
        <w:rPr>
          <w:rStyle w:val="VerbatimChar"/>
        </w:rPr>
        <w:t xml:space="preserve">(depress* OR "major depressive disorder" OR MDD OR mood)</w:t>
      </w:r>
      <w:r>
        <w:br/>
      </w:r>
      <w:r>
        <w:rPr>
          <w:rStyle w:val="VerbatimChar"/>
        </w:rPr>
        <w:t xml:space="preserve">AND</w:t>
      </w:r>
      <w:r>
        <w:br/>
      </w:r>
      <w:r>
        <w:rPr>
          <w:rStyle w:val="VerbatimChar"/>
        </w:rPr>
        <w:t xml:space="preserve">(diet* OR nutrition OR "diet quality" OR "Mediterranean diet" OR omega-3 OR folate OR B12 OR "vitamin D" OR probiotic* OR psychobiotic* OR sugar OR "ultra-processed food*" OR NOVA)</w:t>
      </w:r>
      <w:r>
        <w:br/>
      </w:r>
      <w:r>
        <w:rPr>
          <w:rStyle w:val="VerbatimChar"/>
        </w:rPr>
        <w:t xml:space="preserve">AND</w:t>
      </w:r>
      <w:r>
        <w:br/>
      </w:r>
      <w:r>
        <w:rPr>
          <w:rStyle w:val="VerbatimChar"/>
        </w:rPr>
        <w:t xml:space="preserve">(cohort OR longitudinal OR random* OR trial OR meta-analysis OR umbrella review)</w:t>
      </w:r>
    </w:p>
    <w:p>
      <w:pPr>
        <w:pStyle w:val="FirstParagraph"/>
      </w:pPr>
      <w:r>
        <w:t xml:space="preserve">For the manuscript, I would explicitly separate four evidence strata. First,</w:t>
      </w:r>
      <w:r>
        <w:t xml:space="preserve"> </w:t>
      </w:r>
      <w:r>
        <w:rPr>
          <w:b/>
          <w:bCs/>
        </w:rPr>
        <w:t xml:space="preserve">prospective observational studies</w:t>
      </w:r>
      <w:r>
        <w:t xml:space="preserve"> </w:t>
      </w:r>
      <w:r>
        <w:t xml:space="preserve">for risk; second,</w:t>
      </w:r>
      <w:r>
        <w:t xml:space="preserve"> </w:t>
      </w:r>
      <w:r>
        <w:rPr>
          <w:b/>
          <w:bCs/>
        </w:rPr>
        <w:t xml:space="preserve">whole-diet randomised trials</w:t>
      </w:r>
      <w:r>
        <w:t xml:space="preserve"> </w:t>
      </w:r>
      <w:r>
        <w:t xml:space="preserve">for treatment or prevention; third,</w:t>
      </w:r>
      <w:r>
        <w:t xml:space="preserve"> </w:t>
      </w:r>
      <w:r>
        <w:rPr>
          <w:b/>
          <w:bCs/>
        </w:rPr>
        <w:t xml:space="preserve">supplement trials/meta-analyses</w:t>
      </w:r>
      <w:r>
        <w:t xml:space="preserve"> </w:t>
      </w:r>
      <w:r>
        <w:t xml:space="preserve">for adjunctive options; fourth,</w:t>
      </w:r>
      <w:r>
        <w:t xml:space="preserve"> </w:t>
      </w:r>
      <w:r>
        <w:rPr>
          <w:b/>
          <w:bCs/>
        </w:rPr>
        <w:t xml:space="preserve">mechanistic reviews</w:t>
      </w:r>
      <w:r>
        <w:t xml:space="preserve"> </w:t>
      </w:r>
      <w:r>
        <w:t xml:space="preserve">on inflammation, one-carbon metabolism, neurotransmitters, and the microbiota–gut–brain axis. The reason for this structure is that the field is strongest when discussing</w:t>
      </w:r>
      <w:r>
        <w:t xml:space="preserve"> </w:t>
      </w:r>
      <w:r>
        <w:rPr>
          <w:b/>
          <w:bCs/>
        </w:rPr>
        <w:t xml:space="preserve">patterns and risk gradients</w:t>
      </w:r>
      <w:r>
        <w:t xml:space="preserve">, and weakest when it overstates the certainty of isolated nutrient fixes.</w:t>
      </w:r>
      <w:r>
        <w:t xml:space="preserve"> </w:t>
      </w:r>
      <w:hyperlink r:id="rId27">
        <w:r>
          <w:rPr>
            <w:rStyle w:val="Hyperlink"/>
          </w:rPr>
          <w:t xml:space="preserve">[8]</w:t>
        </w:r>
      </w:hyperlink>
    </w:p>
    <w:bookmarkEnd w:id="28"/>
    <w:bookmarkStart w:id="41" w:name="literature-review-and-major-findings"/>
    <w:p>
      <w:pPr>
        <w:pStyle w:val="Heading2"/>
      </w:pPr>
      <w:r>
        <w:t xml:space="preserve">Literature review and major findings</w:t>
      </w:r>
    </w:p>
    <w:p>
      <w:pPr>
        <w:pStyle w:val="FirstParagraph"/>
      </w:pPr>
      <w:r>
        <w:t xml:space="preserve">Depression is common enough, recurrent enough, and disabling enough to justify a full-length evidence-led book. The global point-prevalence estimate from the WHO is about 5% of adults, with women affected more often than men. That baseline matters because it makes even modest dietary effect sizes potentially important at population scale.</w:t>
      </w:r>
      <w:r>
        <w:t xml:space="preserve"> </w:t>
      </w:r>
      <w:hyperlink r:id="rId22">
        <w:r>
          <w:rPr>
            <w:rStyle w:val="Hyperlink"/>
          </w:rPr>
          <w:t xml:space="preserve">[9]</w:t>
        </w:r>
      </w:hyperlink>
    </w:p>
    <w:p>
      <w:pPr>
        <w:pStyle w:val="BodyText"/>
      </w:pPr>
      <w:r>
        <w:t xml:space="preserve">The strongest observational signal is not for single nutrients but for</w:t>
      </w:r>
      <w:r>
        <w:t xml:space="preserve"> </w:t>
      </w:r>
      <w:r>
        <w:rPr>
          <w:b/>
          <w:bCs/>
        </w:rPr>
        <w:t xml:space="preserve">overall diet quality</w:t>
      </w:r>
      <w:r>
        <w:t xml:space="preserve">. A major 2019 synthesis of healthy dietary indices found that, in longitudinal studies, the</w:t>
      </w:r>
      <w:r>
        <w:t xml:space="preserve"> </w:t>
      </w:r>
      <w:r>
        <w:rPr>
          <w:b/>
          <w:bCs/>
        </w:rPr>
        <w:t xml:space="preserve">Mediterranean diet</w:t>
      </w:r>
      <w:r>
        <w:t xml:space="preserve"> </w:t>
      </w:r>
      <w:r>
        <w:t xml:space="preserve">was associated with lower incident depression risk (combined relative risk for highest versus lowest adherence</w:t>
      </w:r>
      <w:r>
        <w:t xml:space="preserve"> </w:t>
      </w:r>
      <w:r>
        <w:rPr>
          <w:b/>
          <w:bCs/>
        </w:rPr>
        <w:t xml:space="preserve">0.67</w:t>
      </w:r>
      <w:r>
        <w:t xml:space="preserve">, 95% CI 0.55–0.82), while lower scores on the Dietary Inflammatory Index were also associated with lower incidence (relative risk</w:t>
      </w:r>
      <w:r>
        <w:t xml:space="preserve"> </w:t>
      </w:r>
      <w:r>
        <w:rPr>
          <w:b/>
          <w:bCs/>
        </w:rPr>
        <w:t xml:space="preserve">0.76</w:t>
      </w:r>
      <w:r>
        <w:t xml:space="preserve">, 95% CI 0.63–0.92). Other healthy indices such as HEI/AHEI were directionally similar. A later umbrella review judged the overall field supportive but still limited by observational design and heterogeneity, and a 2025 prospective update indicates that this question remains active rather than settled.</w:t>
      </w:r>
      <w:r>
        <w:t xml:space="preserve"> </w:t>
      </w:r>
      <w:hyperlink r:id="rId27">
        <w:r>
          <w:rPr>
            <w:rStyle w:val="Hyperlink"/>
          </w:rPr>
          <w:t xml:space="preserve">[10]</w:t>
        </w:r>
      </w:hyperlink>
    </w:p>
    <w:p>
      <w:pPr>
        <w:pStyle w:val="BodyText"/>
      </w:pPr>
      <w:r>
        <w:t xml:space="preserve">The converse literature is also important for a good book. High</w:t>
      </w:r>
      <w:r>
        <w:t xml:space="preserve"> </w:t>
      </w:r>
      <w:r>
        <w:rPr>
          <w:b/>
          <w:bCs/>
        </w:rPr>
        <w:t xml:space="preserve">ultra-processed food</w:t>
      </w:r>
      <w:r>
        <w:t xml:space="preserve"> </w:t>
      </w:r>
      <w:r>
        <w:t xml:space="preserve">exposure and high</w:t>
      </w:r>
      <w:r>
        <w:t xml:space="preserve"> </w:t>
      </w:r>
      <w:r>
        <w:rPr>
          <w:b/>
          <w:bCs/>
        </w:rPr>
        <w:t xml:space="preserve">sugar</w:t>
      </w:r>
      <w:r>
        <w:t xml:space="preserve"> </w:t>
      </w:r>
      <w:r>
        <w:t xml:space="preserve">exposure repeatedly track with worse depressive outcomes. In a large prospective cohort from the Nurses’ Health Study II, the highest quintile of ultra-processed food intake was associated with higher depression risk than the lowest quintile, with a multivariable hazard ratio of</w:t>
      </w:r>
      <w:r>
        <w:t xml:space="preserve"> </w:t>
      </w:r>
      <w:r>
        <w:rPr>
          <w:b/>
          <w:bCs/>
        </w:rPr>
        <w:t xml:space="preserve">1.52</w:t>
      </w:r>
      <w:r>
        <w:t xml:space="preserve"> </w:t>
      </w:r>
      <w:r>
        <w:t xml:space="preserve">for a strict definition of depression and</w:t>
      </w:r>
      <w:r>
        <w:t xml:space="preserve"> </w:t>
      </w:r>
      <w:r>
        <w:rPr>
          <w:b/>
          <w:bCs/>
        </w:rPr>
        <w:t xml:space="preserve">1.37</w:t>
      </w:r>
      <w:r>
        <w:t xml:space="preserve"> </w:t>
      </w:r>
      <w:r>
        <w:t xml:space="preserve">for a broader definition; reductions in UPF intake were associated with lower subsequent risk. A 2024 meta-analysis of total dietary sugar consumption found a pooled odds ratio of</w:t>
      </w:r>
      <w:r>
        <w:t xml:space="preserve"> </w:t>
      </w:r>
      <w:r>
        <w:rPr>
          <w:b/>
          <w:bCs/>
        </w:rPr>
        <w:t xml:space="preserve">1.21</w:t>
      </w:r>
      <w:r>
        <w:t xml:space="preserve"> </w:t>
      </w:r>
      <w:r>
        <w:t xml:space="preserve">for depression, although heterogeneity was very high, which means this result is suggestive rather than cleanly causal. A 2024 umbrella review of UPF and health outcomes also linked higher UPF exposure to higher risk of common mental disorder outcomes.</w:t>
      </w:r>
      <w:r>
        <w:t xml:space="preserve"> </w:t>
      </w:r>
      <w:hyperlink r:id="rId21">
        <w:r>
          <w:rPr>
            <w:rStyle w:val="Hyperlink"/>
          </w:rPr>
          <w:t xml:space="preserve">[11]</w:t>
        </w:r>
      </w:hyperlink>
    </w:p>
    <w:p>
      <w:pPr>
        <w:pStyle w:val="BodyText"/>
      </w:pPr>
      <w:r>
        <w:t xml:space="preserve">The intervention literature is more mixed, but it is now substantial enough to support a serious narrative chapter sequence. The first lesson is that</w:t>
      </w:r>
      <w:r>
        <w:t xml:space="preserve"> </w:t>
      </w:r>
      <w:r>
        <w:rPr>
          <w:b/>
          <w:bCs/>
        </w:rPr>
        <w:t xml:space="preserve">whole-diet treatment trials matter more than readers usually realise</w:t>
      </w:r>
      <w:r>
        <w:t xml:space="preserve">. The second is that</w:t>
      </w:r>
      <w:r>
        <w:t xml:space="preserve"> </w:t>
      </w:r>
      <w:r>
        <w:rPr>
          <w:b/>
          <w:bCs/>
        </w:rPr>
        <w:t xml:space="preserve">not all “nutrition” interventions are equal</w:t>
      </w:r>
      <w:r>
        <w:t xml:space="preserve">: a Mediterranean-style dietary programme is not equivalent to a multivitamin stack, and a probiotic strain is not equivalent to “probiotics” in general. The third is that prevention evidence lags behind treatment evidence.</w:t>
      </w:r>
      <w:r>
        <w:t xml:space="preserve"> </w:t>
      </w:r>
      <w:hyperlink r:id="rId23">
        <w:r>
          <w:rPr>
            <w:rStyle w:val="Hyperlink"/>
          </w:rPr>
          <w:t xml:space="preserve">[12]</w:t>
        </w:r>
      </w:hyperlink>
    </w:p>
    <w:bookmarkStart w:id="33" w:name="major-whole-diet-and-food-based-trials"/>
    <w:p>
      <w:pPr>
        <w:pStyle w:val="Heading3"/>
      </w:pPr>
      <w:r>
        <w:t xml:space="preserve">Major whole-diet and food-based trials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Trial</w:t>
            </w:r>
          </w:p>
        </w:tc>
        <w:tc>
          <w:tcPr/>
          <w:p>
            <w:pPr>
              <w:pStyle w:val="Compact"/>
            </w:pPr>
            <w:r>
              <w:t xml:space="preserve">Design and sample</w:t>
            </w:r>
          </w:p>
        </w:tc>
        <w:tc>
          <w:tcPr/>
          <w:p>
            <w:pPr>
              <w:pStyle w:val="Compact"/>
            </w:pPr>
            <w:r>
              <w:t xml:space="preserve">Intervention</w:t>
            </w:r>
          </w:p>
        </w:tc>
        <w:tc>
          <w:tcPr/>
          <w:p>
            <w:pPr>
              <w:pStyle w:val="Compact"/>
            </w:pPr>
            <w:r>
              <w:t xml:space="preserve">Comparator</w:t>
            </w:r>
          </w:p>
        </w:tc>
        <w:tc>
          <w:tcPr/>
          <w:p>
            <w:pPr>
              <w:pStyle w:val="Compact"/>
            </w:pPr>
            <w:r>
              <w:t xml:space="preserve">Main outcomes</w:t>
            </w:r>
          </w:p>
        </w:tc>
        <w:tc>
          <w:tcPr/>
          <w:p>
            <w:pPr>
              <w:pStyle w:val="Compact"/>
            </w:pPr>
            <w:r>
              <w:t xml:space="preserve">Effect size or key result</w:t>
            </w:r>
          </w:p>
        </w:tc>
        <w:tc>
          <w:tcPr/>
          <w:p>
            <w:pPr>
              <w:pStyle w:val="Compact"/>
            </w:pPr>
            <w:r>
              <w:t xml:space="preserve">Book interpretation</w:t>
            </w:r>
          </w:p>
        </w:tc>
        <w:tc>
          <w:tcPr/>
          <w:p>
            <w:pPr>
              <w:pStyle w:val="Compact"/>
            </w:pPr>
            <w:r>
              <w:t xml:space="preserve">Source</w:t>
            </w:r>
          </w:p>
        </w:tc>
      </w:tr>
      <w:tr>
        <w:tc>
          <w:tcPr/>
          <w:p>
            <w:pPr>
              <w:pStyle w:val="Compact"/>
            </w:pPr>
            <w:r>
              <w:t xml:space="preserve">SMILES</w:t>
            </w:r>
          </w:p>
        </w:tc>
        <w:tc>
          <w:tcPr/>
          <w:p>
            <w:pPr>
              <w:pStyle w:val="Compact"/>
            </w:pPr>
            <w:r>
              <w:t xml:space="preserve">12-week, single-blind RCT; 67 adults with moderate-to-severe major depression and poor diet quality</w:t>
            </w:r>
          </w:p>
        </w:tc>
        <w:tc>
          <w:tcPr/>
          <w:p>
            <w:pPr>
              <w:pStyle w:val="Compact"/>
            </w:pPr>
            <w:r>
              <w:t xml:space="preserve">Modified Mediterranean-style dietary improvement with 7 dietitian sessions</w:t>
            </w:r>
          </w:p>
        </w:tc>
        <w:tc>
          <w:tcPr/>
          <w:p>
            <w:pPr>
              <w:pStyle w:val="Compact"/>
            </w:pPr>
            <w:r>
              <w:t xml:space="preserve">Social support (“befriending”)</w:t>
            </w:r>
          </w:p>
        </w:tc>
        <w:tc>
          <w:tcPr/>
          <w:p>
            <w:pPr>
              <w:pStyle w:val="Compact"/>
            </w:pPr>
            <w:r>
              <w:t xml:space="preserve">MADRS, remission</w:t>
            </w:r>
          </w:p>
        </w:tc>
        <w:tc>
          <w:tcPr/>
          <w:p>
            <w:pPr>
              <w:pStyle w:val="Compact"/>
            </w:pPr>
            <w:r>
              <w:rPr>
                <w:b/>
                <w:bCs/>
              </w:rPr>
              <w:t xml:space="preserve">Cohen’s d = -1.16</w:t>
            </w:r>
            <w:r>
              <w:t xml:space="preserve">; remission</w:t>
            </w:r>
            <w:r>
              <w:t xml:space="preserve"> </w:t>
            </w:r>
            <w:r>
              <w:rPr>
                <w:b/>
                <w:bCs/>
              </w:rPr>
              <w:t xml:space="preserve">32.3% vs 8.0%</w:t>
            </w:r>
            <w:r>
              <w:t xml:space="preserve">; NNT</w:t>
            </w:r>
            <w:r>
              <w:t xml:space="preserve"> </w:t>
            </w:r>
            <w:r>
              <w:rPr>
                <w:b/>
                <w:bCs/>
              </w:rPr>
              <w:t xml:space="preserve">4.1</w:t>
            </w:r>
          </w:p>
        </w:tc>
        <w:tc>
          <w:tcPr/>
          <w:p>
            <w:pPr>
              <w:pStyle w:val="Compact"/>
            </w:pPr>
            <w:r>
              <w:t xml:space="preserve">Landmark trial; use as the narrative turning point, but discuss small sample and expectancy/blinding criticisms</w:t>
            </w:r>
          </w:p>
        </w:tc>
        <w:tc>
          <w:tcPr/>
          <w:p>
            <w:pPr>
              <w:pStyle w:val="Compact"/>
            </w:pPr>
            <w:hyperlink r:id="rId23">
              <w:r>
                <w:rPr>
                  <w:rStyle w:val="Hyperlink"/>
                </w:rPr>
                <w:t xml:space="preserve">[13]</w:t>
              </w:r>
            </w:hyperlink>
          </w:p>
        </w:tc>
      </w:tr>
      <w:tr>
        <w:tc>
          <w:tcPr/>
          <w:p>
            <w:pPr>
              <w:pStyle w:val="Compact"/>
            </w:pPr>
            <w:r>
              <w:t xml:space="preserve">HELFIMED</w:t>
            </w:r>
          </w:p>
        </w:tc>
        <w:tc>
          <w:tcPr/>
          <w:p>
            <w:pPr>
              <w:pStyle w:val="Compact"/>
            </w:pPr>
            <w:r>
              <w:t xml:space="preserve">Randomised trial; 152 adults with self-reported depression</w:t>
            </w:r>
          </w:p>
        </w:tc>
        <w:tc>
          <w:tcPr/>
          <w:p>
            <w:pPr>
              <w:pStyle w:val="Compact"/>
            </w:pPr>
            <w:r>
              <w:t xml:space="preserve">Mediterranean-style diet with food hampers and cooking workshops for 3 months, plus fish oil for 6 months</w:t>
            </w:r>
          </w:p>
        </w:tc>
        <w:tc>
          <w:tcPr/>
          <w:p>
            <w:pPr>
              <w:pStyle w:val="Compact"/>
            </w:pPr>
            <w:r>
              <w:t xml:space="preserve">Social groups</w:t>
            </w:r>
          </w:p>
        </w:tc>
        <w:tc>
          <w:tcPr/>
          <w:p>
            <w:pPr>
              <w:pStyle w:val="Compact"/>
            </w:pPr>
            <w:r>
              <w:t xml:space="preserve">Depression and mental-health quality of life</w:t>
            </w:r>
          </w:p>
        </w:tc>
        <w:tc>
          <w:tcPr/>
          <w:p>
            <w:pPr>
              <w:pStyle w:val="Compact"/>
            </w:pPr>
            <w:r>
              <w:t xml:space="preserve">Significant greater reduction in depression at 3 months (</w:t>
            </w:r>
            <w:r>
              <w:rPr>
                <w:b/>
                <w:bCs/>
              </w:rPr>
              <w:t xml:space="preserve">t = -2.24, P = 0.03</w:t>
            </w:r>
            <w:r>
              <w:t xml:space="preserve">); benefits sustained at 6 months</w:t>
            </w:r>
          </w:p>
        </w:tc>
        <w:tc>
          <w:tcPr/>
          <w:p>
            <w:pPr>
              <w:pStyle w:val="Compact"/>
            </w:pPr>
            <w:r>
              <w:t xml:space="preserve">Promising, but intervention combines diet plus fish oil, so mechanism attribution is mixed</w:t>
            </w:r>
          </w:p>
        </w:tc>
        <w:tc>
          <w:tcPr/>
          <w:p>
            <w:pPr>
              <w:pStyle w:val="Compact"/>
            </w:pPr>
            <w:hyperlink r:id="rId29">
              <w:r>
                <w:rPr>
                  <w:rStyle w:val="Hyperlink"/>
                </w:rPr>
                <w:t xml:space="preserve">[14]</w:t>
              </w:r>
            </w:hyperlink>
          </w:p>
        </w:tc>
      </w:tr>
      <w:tr>
        <w:tc>
          <w:tcPr/>
          <w:p>
            <w:pPr>
              <w:pStyle w:val="Compact"/>
            </w:pPr>
            <w:r>
              <w:t xml:space="preserve">MooDFOOD</w:t>
            </w:r>
          </w:p>
        </w:tc>
        <w:tc>
          <w:tcPr/>
          <w:p>
            <w:pPr>
              <w:pStyle w:val="Compact"/>
            </w:pPr>
            <w:r>
              <w:t xml:space="preserve">2×2 factorial RCT; 1,025 overweight/obese adults with subsyndromal symptoms</w:t>
            </w:r>
          </w:p>
        </w:tc>
        <w:tc>
          <w:tcPr/>
          <w:p>
            <w:pPr>
              <w:pStyle w:val="Compact"/>
            </w:pPr>
            <w:r>
              <w:t xml:space="preserve">Multinutrient supplement and/or food-related behavioural activation for 1 year</w:t>
            </w:r>
          </w:p>
        </w:tc>
        <w:tc>
          <w:tcPr/>
          <w:p>
            <w:pPr>
              <w:pStyle w:val="Compact"/>
            </w:pPr>
            <w:r>
              <w:t xml:space="preserve">Placebo and/or no therapy</w:t>
            </w:r>
          </w:p>
        </w:tc>
        <w:tc>
          <w:tcPr/>
          <w:p>
            <w:pPr>
              <w:pStyle w:val="Compact"/>
            </w:pPr>
            <w:r>
              <w:t xml:space="preserve">New-onset major depressive disorder</w:t>
            </w:r>
          </w:p>
        </w:tc>
        <w:tc>
          <w:tcPr/>
          <w:p>
            <w:pPr>
              <w:pStyle w:val="Compact"/>
            </w:pPr>
            <w:r>
              <w:t xml:space="preserve">No prevention benefit: supplement</w:t>
            </w:r>
            <w:r>
              <w:t xml:space="preserve"> </w:t>
            </w:r>
            <w:r>
              <w:rPr>
                <w:b/>
                <w:bCs/>
              </w:rPr>
              <w:t xml:space="preserve">OR 1.06</w:t>
            </w:r>
            <w:r>
              <w:t xml:space="preserve">; therapy</w:t>
            </w:r>
            <w:r>
              <w:t xml:space="preserve"> </w:t>
            </w:r>
            <w:r>
              <w:rPr>
                <w:b/>
                <w:bCs/>
              </w:rPr>
              <w:t xml:space="preserve">OR 0.93</w:t>
            </w:r>
            <w:r>
              <w:t xml:space="preserve">; combination</w:t>
            </w:r>
            <w:r>
              <w:t xml:space="preserve"> </w:t>
            </w:r>
            <w:r>
              <w:rPr>
                <w:b/>
                <w:bCs/>
              </w:rPr>
              <w:t xml:space="preserve">OR 0.93</w:t>
            </w:r>
          </w:p>
        </w:tc>
        <w:tc>
          <w:tcPr/>
          <w:p>
            <w:pPr>
              <w:pStyle w:val="Compact"/>
            </w:pPr>
            <w:r>
              <w:t xml:space="preserve">Essential counterweight chapter: null findings, prevention harder than symptom treatment</w:t>
            </w:r>
          </w:p>
        </w:tc>
        <w:tc>
          <w:tcPr/>
          <w:p>
            <w:pPr>
              <w:pStyle w:val="Compact"/>
            </w:pPr>
            <w:hyperlink r:id="rId30">
              <w:r>
                <w:rPr>
                  <w:rStyle w:val="Hyperlink"/>
                </w:rPr>
                <w:t xml:space="preserve">[15]</w:t>
              </w:r>
            </w:hyperlink>
          </w:p>
        </w:tc>
      </w:tr>
      <w:tr>
        <w:tc>
          <w:tcPr/>
          <w:p>
            <w:pPr>
              <w:pStyle w:val="Compact"/>
            </w:pPr>
            <w:r>
              <w:t xml:space="preserve">AMMEND</w:t>
            </w:r>
          </w:p>
        </w:tc>
        <w:tc>
          <w:tcPr/>
          <w:p>
            <w:pPr>
              <w:pStyle w:val="Compact"/>
            </w:pPr>
            <w:r>
              <w:t xml:space="preserve">12-week, open-label RCT; 72 young men aged 18–25 with clinical depression</w:t>
            </w:r>
          </w:p>
        </w:tc>
        <w:tc>
          <w:tcPr/>
          <w:p>
            <w:pPr>
              <w:pStyle w:val="Compact"/>
            </w:pPr>
            <w:r>
              <w:t xml:space="preserve">Mediterranean diet counselling</w:t>
            </w:r>
          </w:p>
        </w:tc>
        <w:tc>
          <w:tcPr/>
          <w:p>
            <w:pPr>
              <w:pStyle w:val="Compact"/>
            </w:pPr>
            <w:r>
              <w:t xml:space="preserve">Befriending therapy</w:t>
            </w:r>
          </w:p>
        </w:tc>
        <w:tc>
          <w:tcPr/>
          <w:p>
            <w:pPr>
              <w:pStyle w:val="Compact"/>
            </w:pPr>
            <w:r>
              <w:t xml:space="preserve">BDI-II, quality of life, MEDAS</w:t>
            </w:r>
          </w:p>
        </w:tc>
        <w:tc>
          <w:tcPr/>
          <w:p>
            <w:pPr>
              <w:pStyle w:val="Compact"/>
            </w:pPr>
            <w:r>
              <w:t xml:space="preserve">BDI-II mean change difference</w:t>
            </w:r>
            <w:r>
              <w:t xml:space="preserve"> </w:t>
            </w:r>
            <w:r>
              <w:rPr>
                <w:b/>
                <w:bCs/>
              </w:rPr>
              <w:t xml:space="preserve">14.4</w:t>
            </w:r>
            <w:r>
              <w:t xml:space="preserve"> </w:t>
            </w:r>
            <w:r>
              <w:t xml:space="preserve">(95% CI 11.41–17.39); QoL difference</w:t>
            </w:r>
            <w:r>
              <w:t xml:space="preserve"> </w:t>
            </w:r>
            <w:r>
              <w:rPr>
                <w:b/>
                <w:bCs/>
              </w:rPr>
              <w:t xml:space="preserve">12.7</w:t>
            </w:r>
            <w:r>
              <w:t xml:space="preserve">; MEDAS difference</w:t>
            </w:r>
            <w:r>
              <w:t xml:space="preserve"> </w:t>
            </w:r>
            <w:r>
              <w:rPr>
                <w:b/>
                <w:bCs/>
              </w:rPr>
              <w:t xml:space="preserve">7.8</w:t>
            </w:r>
          </w:p>
        </w:tc>
        <w:tc>
          <w:tcPr/>
          <w:p>
            <w:pPr>
              <w:pStyle w:val="Compact"/>
            </w:pPr>
            <w:r>
              <w:t xml:space="preserve">Strong recent treatment signal, but narrow demographic and open-label design</w:t>
            </w:r>
          </w:p>
        </w:tc>
        <w:tc>
          <w:tcPr/>
          <w:p>
            <w:pPr>
              <w:pStyle w:val="Compact"/>
            </w:pPr>
            <w:hyperlink r:id="rId31">
              <w:r>
                <w:rPr>
                  <w:rStyle w:val="Hyperlink"/>
                </w:rPr>
                <w:t xml:space="preserve">[16]</w:t>
              </w:r>
            </w:hyperlink>
          </w:p>
        </w:tc>
      </w:tr>
      <w:tr>
        <w:tc>
          <w:tcPr/>
          <w:p>
            <w:pPr>
              <w:pStyle w:val="Compact"/>
            </w:pPr>
            <w:r>
              <w:t xml:space="preserve">PREDIDEP</w:t>
            </w:r>
          </w:p>
        </w:tc>
        <w:tc>
          <w:tcPr/>
          <w:p>
            <w:pPr>
              <w:pStyle w:val="Compact"/>
            </w:pPr>
            <w:r>
              <w:t xml:space="preserve">2-year randomised secondary-prevention programme in adults recovered from depression</w:t>
            </w:r>
          </w:p>
        </w:tc>
        <w:tc>
          <w:tcPr/>
          <w:p>
            <w:pPr>
              <w:pStyle w:val="Compact"/>
            </w:pPr>
            <w:r>
              <w:t xml:space="preserve">Mediterranean diet enriched with extra-virgin olive oil and remote nutritional support</w:t>
            </w:r>
          </w:p>
        </w:tc>
        <w:tc>
          <w:tcPr/>
          <w:p>
            <w:pPr>
              <w:pStyle w:val="Compact"/>
            </w:pPr>
            <w:r>
              <w:t xml:space="preserve">Usual care</w:t>
            </w:r>
          </w:p>
        </w:tc>
        <w:tc>
          <w:tcPr/>
          <w:p>
            <w:pPr>
              <w:pStyle w:val="Compact"/>
            </w:pPr>
            <w:r>
              <w:t xml:space="preserve">Recurrence, subsyndromal symptoms, quality of life</w:t>
            </w:r>
          </w:p>
        </w:tc>
        <w:tc>
          <w:tcPr/>
          <w:p>
            <w:pPr>
              <w:pStyle w:val="Compact"/>
            </w:pPr>
            <w:r>
              <w:t xml:space="preserve">Accessible summaries show symptom improvement across several follow-ups and QoL gains, especially vitality and mental-health domains</w:t>
            </w:r>
          </w:p>
        </w:tc>
        <w:tc>
          <w:tcPr/>
          <w:p>
            <w:pPr>
              <w:pStyle w:val="Compact"/>
            </w:pPr>
            <w:r>
              <w:t xml:space="preserve">Useful for relapse-prevention chapters, but recurrence prevention remains less certain than symptom/QoL benefit</w:t>
            </w:r>
          </w:p>
        </w:tc>
        <w:tc>
          <w:tcPr/>
          <w:p>
            <w:pPr>
              <w:pStyle w:val="Compact"/>
            </w:pPr>
            <w:hyperlink r:id="rId32">
              <w:r>
                <w:rPr>
                  <w:rStyle w:val="Hyperlink"/>
                </w:rPr>
                <w:t xml:space="preserve">[17]</w:t>
              </w:r>
            </w:hyperlink>
          </w:p>
        </w:tc>
      </w:tr>
    </w:tbl>
    <w:bookmarkEnd w:id="33"/>
    <w:bookmarkStart w:id="40" w:name="X967169d7b7b8686ecb2104b84a3ee53a9713182"/>
    <w:p>
      <w:pPr>
        <w:pStyle w:val="Heading3"/>
      </w:pPr>
      <w:r>
        <w:t xml:space="preserve">Major meta-analyses and synthesis reviews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Review</w:t>
            </w:r>
          </w:p>
        </w:tc>
        <w:tc>
          <w:tcPr/>
          <w:p>
            <w:pPr>
              <w:pStyle w:val="Compact"/>
            </w:pPr>
            <w:r>
              <w:t xml:space="preserve">Evidence base</w:t>
            </w:r>
          </w:p>
        </w:tc>
        <w:tc>
          <w:tcPr/>
          <w:p>
            <w:pPr>
              <w:pStyle w:val="Compact"/>
            </w:pPr>
            <w:r>
              <w:t xml:space="preserve">Main finding</w:t>
            </w:r>
          </w:p>
        </w:tc>
        <w:tc>
          <w:tcPr/>
          <w:p>
            <w:pPr>
              <w:pStyle w:val="Compact"/>
            </w:pPr>
            <w:r>
              <w:t xml:space="preserve">Effect size</w:t>
            </w:r>
          </w:p>
        </w:tc>
        <w:tc>
          <w:tcPr/>
          <w:p>
            <w:pPr>
              <w:pStyle w:val="Compact"/>
            </w:pPr>
            <w:r>
              <w:t xml:space="preserve">What it means for the book</w:t>
            </w:r>
          </w:p>
        </w:tc>
        <w:tc>
          <w:tcPr/>
          <w:p>
            <w:pPr>
              <w:pStyle w:val="Compact"/>
            </w:pPr>
            <w:r>
              <w:t xml:space="preserve">Source</w:t>
            </w:r>
          </w:p>
        </w:tc>
      </w:tr>
      <w:tr>
        <w:tc>
          <w:tcPr/>
          <w:p>
            <w:pPr>
              <w:pStyle w:val="Compact"/>
            </w:pPr>
            <w:r>
              <w:t xml:space="preserve">Healthy dietary indices and depression risk</w:t>
            </w:r>
          </w:p>
        </w:tc>
        <w:tc>
          <w:tcPr/>
          <w:p>
            <w:pPr>
              <w:pStyle w:val="Compact"/>
            </w:pPr>
            <w:r>
              <w:t xml:space="preserve">20 longitudinal and 21 cross-sectional observational studies</w:t>
            </w:r>
          </w:p>
        </w:tc>
        <w:tc>
          <w:tcPr/>
          <w:p>
            <w:pPr>
              <w:pStyle w:val="Compact"/>
            </w:pPr>
            <w:r>
              <w:t xml:space="preserve">Mediterranean and anti-inflammatory patterns associated with lower depression risk</w:t>
            </w:r>
          </w:p>
        </w:tc>
        <w:tc>
          <w:tcPr/>
          <w:p>
            <w:pPr>
              <w:pStyle w:val="Compact"/>
            </w:pPr>
            <w:r>
              <w:t xml:space="preserve">Mediterranean RR</w:t>
            </w:r>
            <w:r>
              <w:t xml:space="preserve"> </w:t>
            </w:r>
            <w:r>
              <w:rPr>
                <w:b/>
                <w:bCs/>
              </w:rPr>
              <w:t xml:space="preserve">0.67</w:t>
            </w:r>
            <w:r>
              <w:t xml:space="preserve">; low Dietary Inflammatory Index RR</w:t>
            </w:r>
            <w:r>
              <w:t xml:space="preserve"> </w:t>
            </w:r>
            <w:r>
              <w:rPr>
                <w:b/>
                <w:bCs/>
              </w:rPr>
              <w:t xml:space="preserve">0.76</w:t>
            </w:r>
          </w:p>
        </w:tc>
        <w:tc>
          <w:tcPr/>
          <w:p>
            <w:pPr>
              <w:pStyle w:val="Compact"/>
            </w:pPr>
            <w:r>
              <w:t xml:space="preserve">Best prevention chapter anchor</w:t>
            </w:r>
          </w:p>
        </w:tc>
        <w:tc>
          <w:tcPr/>
          <w:p>
            <w:pPr>
              <w:pStyle w:val="Compact"/>
            </w:pPr>
            <w:hyperlink r:id="rId27">
              <w:r>
                <w:rPr>
                  <w:rStyle w:val="Hyperlink"/>
                </w:rPr>
                <w:t xml:space="preserve">[18]</w:t>
              </w:r>
            </w:hyperlink>
          </w:p>
        </w:tc>
      </w:tr>
      <w:tr>
        <w:tc>
          <w:tcPr/>
          <w:p>
            <w:pPr>
              <w:pStyle w:val="Compact"/>
            </w:pPr>
            <w:r>
              <w:t xml:space="preserve">Umbrella review of dietary factors and depression</w:t>
            </w:r>
          </w:p>
        </w:tc>
        <w:tc>
          <w:tcPr/>
          <w:p>
            <w:pPr>
              <w:pStyle w:val="Compact"/>
            </w:pPr>
            <w:r>
              <w:t xml:space="preserve">28 meta-analyses of prospective evidence</w:t>
            </w:r>
          </w:p>
        </w:tc>
        <w:tc>
          <w:tcPr/>
          <w:p>
            <w:pPr>
              <w:pStyle w:val="Compact"/>
            </w:pPr>
            <w:r>
              <w:t xml:space="preserve">Broad support for several healthy dietary factors, but credibility varies by exposure and design</w:t>
            </w:r>
          </w:p>
        </w:tc>
        <w:tc>
          <w:tcPr/>
          <w:p>
            <w:pPr>
              <w:pStyle w:val="Compact"/>
            </w:pPr>
            <w:r>
              <w:t xml:space="preserve">Directionally supportive; certainty uneven</w:t>
            </w:r>
          </w:p>
        </w:tc>
        <w:tc>
          <w:tcPr/>
          <w:p>
            <w:pPr>
              <w:pStyle w:val="Compact"/>
            </w:pPr>
            <w:r>
              <w:t xml:space="preserve">Good chapter on evidence hierarchy and why single-food headlines mislead</w:t>
            </w:r>
          </w:p>
        </w:tc>
        <w:tc>
          <w:tcPr/>
          <w:p>
            <w:pPr>
              <w:pStyle w:val="Compact"/>
            </w:pPr>
            <w:hyperlink r:id="rId34">
              <w:r>
                <w:rPr>
                  <w:rStyle w:val="Hyperlink"/>
                </w:rPr>
                <w:t xml:space="preserve">[19]</w:t>
              </w:r>
            </w:hyperlink>
          </w:p>
        </w:tc>
      </w:tr>
      <w:tr>
        <w:tc>
          <w:tcPr/>
          <w:p>
            <w:pPr>
              <w:pStyle w:val="Compact"/>
            </w:pPr>
            <w:r>
              <w:t xml:space="preserve">Firth 2019 RCT meta-analysis</w:t>
            </w:r>
          </w:p>
        </w:tc>
        <w:tc>
          <w:tcPr/>
          <w:p>
            <w:pPr>
              <w:pStyle w:val="Compact"/>
            </w:pPr>
            <w:r>
              <w:t xml:space="preserve">16 RCTs, 45,826 participants</w:t>
            </w:r>
          </w:p>
        </w:tc>
        <w:tc>
          <w:tcPr/>
          <w:p>
            <w:pPr>
              <w:pStyle w:val="Compact"/>
            </w:pPr>
            <w:r>
              <w:t xml:space="preserve">Dietary interventions reduced depressive symptoms, not anxiety</w:t>
            </w:r>
          </w:p>
        </w:tc>
        <w:tc>
          <w:tcPr/>
          <w:p>
            <w:pPr>
              <w:pStyle w:val="Compact"/>
            </w:pPr>
            <w:r>
              <w:t xml:space="preserve">Depression</w:t>
            </w:r>
            <w:r>
              <w:t xml:space="preserve"> </w:t>
            </w:r>
            <w:r>
              <w:rPr>
                <w:b/>
                <w:bCs/>
              </w:rPr>
              <w:t xml:space="preserve">g = 0.275</w:t>
            </w:r>
            <w:r>
              <w:t xml:space="preserve">; high-quality trials</w:t>
            </w:r>
            <w:r>
              <w:t xml:space="preserve"> </w:t>
            </w:r>
            <w:r>
              <w:rPr>
                <w:b/>
                <w:bCs/>
              </w:rPr>
              <w:t xml:space="preserve">g = 0.321</w:t>
            </w:r>
            <w:r>
              <w:t xml:space="preserve">; anxiety</w:t>
            </w:r>
            <w:r>
              <w:t xml:space="preserve"> </w:t>
            </w:r>
            <w:r>
              <w:rPr>
                <w:b/>
                <w:bCs/>
              </w:rPr>
              <w:t xml:space="preserve">g = 0.100</w:t>
            </w:r>
            <w:r>
              <w:t xml:space="preserve">, NS</w:t>
            </w:r>
          </w:p>
        </w:tc>
        <w:tc>
          <w:tcPr/>
          <w:p>
            <w:pPr>
              <w:pStyle w:val="Compact"/>
            </w:pPr>
            <w:r>
              <w:t xml:space="preserve">Global treatment summary; note that most included trials were non-clinical populations</w:t>
            </w:r>
          </w:p>
        </w:tc>
        <w:tc>
          <w:tcPr/>
          <w:p>
            <w:pPr>
              <w:pStyle w:val="Compact"/>
            </w:pPr>
            <w:hyperlink r:id="rId35">
              <w:r>
                <w:rPr>
                  <w:rStyle w:val="Hyperlink"/>
                </w:rPr>
                <w:t xml:space="preserve">[20]</w:t>
              </w:r>
            </w:hyperlink>
          </w:p>
        </w:tc>
      </w:tr>
      <w:tr>
        <w:tc>
          <w:tcPr/>
          <w:p>
            <w:pPr>
              <w:pStyle w:val="Compact"/>
            </w:pPr>
            <w:r>
              <w:t xml:space="preserve">Paris 2024 metabolic-conditions meta-analysis</w:t>
            </w:r>
          </w:p>
        </w:tc>
        <w:tc>
          <w:tcPr/>
          <w:p>
            <w:pPr>
              <w:pStyle w:val="Compact"/>
            </w:pPr>
            <w:r>
              <w:t xml:space="preserve">13 RCTs in adults with metabolic conditions</w:t>
            </w:r>
          </w:p>
        </w:tc>
        <w:tc>
          <w:tcPr/>
          <w:p>
            <w:pPr>
              <w:pStyle w:val="Compact"/>
            </w:pPr>
            <w:r>
              <w:t xml:space="preserve">Diet interventions improved depression, especially hypocaloric diets</w:t>
            </w:r>
          </w:p>
        </w:tc>
        <w:tc>
          <w:tcPr/>
          <w:p>
            <w:pPr>
              <w:pStyle w:val="Compact"/>
            </w:pPr>
            <w:r>
              <w:t xml:space="preserve">Overall SMD</w:t>
            </w:r>
            <w:r>
              <w:t xml:space="preserve"> </w:t>
            </w:r>
            <w:r>
              <w:rPr>
                <w:b/>
                <w:bCs/>
              </w:rPr>
              <w:t xml:space="preserve">-0.20</w:t>
            </w:r>
            <w:r>
              <w:t xml:space="preserve">; hypocaloric-only SMD</w:t>
            </w:r>
            <w:r>
              <w:t xml:space="preserve"> </w:t>
            </w:r>
            <w:r>
              <w:rPr>
                <w:b/>
                <w:bCs/>
              </w:rPr>
              <w:t xml:space="preserve">-0.27</w:t>
            </w:r>
            <w:r>
              <w:t xml:space="preserve">; anxiety NS</w:t>
            </w:r>
          </w:p>
        </w:tc>
        <w:tc>
          <w:tcPr/>
          <w:p>
            <w:pPr>
              <w:pStyle w:val="Compact"/>
            </w:pPr>
            <w:r>
              <w:t xml:space="preserve">Useful for immuno-metabolic depression and obesity/depression overlap chapters</w:t>
            </w:r>
          </w:p>
        </w:tc>
        <w:tc>
          <w:tcPr/>
          <w:p>
            <w:pPr>
              <w:pStyle w:val="Compact"/>
            </w:pPr>
            <w:hyperlink r:id="rId36">
              <w:r>
                <w:rPr>
                  <w:rStyle w:val="Hyperlink"/>
                </w:rPr>
                <w:t xml:space="preserve">[21]</w:t>
              </w:r>
            </w:hyperlink>
          </w:p>
        </w:tc>
      </w:tr>
      <w:tr>
        <w:tc>
          <w:tcPr/>
          <w:p>
            <w:pPr>
              <w:pStyle w:val="Compact"/>
            </w:pPr>
            <w:r>
              <w:t xml:space="preserve">Mediterranean-diet RCT meta-analysis</w:t>
            </w:r>
          </w:p>
        </w:tc>
        <w:tc>
          <w:tcPr/>
          <w:p>
            <w:pPr>
              <w:pStyle w:val="Compact"/>
            </w:pPr>
            <w:r>
              <w:t xml:space="preserve">5 RCTs, 1,507 participants</w:t>
            </w:r>
          </w:p>
        </w:tc>
        <w:tc>
          <w:tcPr/>
          <w:p>
            <w:pPr>
              <w:pStyle w:val="Compact"/>
            </w:pPr>
            <w:r>
              <w:t xml:space="preserve">Mediterranean interventions significantly reduced depressive symptoms in adults with depression</w:t>
            </w:r>
          </w:p>
        </w:tc>
        <w:tc>
          <w:tcPr/>
          <w:p>
            <w:pPr>
              <w:pStyle w:val="Compact"/>
            </w:pPr>
            <w:r>
              <w:t xml:space="preserve">Significant pooled benefit; accessible snippets do not expose the pooled SMD</w:t>
            </w:r>
          </w:p>
        </w:tc>
        <w:tc>
          <w:tcPr/>
          <w:p>
            <w:pPr>
              <w:pStyle w:val="Compact"/>
            </w:pPr>
            <w:r>
              <w:t xml:space="preserve">Strong support for a full Mediterranean-diet chapter</w:t>
            </w:r>
          </w:p>
        </w:tc>
        <w:tc>
          <w:tcPr/>
          <w:p>
            <w:pPr>
              <w:pStyle w:val="Compact"/>
            </w:pPr>
            <w:hyperlink r:id="rId37">
              <w:r>
                <w:rPr>
                  <w:rStyle w:val="Hyperlink"/>
                </w:rPr>
                <w:t xml:space="preserve">[22]</w:t>
              </w:r>
            </w:hyperlink>
          </w:p>
        </w:tc>
      </w:tr>
      <w:tr>
        <w:tc>
          <w:tcPr/>
          <w:p>
            <w:pPr>
              <w:pStyle w:val="Compact"/>
            </w:pPr>
            <w:r>
              <w:t xml:space="preserve">Omega-3 dose-response meta-analysis</w:t>
            </w:r>
          </w:p>
        </w:tc>
        <w:tc>
          <w:tcPr/>
          <w:p>
            <w:pPr>
              <w:pStyle w:val="Compact"/>
            </w:pPr>
            <w:r>
              <w:t xml:space="preserve">67 RCTs</w:t>
            </w:r>
          </w:p>
        </w:tc>
        <w:tc>
          <w:tcPr/>
          <w:p>
            <w:pPr>
              <w:pStyle w:val="Compact"/>
            </w:pPr>
            <w:r>
              <w:t xml:space="preserve">Omega-3 improved symptom severity in people with existing depression, not general-population prevention</w:t>
            </w:r>
          </w:p>
        </w:tc>
        <w:tc>
          <w:tcPr/>
          <w:p>
            <w:pPr>
              <w:pStyle w:val="Compact"/>
            </w:pPr>
            <w:r>
              <w:t xml:space="preserve">Greatest improvement around</w:t>
            </w:r>
            <w:r>
              <w:t xml:space="preserve"> </w:t>
            </w:r>
            <w:r>
              <w:rPr>
                <w:b/>
                <w:bCs/>
              </w:rPr>
              <w:t xml:space="preserve">1.5 g/day</w:t>
            </w:r>
            <w:r>
              <w:t xml:space="preserve">; MD</w:t>
            </w:r>
            <w:r>
              <w:t xml:space="preserve"> </w:t>
            </w:r>
            <w:r>
              <w:rPr>
                <w:b/>
                <w:bCs/>
              </w:rPr>
              <w:t xml:space="preserve">-4.32</w:t>
            </w:r>
            <w:r>
              <w:t xml:space="preserve"> </w:t>
            </w:r>
            <w:r>
              <w:t xml:space="preserve">at 1.5 g/day; remission</w:t>
            </w:r>
            <w:r>
              <w:t xml:space="preserve"> </w:t>
            </w:r>
            <w:r>
              <w:rPr>
                <w:b/>
                <w:bCs/>
              </w:rPr>
              <w:t xml:space="preserve">19 more per 100</w:t>
            </w:r>
          </w:p>
        </w:tc>
        <w:tc>
          <w:tcPr/>
          <w:p>
            <w:pPr>
              <w:pStyle w:val="Compact"/>
            </w:pPr>
            <w:r>
              <w:t xml:space="preserve">Best-supported adjunctive supplement chapter</w:t>
            </w:r>
          </w:p>
        </w:tc>
        <w:tc>
          <w:tcPr/>
          <w:p>
            <w:pPr>
              <w:pStyle w:val="Compact"/>
            </w:pPr>
            <w:hyperlink r:id="rId24">
              <w:r>
                <w:rPr>
                  <w:rStyle w:val="Hyperlink"/>
                </w:rPr>
                <w:t xml:space="preserve">[23]</w:t>
              </w:r>
            </w:hyperlink>
          </w:p>
        </w:tc>
      </w:tr>
      <w:tr>
        <w:tc>
          <w:tcPr/>
          <w:p>
            <w:pPr>
              <w:pStyle w:val="Compact"/>
            </w:pPr>
            <w:r>
              <w:t xml:space="preserve">Vitamin D meta-analysis</w:t>
            </w:r>
          </w:p>
        </w:tc>
        <w:tc>
          <w:tcPr/>
          <w:p>
            <w:pPr>
              <w:pStyle w:val="Compact"/>
            </w:pPr>
            <w:r>
              <w:t xml:space="preserve">20 RCTs</w:t>
            </w:r>
          </w:p>
        </w:tc>
        <w:tc>
          <w:tcPr/>
          <w:p>
            <w:pPr>
              <w:pStyle w:val="Compact"/>
            </w:pPr>
            <w:r>
              <w:t xml:space="preserve">Vitamin D supplementation reduced depressive symptom scores overall</w:t>
            </w:r>
          </w:p>
        </w:tc>
        <w:tc>
          <w:tcPr/>
          <w:p>
            <w:pPr>
              <w:pStyle w:val="Compact"/>
            </w:pPr>
            <w:r>
              <w:t xml:space="preserve">SMD</w:t>
            </w:r>
            <w:r>
              <w:t xml:space="preserve"> </w:t>
            </w:r>
            <w:r>
              <w:rPr>
                <w:b/>
                <w:bCs/>
              </w:rPr>
              <w:t xml:space="preserve">-0.36</w:t>
            </w:r>
          </w:p>
        </w:tc>
        <w:tc>
          <w:tcPr/>
          <w:p>
            <w:pPr>
              <w:pStyle w:val="Compact"/>
            </w:pPr>
            <w:r>
              <w:t xml:space="preserve">Adjunctive potential, especially when deficiency is relevant</w:t>
            </w:r>
          </w:p>
        </w:tc>
        <w:tc>
          <w:tcPr/>
          <w:p>
            <w:pPr>
              <w:pStyle w:val="Compact"/>
            </w:pPr>
            <w:hyperlink r:id="rId38">
              <w:r>
                <w:rPr>
                  <w:rStyle w:val="Hyperlink"/>
                </w:rPr>
                <w:t xml:space="preserve">[24]</w:t>
              </w:r>
            </w:hyperlink>
          </w:p>
        </w:tc>
      </w:tr>
      <w:tr>
        <w:tc>
          <w:tcPr/>
          <w:p>
            <w:pPr>
              <w:pStyle w:val="Compact"/>
            </w:pPr>
            <w:r>
              <w:t xml:space="preserve">Probiotic meta-analysis in clinically diagnosed samples</w:t>
            </w:r>
          </w:p>
        </w:tc>
        <w:tc>
          <w:tcPr/>
          <w:p>
            <w:pPr>
              <w:pStyle w:val="Compact"/>
            </w:pPr>
            <w:r>
              <w:t xml:space="preserve">23 RCTs, 1,401 patients</w:t>
            </w:r>
          </w:p>
        </w:tc>
        <w:tc>
          <w:tcPr/>
          <w:p>
            <w:pPr>
              <w:pStyle w:val="Compact"/>
            </w:pPr>
            <w:r>
              <w:t xml:space="preserve">Probiotics reduced depressive and anxiety symptoms; prebiotics not clearly beneficial</w:t>
            </w:r>
          </w:p>
        </w:tc>
        <w:tc>
          <w:tcPr/>
          <w:p>
            <w:pPr>
              <w:pStyle w:val="Compact"/>
            </w:pPr>
            <w:r>
              <w:t xml:space="preserve">Depression SMD</w:t>
            </w:r>
            <w:r>
              <w:t xml:space="preserve"> </w:t>
            </w:r>
            <w:r>
              <w:rPr>
                <w:b/>
                <w:bCs/>
              </w:rPr>
              <w:t xml:space="preserve">-0.96</w:t>
            </w:r>
            <w:r>
              <w:t xml:space="preserve">; anxiety SMD</w:t>
            </w:r>
            <w:r>
              <w:t xml:space="preserve"> </w:t>
            </w:r>
            <w:r>
              <w:rPr>
                <w:b/>
                <w:bCs/>
              </w:rPr>
              <w:t xml:space="preserve">-0.59</w:t>
            </w:r>
          </w:p>
        </w:tc>
        <w:tc>
          <w:tcPr/>
          <w:p>
            <w:pPr>
              <w:pStyle w:val="Compact"/>
            </w:pPr>
            <w:r>
              <w:t xml:space="preserve">Promising chapter, but strain specificity and heterogeneity must be front and centre</w:t>
            </w:r>
          </w:p>
        </w:tc>
        <w:tc>
          <w:tcPr/>
          <w:p>
            <w:pPr>
              <w:pStyle w:val="Compact"/>
            </w:pPr>
            <w:hyperlink r:id="rId39">
              <w:r>
                <w:rPr>
                  <w:rStyle w:val="Hyperlink"/>
                </w:rPr>
                <w:t xml:space="preserve">[25]</w:t>
              </w:r>
            </w:hyperlink>
          </w:p>
        </w:tc>
      </w:tr>
    </w:tbl>
    <w:p>
      <w:pPr>
        <w:pStyle w:val="BodyText"/>
      </w:pPr>
      <w:r>
        <w:t xml:space="preserve">The cleanest synthesis is this:</w:t>
      </w:r>
      <w:r>
        <w:t xml:space="preserve"> </w:t>
      </w:r>
      <w:r>
        <w:rPr>
          <w:b/>
          <w:bCs/>
        </w:rPr>
        <w:t xml:space="preserve">whole-diet interventions have the best narrative and translational value; supplement evidence is real but conditional; and the strongest “negative exposure” story is about reducing ultra-processed, high-sugar dietary load rather than glorifying one protective food.</w:t>
      </w:r>
      <w:r>
        <w:t xml:space="preserve"> </w:t>
      </w:r>
      <w:hyperlink r:id="rId35">
        <w:r>
          <w:rPr>
            <w:rStyle w:val="Hyperlink"/>
          </w:rPr>
          <w:t xml:space="preserve">[26]</w:t>
        </w:r>
      </w:hyperlink>
    </w:p>
    <w:p>
      <w:pPr>
        <w:pStyle w:val="BodyText"/>
      </w:pPr>
      <w:r>
        <w:t xml:space="preserve">The following milestones are the most useful historical spine for the book: early Mediterranean observational work, PREDIMED’s post hoc prevention signal, SMILES, HELFIMED, MooDFOOD, AMMEND, the large ultra-processed food cohort, PREDIDEP, CALM, and the 2024–2025 meta-analytic consolidation.</w:t>
      </w:r>
      <w:r>
        <w:t xml:space="preserve"> </w:t>
      </w:r>
      <w:hyperlink r:id="rId23">
        <w:r>
          <w:rPr>
            <w:rStyle w:val="Hyperlink"/>
          </w:rPr>
          <w:t xml:space="preserve">[27]</w:t>
        </w:r>
      </w:hyperlink>
    </w:p>
    <w:p>
      <w:pPr>
        <w:pStyle w:val="SourceCode"/>
      </w:pPr>
      <w:r>
        <w:rPr>
          <w:rStyle w:val="VerbatimChar"/>
        </w:rPr>
        <w:t xml:space="preserve">timeline</w:t>
      </w:r>
      <w:r>
        <w:br/>
      </w:r>
      <w:r>
        <w:rPr>
          <w:rStyle w:val="VerbatimChar"/>
        </w:rPr>
        <w:t xml:space="preserve">    title Food and Depression Research Milestones</w:t>
      </w:r>
      <w:r>
        <w:br/>
      </w:r>
      <w:r>
        <w:rPr>
          <w:rStyle w:val="VerbatimChar"/>
        </w:rPr>
        <w:t xml:space="preserve">    2006 : Early Mediterranean diet prospective association with depression</w:t>
      </w:r>
      <w:r>
        <w:br/>
      </w:r>
      <w:r>
        <w:rPr>
          <w:rStyle w:val="VerbatimChar"/>
        </w:rPr>
        <w:t xml:space="preserve">    2013 : PREDIMED post hoc signal for lower depression risk in a diabetes subgroup</w:t>
      </w:r>
      <w:r>
        <w:br/>
      </w:r>
      <w:r>
        <w:rPr>
          <w:rStyle w:val="VerbatimChar"/>
        </w:rPr>
        <w:t xml:space="preserve">    2017 : SMILES publishes the first major adjunctive whole-diet RCT in major depression</w:t>
      </w:r>
      <w:r>
        <w:br/>
      </w:r>
      <w:r>
        <w:rPr>
          <w:rStyle w:val="VerbatimChar"/>
        </w:rPr>
        <w:t xml:space="preserve">    2019 : HELFIMED shows benefit for diet plus fish oil</w:t>
      </w:r>
      <w:r>
        <w:br/>
      </w:r>
      <w:r>
        <w:rPr>
          <w:rStyle w:val="VerbatimChar"/>
        </w:rPr>
        <w:t xml:space="preserve">    2019 : MooDFOOD reports null prevention results</w:t>
      </w:r>
      <w:r>
        <w:br/>
      </w:r>
      <w:r>
        <w:rPr>
          <w:rStyle w:val="VerbatimChar"/>
        </w:rPr>
        <w:t xml:space="preserve">    2019 : Firth meta-analysis shows dietary improvement reduces depressive symptoms</w:t>
      </w:r>
      <w:r>
        <w:br/>
      </w:r>
      <w:r>
        <w:rPr>
          <w:rStyle w:val="VerbatimChar"/>
        </w:rPr>
        <w:t xml:space="preserve">    2022 : AMMEND shows benefit in young men with depression</w:t>
      </w:r>
      <w:r>
        <w:br/>
      </w:r>
      <w:r>
        <w:rPr>
          <w:rStyle w:val="VerbatimChar"/>
        </w:rPr>
        <w:t xml:space="preserve">    2022 : Psychobiotic RCTs deepen gut-brain mechanism claims</w:t>
      </w:r>
      <w:r>
        <w:br/>
      </w:r>
      <w:r>
        <w:rPr>
          <w:rStyle w:val="VerbatimChar"/>
        </w:rPr>
        <w:t xml:space="preserve">    2023 : Large prospective UPF cohort links higher UPF intake to incident depression</w:t>
      </w:r>
      <w:r>
        <w:br/>
      </w:r>
      <w:r>
        <w:rPr>
          <w:rStyle w:val="VerbatimChar"/>
        </w:rPr>
        <w:t xml:space="preserve">    2024 : PREDIDEP and CALM extend relapse-prevention and implementation evidence</w:t>
      </w:r>
      <w:r>
        <w:br/>
      </w:r>
      <w:r>
        <w:rPr>
          <w:rStyle w:val="VerbatimChar"/>
        </w:rPr>
        <w:t xml:space="preserve">    2025 : Mediterranean, probiotic, vitamin D, and prospective diet-quality syntheses update the field</w:t>
      </w:r>
    </w:p>
    <w:bookmarkEnd w:id="40"/>
    <w:bookmarkEnd w:id="41"/>
    <w:bookmarkStart w:id="47" w:name="biological-mechanisms"/>
    <w:p>
      <w:pPr>
        <w:pStyle w:val="Heading2"/>
      </w:pPr>
      <w:r>
        <w:t xml:space="preserve">Biological mechanisms</w:t>
      </w:r>
    </w:p>
    <w:p>
      <w:pPr>
        <w:pStyle w:val="FirstParagraph"/>
      </w:pPr>
      <w:r>
        <w:t xml:space="preserve">The most persuasive mechanistic chapter should start with</w:t>
      </w:r>
      <w:r>
        <w:t xml:space="preserve"> </w:t>
      </w:r>
      <w:r>
        <w:rPr>
          <w:b/>
          <w:bCs/>
        </w:rPr>
        <w:t xml:space="preserve">inflammation</w:t>
      </w:r>
      <w:r>
        <w:t xml:space="preserve">, because it connects the epidemiology, the dietary patterns, and a clinically meaningful depression subtype. Recent reviews describe depression not only as a neurotransmitter disorder but also, in some patients, as an</w:t>
      </w:r>
      <w:r>
        <w:t xml:space="preserve"> </w:t>
      </w:r>
      <w:r>
        <w:rPr>
          <w:b/>
          <w:bCs/>
        </w:rPr>
        <w:t xml:space="preserve">immuno-metabolic</w:t>
      </w:r>
      <w:r>
        <w:t xml:space="preserve"> </w:t>
      </w:r>
      <w:r>
        <w:t xml:space="preserve">condition marked by low-grade inflammation, altered cytokine signalling, oxidative stress, and metabolic dysregulation. This model is particularly relevant where depression overlaps with obesity, insulin resistance, fatigue, sleep problems, and physical slowing. It also helps explain why Mediterranean-style and hypocaloric interventions sometimes look stronger in metabolically burdened populations than in generic community samples.</w:t>
      </w:r>
      <w:r>
        <w:t xml:space="preserve"> </w:t>
      </w:r>
      <w:hyperlink r:id="rId42">
        <w:r>
          <w:rPr>
            <w:rStyle w:val="Hyperlink"/>
          </w:rPr>
          <w:t xml:space="preserve">[28]</w:t>
        </w:r>
      </w:hyperlink>
    </w:p>
    <w:p>
      <w:pPr>
        <w:pStyle w:val="BodyText"/>
      </w:pPr>
      <w:r>
        <w:t xml:space="preserve">The second mechanistic pillar is</w:t>
      </w:r>
      <w:r>
        <w:t xml:space="preserve"> </w:t>
      </w:r>
      <w:r>
        <w:rPr>
          <w:b/>
          <w:bCs/>
        </w:rPr>
        <w:t xml:space="preserve">neurotransmitter and one-carbon metabolism</w:t>
      </w:r>
      <w:r>
        <w:t xml:space="preserve">. The modern version of this story should avoid the simplistic “eat serotonin foods” trope. A better formulation is that diet influences the availability of</w:t>
      </w:r>
      <w:r>
        <w:t xml:space="preserve"> </w:t>
      </w:r>
      <w:r>
        <w:rPr>
          <w:b/>
          <w:bCs/>
        </w:rPr>
        <w:t xml:space="preserve">precursors and cofactors</w:t>
      </w:r>
      <w:r>
        <w:t xml:space="preserve"> </w:t>
      </w:r>
      <w:r>
        <w:t xml:space="preserve">used in neurotransmitter synthesis and regulation. Folate and vitamin B12 are relevant because deficiencies are linked to impaired monoamine biosynthesis and higher homocysteine; tryptophan metabolism is relevant because inflammatory states can push tryptophan away from serotonin pathways toward kynurenine-related pathways. That is one reason adjunctive</w:t>
      </w:r>
      <w:r>
        <w:t xml:space="preserve"> </w:t>
      </w:r>
      <w:r>
        <w:rPr>
          <w:b/>
          <w:bCs/>
        </w:rPr>
        <w:t xml:space="preserve">l-methylfolate</w:t>
      </w:r>
      <w:r>
        <w:t xml:space="preserve"> </w:t>
      </w:r>
      <w:r>
        <w:t xml:space="preserve">has a targeted, not universal, role in some depression trials.</w:t>
      </w:r>
      <w:r>
        <w:t xml:space="preserve"> </w:t>
      </w:r>
      <w:hyperlink r:id="rId43">
        <w:r>
          <w:rPr>
            <w:rStyle w:val="Hyperlink"/>
          </w:rPr>
          <w:t xml:space="preserve">[29]</w:t>
        </w:r>
      </w:hyperlink>
    </w:p>
    <w:p>
      <w:pPr>
        <w:pStyle w:val="BodyText"/>
      </w:pPr>
      <w:r>
        <w:t xml:space="preserve">The third pillar is the</w:t>
      </w:r>
      <w:r>
        <w:t xml:space="preserve"> </w:t>
      </w:r>
      <w:r>
        <w:rPr>
          <w:b/>
          <w:bCs/>
        </w:rPr>
        <w:t xml:space="preserve">microbiota–gut–brain axis</w:t>
      </w:r>
      <w:r>
        <w:t xml:space="preserve">. The current literature supports a real biological rationale but only partial clinical translation. Reviews describe bidirectional gut–brain communication via immune pathways, short-chain fatty acids, vagal signalling, endocrine signalling, and microbial modulation of tryptophan and other neuroactive metabolites. A 2022 psychobiotic trial with</w:t>
      </w:r>
      <w:r>
        <w:t xml:space="preserve"> </w:t>
      </w:r>
      <w:r>
        <w:rPr>
          <w:i/>
          <w:iCs/>
        </w:rPr>
        <w:t xml:space="preserve">Bifidobacterium breve</w:t>
      </w:r>
      <w:r>
        <w:t xml:space="preserve"> </w:t>
      </w:r>
      <w:r>
        <w:t xml:space="preserve">CCFM1025 linked symptom improvement to microbiome and tryptophan-metabolism changes, which makes the mechanism concrete enough for book use, but still not mature enough to justify sweeping claims that “fixing gut health cures depression”.</w:t>
      </w:r>
      <w:r>
        <w:t xml:space="preserve"> </w:t>
      </w:r>
      <w:hyperlink r:id="rId44">
        <w:r>
          <w:rPr>
            <w:rStyle w:val="Hyperlink"/>
          </w:rPr>
          <w:t xml:space="preserve">[30]</w:t>
        </w:r>
      </w:hyperlink>
    </w:p>
    <w:p>
      <w:pPr>
        <w:pStyle w:val="BodyText"/>
      </w:pPr>
      <w:r>
        <w:t xml:space="preserve">For the required dietary patterns and nutrient chapters, the evidence can be distilled cleanly:</w:t>
      </w:r>
    </w:p>
    <w:p>
      <w:pPr>
        <w:pStyle w:val="BodyText"/>
      </w:pPr>
      <w:r>
        <w:rPr>
          <w:b/>
          <w:bCs/>
        </w:rPr>
        <w:t xml:space="preserve">Mediterranean diet.</w:t>
      </w:r>
      <w:r>
        <w:t xml:space="preserve"> </w:t>
      </w:r>
      <w:r>
        <w:t xml:space="preserve">This is the strongest overall pattern-level candidate. It repeatedly aligns with lower risk in cohorts and improved symptoms in intervention trials. Its likely advantage is that it changes many biologically relevant exposures at once: fibre, polyphenols, unsaturated fats, glycaemic load, fermented foods, micronutrient density, and UPF displacement.</w:t>
      </w:r>
      <w:r>
        <w:t xml:space="preserve"> </w:t>
      </w:r>
      <w:hyperlink r:id="rId27">
        <w:r>
          <w:rPr>
            <w:rStyle w:val="Hyperlink"/>
          </w:rPr>
          <w:t xml:space="preserve">[31]</w:t>
        </w:r>
      </w:hyperlink>
    </w:p>
    <w:p>
      <w:pPr>
        <w:pStyle w:val="BodyText"/>
      </w:pPr>
      <w:r>
        <w:rPr>
          <w:b/>
          <w:bCs/>
        </w:rPr>
        <w:t xml:space="preserve">Omega-3 fatty acids.</w:t>
      </w:r>
      <w:r>
        <w:t xml:space="preserve"> </w:t>
      </w:r>
      <w:r>
        <w:t xml:space="preserve">Omega-3 is the best-supported adjunctive supplement, especially for</w:t>
      </w:r>
      <w:r>
        <w:t xml:space="preserve"> </w:t>
      </w:r>
      <w:r>
        <w:rPr>
          <w:b/>
          <w:bCs/>
        </w:rPr>
        <w:t xml:space="preserve">existing depression</w:t>
      </w:r>
      <w:r>
        <w:t xml:space="preserve"> </w:t>
      </w:r>
      <w:r>
        <w:t xml:space="preserve">rather than prevention. Recent analyses favour EPA-predominant formulations, with a dose-response shape suggesting benefit around 1–2 g/day and a peak around 1.5 g/day in some analyses. Mechanistically, omega-3 may influence membrane function, inflammatory signalling, and possibly neuroplasticity.</w:t>
      </w:r>
      <w:r>
        <w:t xml:space="preserve"> </w:t>
      </w:r>
      <w:hyperlink r:id="rId24">
        <w:r>
          <w:rPr>
            <w:rStyle w:val="Hyperlink"/>
          </w:rPr>
          <w:t xml:space="preserve">[32]</w:t>
        </w:r>
      </w:hyperlink>
    </w:p>
    <w:p>
      <w:pPr>
        <w:pStyle w:val="BodyText"/>
      </w:pPr>
      <w:r>
        <w:rPr>
          <w:b/>
          <w:bCs/>
        </w:rPr>
        <w:t xml:space="preserve">B vitamins.</w:t>
      </w:r>
      <w:r>
        <w:t xml:space="preserve"> </w:t>
      </w:r>
      <w:r>
        <w:t xml:space="preserve">The book should be careful here. General B-vitamin supplementation is not a universally strong antidepressant strategy, but</w:t>
      </w:r>
      <w:r>
        <w:t xml:space="preserve"> </w:t>
      </w:r>
      <w:r>
        <w:rPr>
          <w:b/>
          <w:bCs/>
        </w:rPr>
        <w:t xml:space="preserve">methylfolate/folate</w:t>
      </w:r>
      <w:r>
        <w:t xml:space="preserve"> </w:t>
      </w:r>
      <w:r>
        <w:t xml:space="preserve">has a narrower, more clinically plausible role as an</w:t>
      </w:r>
      <w:r>
        <w:t xml:space="preserve"> </w:t>
      </w:r>
      <w:r>
        <w:rPr>
          <w:b/>
          <w:bCs/>
        </w:rPr>
        <w:t xml:space="preserve">adjunct</w:t>
      </w:r>
      <w:r>
        <w:t xml:space="preserve"> </w:t>
      </w:r>
      <w:r>
        <w:t xml:space="preserve">to SSRI/SNRI treatment, especially where one-carbon metabolism may be relevant. That is a better story than broad “B vitamins cure mood” messaging.</w:t>
      </w:r>
      <w:r>
        <w:t xml:space="preserve"> </w:t>
      </w:r>
      <w:hyperlink r:id="rId45">
        <w:r>
          <w:rPr>
            <w:rStyle w:val="Hyperlink"/>
          </w:rPr>
          <w:t xml:space="preserve">[33]</w:t>
        </w:r>
      </w:hyperlink>
    </w:p>
    <w:p>
      <w:pPr>
        <w:pStyle w:val="BodyText"/>
      </w:pPr>
      <w:r>
        <w:rPr>
          <w:b/>
          <w:bCs/>
        </w:rPr>
        <w:t xml:space="preserve">Vitamin D.</w:t>
      </w:r>
      <w:r>
        <w:t xml:space="preserve"> </w:t>
      </w:r>
      <w:r>
        <w:t xml:space="preserve">The evidence is mixed but not dismissible. Meta-analyses show overall symptom improvement, especially in some short-term regimens, yet large prevention trials in generally vitamin-D-sufficient older adults have not shown clear population-wide prevention effects. That supports a chapter framed around</w:t>
      </w:r>
      <w:r>
        <w:t xml:space="preserve"> </w:t>
      </w:r>
      <w:r>
        <w:rPr>
          <w:b/>
          <w:bCs/>
        </w:rPr>
        <w:t xml:space="preserve">deficiency correction and personalised adjunctive use</w:t>
      </w:r>
      <w:r>
        <w:t xml:space="preserve">, not universal supplementation.</w:t>
      </w:r>
      <w:r>
        <w:t xml:space="preserve"> </w:t>
      </w:r>
      <w:hyperlink r:id="rId38">
        <w:r>
          <w:rPr>
            <w:rStyle w:val="Hyperlink"/>
          </w:rPr>
          <w:t xml:space="preserve">[34]</w:t>
        </w:r>
      </w:hyperlink>
    </w:p>
    <w:p>
      <w:pPr>
        <w:pStyle w:val="BodyText"/>
      </w:pPr>
      <w:r>
        <w:rPr>
          <w:b/>
          <w:bCs/>
        </w:rPr>
        <w:t xml:space="preserve">Probiotics.</w:t>
      </w:r>
      <w:r>
        <w:t xml:space="preserve"> </w:t>
      </w:r>
      <w:r>
        <w:t xml:space="preserve">The field is promising, rapidly growing, and vulnerable to overstatement. Meta-analyses in clinical populations report symptom reductions, but trial heterogeneity is high and effects are</w:t>
      </w:r>
      <w:r>
        <w:t xml:space="preserve"> </w:t>
      </w:r>
      <w:r>
        <w:rPr>
          <w:b/>
          <w:bCs/>
        </w:rPr>
        <w:t xml:space="preserve">strain-specific</w:t>
      </w:r>
      <w:r>
        <w:t xml:space="preserve">, not category-wide. This chapter should therefore distinguish between “probiotics as a promising adjunctive class” and “specific psychobiotic products that have actually been tested”.</w:t>
      </w:r>
      <w:r>
        <w:t xml:space="preserve"> </w:t>
      </w:r>
      <w:hyperlink r:id="rId39">
        <w:r>
          <w:rPr>
            <w:rStyle w:val="Hyperlink"/>
          </w:rPr>
          <w:t xml:space="preserve">[35]</w:t>
        </w:r>
      </w:hyperlink>
    </w:p>
    <w:p>
      <w:pPr>
        <w:pStyle w:val="BodyText"/>
      </w:pPr>
      <w:r>
        <w:rPr>
          <w:b/>
          <w:bCs/>
        </w:rPr>
        <w:t xml:space="preserve">Sugar.</w:t>
      </w:r>
      <w:r>
        <w:t xml:space="preserve"> </w:t>
      </w:r>
      <w:r>
        <w:t xml:space="preserve">There is enough evidence to argue that high sugar consumption is associated with higher depression risk, but causality is less secure than in a nutrient-deficiency model. This chapter should connect sugar with glycaemic volatility, inflammatory signalling, hedonic eating loops, and the tendency of distress to drive sweet preference in the opposite direction. In other words, it is a classic</w:t>
      </w:r>
      <w:r>
        <w:t xml:space="preserve"> </w:t>
      </w:r>
      <w:r>
        <w:rPr>
          <w:b/>
          <w:bCs/>
        </w:rPr>
        <w:t xml:space="preserve">bidirectional</w:t>
      </w:r>
      <w:r>
        <w:t xml:space="preserve"> </w:t>
      </w:r>
      <w:r>
        <w:t xml:space="preserve">topic.</w:t>
      </w:r>
      <w:r>
        <w:t xml:space="preserve"> </w:t>
      </w:r>
      <w:hyperlink r:id="rId46">
        <w:r>
          <w:rPr>
            <w:rStyle w:val="Hyperlink"/>
          </w:rPr>
          <w:t xml:space="preserve">[36]</w:t>
        </w:r>
      </w:hyperlink>
    </w:p>
    <w:p>
      <w:pPr>
        <w:pStyle w:val="BodyText"/>
      </w:pPr>
      <w:r>
        <w:rPr>
          <w:b/>
          <w:bCs/>
        </w:rPr>
        <w:t xml:space="preserve">Ultra-processed foods.</w:t>
      </w:r>
      <w:r>
        <w:t xml:space="preserve"> </w:t>
      </w:r>
      <w:r>
        <w:t xml:space="preserve">This is one of the strongest modern public-health chapters because it links dietary pattern, food environment, and mechanism. The best cohort evidence shows higher depression risk with greater UPF intake, while broader umbrella evidence links UPF exposure to common mental disorder outcomes more generally. For a reader, this is more intelligible than a long supplement chapter.</w:t>
      </w:r>
      <w:r>
        <w:t xml:space="preserve"> </w:t>
      </w:r>
      <w:hyperlink r:id="rId21">
        <w:r>
          <w:rPr>
            <w:rStyle w:val="Hyperlink"/>
          </w:rPr>
          <w:t xml:space="preserve">[37]</w:t>
        </w:r>
      </w:hyperlink>
    </w:p>
    <w:bookmarkEnd w:id="47"/>
    <w:bookmarkStart w:id="49" w:name="clinical-applications"/>
    <w:p>
      <w:pPr>
        <w:pStyle w:val="Heading2"/>
      </w:pPr>
      <w:r>
        <w:t xml:space="preserve">Clinical applications</w:t>
      </w:r>
    </w:p>
    <w:p>
      <w:pPr>
        <w:pStyle w:val="FirstParagraph"/>
      </w:pPr>
      <w:r>
        <w:t xml:space="preserve">The safest and most evidence-aligned clinical message is:</w:t>
      </w:r>
      <w:r>
        <w:t xml:space="preserve"> </w:t>
      </w:r>
      <w:r>
        <w:rPr>
          <w:b/>
          <w:bCs/>
        </w:rPr>
        <w:t xml:space="preserve">food-first, pattern-first, adjunctive-first</w:t>
      </w:r>
      <w:r>
        <w:t xml:space="preserve">. The diet literature does</w:t>
      </w:r>
      <w:r>
        <w:t xml:space="preserve"> </w:t>
      </w:r>
      <w:r>
        <w:rPr>
          <w:b/>
          <w:bCs/>
        </w:rPr>
        <w:t xml:space="preserve">not</w:t>
      </w:r>
      <w:r>
        <w:t xml:space="preserve"> </w:t>
      </w:r>
      <w:r>
        <w:t xml:space="preserve">justify telling readers to stop psychotherapy or antidepressants and “treat depression with food instead”. The best trials used nutrition</w:t>
      </w:r>
      <w:r>
        <w:t xml:space="preserve"> </w:t>
      </w:r>
      <w:r>
        <w:rPr>
          <w:b/>
          <w:bCs/>
        </w:rPr>
        <w:t xml:space="preserve">alongside</w:t>
      </w:r>
      <w:r>
        <w:t xml:space="preserve"> </w:t>
      </w:r>
      <w:r>
        <w:t xml:space="preserve">usual care, and even strong positive trials such as SMILES and AMMEND were relatively small. Recent lifestyle-delivery work suggests that structured lifestyle therapy can be clinically competitive with psychotherapy in non-severe depression, but that evidence includes exercise and behaviour change, not food alone.</w:t>
      </w:r>
      <w:r>
        <w:t xml:space="preserve"> </w:t>
      </w:r>
      <w:hyperlink r:id="rId23">
        <w:r>
          <w:rPr>
            <w:rStyle w:val="Hyperlink"/>
          </w:rPr>
          <w:t xml:space="preserve">[38]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Intervention</w:t>
            </w:r>
          </w:p>
        </w:tc>
        <w:tc>
          <w:tcPr/>
          <w:p>
            <w:pPr>
              <w:pStyle w:val="Compact"/>
            </w:pPr>
            <w:r>
              <w:t xml:space="preserve">Practical use in a book</w:t>
            </w:r>
          </w:p>
        </w:tc>
        <w:tc>
          <w:tcPr/>
          <w:p>
            <w:pPr>
              <w:pStyle w:val="Compact"/>
            </w:pPr>
            <w:r>
              <w:t xml:space="preserve">Dosing or delivery signal from the literature</w:t>
            </w:r>
          </w:p>
        </w:tc>
        <w:tc>
          <w:tcPr/>
          <w:p>
            <w:pPr>
              <w:pStyle w:val="Compact"/>
            </w:pPr>
            <w:r>
              <w:t xml:space="preserve">Safety and contraindication framing for the manuscript</w:t>
            </w:r>
          </w:p>
        </w:tc>
        <w:tc>
          <w:tcPr/>
          <w:p>
            <w:pPr>
              <w:pStyle w:val="Compact"/>
            </w:pPr>
            <w:r>
              <w:t xml:space="preserve">Source</w:t>
            </w:r>
          </w:p>
        </w:tc>
      </w:tr>
      <w:tr>
        <w:tc>
          <w:tcPr/>
          <w:p>
            <w:pPr>
              <w:pStyle w:val="Compact"/>
            </w:pPr>
            <w:r>
              <w:t xml:space="preserve">Mediterranean-style dietary counselling</w:t>
            </w:r>
          </w:p>
        </w:tc>
        <w:tc>
          <w:tcPr/>
          <w:p>
            <w:pPr>
              <w:pStyle w:val="Compact"/>
            </w:pPr>
            <w:r>
              <w:t xml:space="preserve">Put this at the centre of clinical chapters</w:t>
            </w:r>
          </w:p>
        </w:tc>
        <w:tc>
          <w:tcPr/>
          <w:p>
            <w:pPr>
              <w:pStyle w:val="Compact"/>
            </w:pPr>
            <w:r>
              <w:t xml:space="preserve">SMILES used</w:t>
            </w:r>
            <w:r>
              <w:t xml:space="preserve"> </w:t>
            </w:r>
            <w:r>
              <w:rPr>
                <w:b/>
                <w:bCs/>
              </w:rPr>
              <w:t xml:space="preserve">7 dietitian sessions over 12 weeks</w:t>
            </w:r>
            <w:r>
              <w:t xml:space="preserve">; HELFIMED used food hampers/workshops; AMMEND used 3 appointments across 12 weeks</w:t>
            </w:r>
          </w:p>
        </w:tc>
        <w:tc>
          <w:tcPr/>
          <w:p>
            <w:pPr>
              <w:pStyle w:val="Compact"/>
            </w:pPr>
            <w:r>
              <w:t xml:space="preserve">Generally low-risk, but trials often excluded unstable medical illness, pregnancy-specific complexity, severe allergy/intolerance, and major dietary barriers; frame as personalised, not universal</w:t>
            </w:r>
          </w:p>
        </w:tc>
        <w:tc>
          <w:tcPr/>
          <w:p>
            <w:pPr>
              <w:pStyle w:val="Compact"/>
            </w:pPr>
            <w:hyperlink r:id="rId23">
              <w:r>
                <w:rPr>
                  <w:rStyle w:val="Hyperlink"/>
                </w:rPr>
                <w:t xml:space="preserve">[39]</w:t>
              </w:r>
            </w:hyperlink>
          </w:p>
        </w:tc>
      </w:tr>
      <w:tr>
        <w:tc>
          <w:tcPr/>
          <w:p>
            <w:pPr>
              <w:pStyle w:val="Compact"/>
            </w:pPr>
            <w:r>
              <w:t xml:space="preserve">Omega-3 adjunctive supplementation</w:t>
            </w:r>
          </w:p>
        </w:tc>
        <w:tc>
          <w:tcPr/>
          <w:p>
            <w:pPr>
              <w:pStyle w:val="Compact"/>
            </w:pPr>
            <w:r>
              <w:t xml:space="preserve">Most defensible supplement chapter</w:t>
            </w:r>
          </w:p>
        </w:tc>
        <w:tc>
          <w:tcPr/>
          <w:p>
            <w:pPr>
              <w:pStyle w:val="Compact"/>
            </w:pPr>
            <w:r>
              <w:t xml:space="preserve">Meta-analytic dose-response suggests best symptom benefit around</w:t>
            </w:r>
            <w:r>
              <w:t xml:space="preserve"> </w:t>
            </w:r>
            <w:r>
              <w:rPr>
                <w:b/>
                <w:bCs/>
              </w:rPr>
              <w:t xml:space="preserve">1.5 g/day</w:t>
            </w:r>
            <w:r>
              <w:t xml:space="preserve">; guideline-oriented literature commonly discusses</w:t>
            </w:r>
            <w:r>
              <w:t xml:space="preserve"> </w:t>
            </w:r>
            <w:r>
              <w:rPr>
                <w:b/>
                <w:bCs/>
              </w:rPr>
              <w:t xml:space="preserve">1–2 g/day EPA-predominant</w:t>
            </w:r>
            <w:r>
              <w:t xml:space="preserve"> </w:t>
            </w:r>
            <w:r>
              <w:t xml:space="preserve">adjunctive use</w:t>
            </w:r>
          </w:p>
        </w:tc>
        <w:tc>
          <w:tcPr/>
          <w:p>
            <w:pPr>
              <w:pStyle w:val="Compact"/>
            </w:pPr>
            <w:r>
              <w:t xml:space="preserve">Present as adjunctive and medication-aware, not self-prescribed megadosing</w:t>
            </w:r>
          </w:p>
        </w:tc>
        <w:tc>
          <w:tcPr/>
          <w:p>
            <w:pPr>
              <w:pStyle w:val="Compact"/>
            </w:pPr>
            <w:hyperlink r:id="rId24">
              <w:r>
                <w:rPr>
                  <w:rStyle w:val="Hyperlink"/>
                </w:rPr>
                <w:t xml:space="preserve">[40]</w:t>
              </w:r>
            </w:hyperlink>
          </w:p>
        </w:tc>
      </w:tr>
      <w:tr>
        <w:tc>
          <w:tcPr/>
          <w:p>
            <w:pPr>
              <w:pStyle w:val="Compact"/>
            </w:pPr>
            <w:r>
              <w:t xml:space="preserve">L-methylfolate or folate adjuncts</w:t>
            </w:r>
          </w:p>
        </w:tc>
        <w:tc>
          <w:tcPr/>
          <w:p>
            <w:pPr>
              <w:pStyle w:val="Compact"/>
            </w:pPr>
            <w:r>
              <w:t xml:space="preserve">Best used in a chapter on targeted augmentation</w:t>
            </w:r>
          </w:p>
        </w:tc>
        <w:tc>
          <w:tcPr/>
          <w:p>
            <w:pPr>
              <w:pStyle w:val="Compact"/>
            </w:pPr>
            <w:r>
              <w:t xml:space="preserve">Strongest RCT signal at</w:t>
            </w:r>
            <w:r>
              <w:t xml:space="preserve"> </w:t>
            </w:r>
            <w:r>
              <w:rPr>
                <w:b/>
                <w:bCs/>
              </w:rPr>
              <w:t xml:space="preserve">15 mg/day l-methylfolate</w:t>
            </w:r>
            <w:r>
              <w:t xml:space="preserve"> </w:t>
            </w:r>
            <w:r>
              <w:t xml:space="preserve">in SSRI-resistant depression</w:t>
            </w:r>
          </w:p>
        </w:tc>
        <w:tc>
          <w:tcPr/>
          <w:p>
            <w:pPr>
              <w:pStyle w:val="Compact"/>
            </w:pPr>
            <w:r>
              <w:t xml:space="preserve">Use as a clinician-supervised augmentation topic; avoid presenting as a universal over-the-counter fix</w:t>
            </w:r>
          </w:p>
        </w:tc>
        <w:tc>
          <w:tcPr/>
          <w:p>
            <w:pPr>
              <w:pStyle w:val="Compact"/>
            </w:pPr>
            <w:hyperlink r:id="rId48">
              <w:r>
                <w:rPr>
                  <w:rStyle w:val="Hyperlink"/>
                </w:rPr>
                <w:t xml:space="preserve">[41]</w:t>
              </w:r>
            </w:hyperlink>
          </w:p>
        </w:tc>
      </w:tr>
      <w:tr>
        <w:tc>
          <w:tcPr/>
          <w:p>
            <w:pPr>
              <w:pStyle w:val="Compact"/>
            </w:pPr>
            <w:r>
              <w:t xml:space="preserve">Vitamin D</w:t>
            </w:r>
          </w:p>
        </w:tc>
        <w:tc>
          <w:tcPr/>
          <w:p>
            <w:pPr>
              <w:pStyle w:val="Compact"/>
            </w:pPr>
            <w:r>
              <w:t xml:space="preserve">Use a “test, don’t guess” framing</w:t>
            </w:r>
          </w:p>
        </w:tc>
        <w:tc>
          <w:tcPr/>
          <w:p>
            <w:pPr>
              <w:pStyle w:val="Compact"/>
            </w:pPr>
            <w:r>
              <w:t xml:space="preserve">Overall symptom meta-analysis positive; some dose-response evidence favours short-term higher-dose regimens; prevention trials in sufficient older adults largely null</w:t>
            </w:r>
          </w:p>
        </w:tc>
        <w:tc>
          <w:tcPr/>
          <w:p>
            <w:pPr>
              <w:pStyle w:val="Compact"/>
            </w:pPr>
            <w:r>
              <w:t xml:space="preserve">Best framed around deficiency correction and clinician-monitored adjunctive use, not blanket supplementation</w:t>
            </w:r>
          </w:p>
        </w:tc>
        <w:tc>
          <w:tcPr/>
          <w:p>
            <w:pPr>
              <w:pStyle w:val="Compact"/>
            </w:pPr>
            <w:hyperlink r:id="rId38">
              <w:r>
                <w:rPr>
                  <w:rStyle w:val="Hyperlink"/>
                </w:rPr>
                <w:t xml:space="preserve">[42]</w:t>
              </w:r>
            </w:hyperlink>
          </w:p>
        </w:tc>
      </w:tr>
      <w:tr>
        <w:tc>
          <w:tcPr/>
          <w:p>
            <w:pPr>
              <w:pStyle w:val="Compact"/>
            </w:pPr>
            <w:r>
              <w:t xml:space="preserve">Probiotics / psychobiotics</w:t>
            </w:r>
          </w:p>
        </w:tc>
        <w:tc>
          <w:tcPr/>
          <w:p>
            <w:pPr>
              <w:pStyle w:val="Compact"/>
            </w:pPr>
            <w:r>
              <w:t xml:space="preserve">Use cautiously and strain-specifically</w:t>
            </w:r>
          </w:p>
        </w:tc>
        <w:tc>
          <w:tcPr/>
          <w:p>
            <w:pPr>
              <w:pStyle w:val="Compact"/>
            </w:pPr>
            <w:r>
              <w:t xml:space="preserve">Effective trials are typically short and product-specific; meta-analyses suggest benefit, but not all products are interchangeable</w:t>
            </w:r>
          </w:p>
        </w:tc>
        <w:tc>
          <w:tcPr/>
          <w:p>
            <w:pPr>
              <w:pStyle w:val="Compact"/>
            </w:pPr>
            <w:r>
              <w:t xml:space="preserve">The book should explicitly warn against treating “probiotics” as a uniform class</w:t>
            </w:r>
          </w:p>
        </w:tc>
        <w:tc>
          <w:tcPr/>
          <w:p>
            <w:pPr>
              <w:pStyle w:val="Compact"/>
            </w:pPr>
            <w:hyperlink r:id="rId39">
              <w:r>
                <w:rPr>
                  <w:rStyle w:val="Hyperlink"/>
                </w:rPr>
                <w:t xml:space="preserve">[43]</w:t>
              </w:r>
            </w:hyperlink>
          </w:p>
        </w:tc>
      </w:tr>
      <w:tr>
        <w:tc>
          <w:tcPr/>
          <w:p>
            <w:pPr>
              <w:pStyle w:val="Compact"/>
            </w:pPr>
            <w:r>
              <w:t xml:space="preserve">Sugar and UPF reduction</w:t>
            </w:r>
          </w:p>
        </w:tc>
        <w:tc>
          <w:tcPr/>
          <w:p>
            <w:pPr>
              <w:pStyle w:val="Compact"/>
            </w:pPr>
            <w:r>
              <w:t xml:space="preserve">High practical value, low hype risk</w:t>
            </w:r>
          </w:p>
        </w:tc>
        <w:tc>
          <w:tcPr/>
          <w:p>
            <w:pPr>
              <w:pStyle w:val="Compact"/>
            </w:pPr>
            <w:r>
              <w:t xml:space="preserve">No supplement dose issue; focus on displacing high-sugar/UPF intake with minimally processed foods</w:t>
            </w:r>
          </w:p>
        </w:tc>
        <w:tc>
          <w:tcPr/>
          <w:p>
            <w:pPr>
              <w:pStyle w:val="Compact"/>
            </w:pPr>
            <w:r>
              <w:t xml:space="preserve">Avoid moralising; emphasise food environment, affordability, and gradual change</w:t>
            </w:r>
          </w:p>
        </w:tc>
        <w:tc>
          <w:tcPr/>
          <w:p>
            <w:pPr>
              <w:pStyle w:val="Compact"/>
            </w:pPr>
            <w:hyperlink r:id="rId21">
              <w:r>
                <w:rPr>
                  <w:rStyle w:val="Hyperlink"/>
                </w:rPr>
                <w:t xml:space="preserve">[44]</w:t>
              </w:r>
            </w:hyperlink>
          </w:p>
        </w:tc>
      </w:tr>
    </w:tbl>
    <w:p>
      <w:pPr>
        <w:pStyle w:val="BodyText"/>
      </w:pPr>
      <w:r>
        <w:t xml:space="preserve">Two cautionary notes belong in the book. First, many diet RCTs under-report</w:t>
      </w:r>
      <w:r>
        <w:t xml:space="preserve"> </w:t>
      </w:r>
      <w:r>
        <w:rPr>
          <w:b/>
          <w:bCs/>
        </w:rPr>
        <w:t xml:space="preserve">formal contraindication data</w:t>
      </w:r>
      <w:r>
        <w:t xml:space="preserve">, because they often exclude medically unstable participants rather than test broad real-world safety. Second, the nutraceutical guideline field is</w:t>
      </w:r>
      <w:r>
        <w:t xml:space="preserve"> </w:t>
      </w:r>
      <w:r>
        <w:rPr>
          <w:b/>
          <w:bCs/>
        </w:rPr>
        <w:t xml:space="preserve">more conservative</w:t>
      </w:r>
      <w:r>
        <w:t xml:space="preserve"> </w:t>
      </w:r>
      <w:r>
        <w:t xml:space="preserve">than social-media nutrition discourse. That contrast will strengthen the book’s credibility if made explicit.</w:t>
      </w:r>
      <w:r>
        <w:t xml:space="preserve"> </w:t>
      </w:r>
      <w:hyperlink r:id="rId23">
        <w:r>
          <w:rPr>
            <w:rStyle w:val="Hyperlink"/>
          </w:rPr>
          <w:t xml:space="preserve">[45]</w:t>
        </w:r>
      </w:hyperlink>
    </w:p>
    <w:bookmarkEnd w:id="49"/>
    <w:bookmarkStart w:id="54" w:name="Xb2b79a91ffd66f787d587720642b8fe9ed5572d"/>
    <w:p>
      <w:pPr>
        <w:pStyle w:val="Heading2"/>
      </w:pPr>
      <w:r>
        <w:t xml:space="preserve">Book architecture, controversies, and appendices</w:t>
      </w:r>
    </w:p>
    <w:p>
      <w:pPr>
        <w:pStyle w:val="FirstParagraph"/>
      </w:pPr>
      <w:r>
        <w:t xml:space="preserve">The key controversies should not be hidden in endnotes. They should be in the main text. The major ones are: reverse causation in observational work; residual confounding by socioeconomic and behavioural factors; difficulty blinding diet trials; expectancy effects and recruitment bias in small studies such as SMILES; heterogeneity across supplement trials; and the likelihood that only some depression subtypes are especially nutrition-responsive. If the book makes these limitations visible, it will read as serious rather than evangelical.</w:t>
      </w:r>
      <w:r>
        <w:t xml:space="preserve"> </w:t>
      </w:r>
      <w:hyperlink r:id="rId27">
        <w:r>
          <w:rPr>
            <w:rStyle w:val="Hyperlink"/>
          </w:rPr>
          <w:t xml:space="preserve">[46]</w:t>
        </w:r>
      </w:hyperlink>
    </w:p>
    <w:p>
      <w:pPr>
        <w:pStyle w:val="BodyText"/>
      </w:pPr>
      <w:r>
        <w:t xml:space="preserve">The strategic editorial choice is to write</w:t>
      </w:r>
      <w:r>
        <w:t xml:space="preserve"> </w:t>
      </w:r>
      <w:r>
        <w:rPr>
          <w:b/>
          <w:bCs/>
        </w:rPr>
        <w:t xml:space="preserve">not</w:t>
      </w:r>
      <w:r>
        <w:t xml:space="preserve"> </w:t>
      </w:r>
      <w:r>
        <w:t xml:space="preserve">“food cures depression”, but rather</w:t>
      </w:r>
      <w:r>
        <w:t xml:space="preserve"> </w:t>
      </w:r>
      <w:r>
        <w:rPr>
          <w:b/>
          <w:bCs/>
        </w:rPr>
        <w:t xml:space="preserve">“food changes the terrain in which depression develops, persists, and is treated”</w:t>
      </w:r>
      <w:r>
        <w:t xml:space="preserve">. That lets the manuscript handle prevention, treatment, relapse, and mechanism without overclaiming.</w:t>
      </w:r>
    </w:p>
    <w:p>
      <w:pPr>
        <w:pStyle w:val="BodyText"/>
      </w:pPr>
      <w:r>
        <w:rPr>
          <w:b/>
          <w:bCs/>
        </w:rPr>
        <w:t xml:space="preserve">Assumed book position.</w:t>
      </w:r>
      <w:r>
        <w:t xml:space="preserve"> </w:t>
      </w:r>
      <w:r>
        <w:t xml:space="preserve">General-reader narrative non-fiction, approximately 70,000–85,000 words, UK/Irish/US market, accessible but analytically hard-edged, with composite case studies rather than inspirational testimonials.</w:t>
      </w:r>
    </w:p>
    <w:bookmarkStart w:id="52" w:name="chapter-by-chapter-outline"/>
    <w:p>
      <w:pPr>
        <w:pStyle w:val="Heading3"/>
      </w:pPr>
      <w:r>
        <w:t xml:space="preserve">Chapter-by-chapter outline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Suggested chapter title</w:t>
            </w:r>
          </w:p>
        </w:tc>
        <w:tc>
          <w:tcPr/>
          <w:p>
            <w:pPr>
              <w:pStyle w:val="Compact"/>
            </w:pPr>
            <w:r>
              <w:t xml:space="preserve">Key points</w:t>
            </w:r>
          </w:p>
        </w:tc>
        <w:tc>
          <w:tcPr/>
          <w:p>
            <w:pPr>
              <w:pStyle w:val="Compact"/>
            </w:pPr>
            <w:r>
              <w:t xml:space="preserve">Composite case study idea</w:t>
            </w:r>
          </w:p>
        </w:tc>
        <w:tc>
          <w:tcPr/>
          <w:p>
            <w:pPr>
              <w:pStyle w:val="Compact"/>
            </w:pPr>
            <w:r>
              <w:t xml:space="preserve">Representative references</w:t>
            </w:r>
          </w:p>
        </w:tc>
      </w:tr>
      <w:tr>
        <w:tc>
          <w:tcPr/>
          <w:p>
            <w:pPr>
              <w:pStyle w:val="Compact"/>
            </w:pPr>
            <w:r>
              <w:t xml:space="preserve">Why food belongs in a depression book</w:t>
            </w:r>
          </w:p>
        </w:tc>
        <w:tc>
          <w:tcPr/>
          <w:p>
            <w:pPr>
              <w:pStyle w:val="Compact"/>
            </w:pPr>
            <w:r>
              <w:t xml:space="preserve">Open with burden, recurrence, and why psychiatry can no longer ignore diet</w:t>
            </w:r>
          </w:p>
        </w:tc>
        <w:tc>
          <w:tcPr/>
          <w:p>
            <w:pPr>
              <w:pStyle w:val="Compact"/>
            </w:pPr>
            <w:r>
              <w:t xml:space="preserve">A reader with recurrent depression who has tried medication and therapy but never had a structured diet review</w:t>
            </w:r>
          </w:p>
        </w:tc>
        <w:tc>
          <w:tcPr/>
          <w:p>
            <w:pPr>
              <w:pStyle w:val="Compact"/>
            </w:pPr>
            <w:r>
              <w:t xml:space="preserve">WHO fact sheet; healthy dietary indices review; Firth RCT meta</w:t>
            </w:r>
            <w:r>
              <w:t xml:space="preserve"> </w:t>
            </w:r>
            <w:hyperlink r:id="rId22">
              <w:r>
                <w:rPr>
                  <w:rStyle w:val="Hyperlink"/>
                </w:rPr>
                <w:t xml:space="preserve">[47]</w:t>
              </w:r>
            </w:hyperlink>
          </w:p>
        </w:tc>
      </w:tr>
      <w:tr>
        <w:tc>
          <w:tcPr/>
          <w:p>
            <w:pPr>
              <w:pStyle w:val="Compact"/>
            </w:pPr>
            <w:r>
              <w:t xml:space="preserve">What depression is and is not</w:t>
            </w:r>
          </w:p>
        </w:tc>
        <w:tc>
          <w:tcPr/>
          <w:p>
            <w:pPr>
              <w:pStyle w:val="Compact"/>
            </w:pPr>
            <w:r>
              <w:t xml:space="preserve">Define syndrome, heterogeneity, recurrence, and why “depression” is not one mechanism</w:t>
            </w:r>
          </w:p>
        </w:tc>
        <w:tc>
          <w:tcPr/>
          <w:p>
            <w:pPr>
              <w:pStyle w:val="Compact"/>
            </w:pPr>
            <w:r>
              <w:t xml:space="preserve">Two patients with similar PHQ/BDI severity but very different metabolic and behavioural profiles</w:t>
            </w:r>
          </w:p>
        </w:tc>
        <w:tc>
          <w:tcPr/>
          <w:p>
            <w:pPr>
              <w:pStyle w:val="Compact"/>
            </w:pPr>
            <w:r>
              <w:t xml:space="preserve">WHO; immuno-metabolic depression review</w:t>
            </w:r>
            <w:r>
              <w:t xml:space="preserve"> </w:t>
            </w:r>
            <w:hyperlink r:id="rId22">
              <w:r>
                <w:rPr>
                  <w:rStyle w:val="Hyperlink"/>
                </w:rPr>
                <w:t xml:space="preserve">[48]</w:t>
              </w:r>
            </w:hyperlink>
          </w:p>
        </w:tc>
      </w:tr>
      <w:tr>
        <w:tc>
          <w:tcPr/>
          <w:p>
            <w:pPr>
              <w:pStyle w:val="Compact"/>
            </w:pPr>
            <w:r>
              <w:t xml:space="preserve">How researchers study food and mood</w:t>
            </w:r>
          </w:p>
        </w:tc>
        <w:tc>
          <w:tcPr/>
          <w:p>
            <w:pPr>
              <w:pStyle w:val="Compact"/>
            </w:pPr>
            <w:r>
              <w:t xml:space="preserve">Explain cohort studies, RCTs, meta-analyses, bias, adherence, and reverse causation</w:t>
            </w:r>
          </w:p>
        </w:tc>
        <w:tc>
          <w:tcPr/>
          <w:p>
            <w:pPr>
              <w:pStyle w:val="Compact"/>
            </w:pPr>
            <w:r>
              <w:t xml:space="preserve">A journalist misreads an association study as proof of causality</w:t>
            </w:r>
          </w:p>
        </w:tc>
        <w:tc>
          <w:tcPr/>
          <w:p>
            <w:pPr>
              <w:pStyle w:val="Compact"/>
            </w:pPr>
            <w:r>
              <w:t xml:space="preserve">Lassale 2019; umbrella review; SMILES criticism</w:t>
            </w:r>
            <w:r>
              <w:t xml:space="preserve"> </w:t>
            </w:r>
            <w:hyperlink r:id="rId27">
              <w:r>
                <w:rPr>
                  <w:rStyle w:val="Hyperlink"/>
                </w:rPr>
                <w:t xml:space="preserve">[49]</w:t>
              </w:r>
            </w:hyperlink>
          </w:p>
        </w:tc>
      </w:tr>
      <w:tr>
        <w:tc>
          <w:tcPr/>
          <w:p>
            <w:pPr>
              <w:pStyle w:val="Compact"/>
            </w:pPr>
            <w:r>
              <w:t xml:space="preserve">The Mediterranean diet chapter</w:t>
            </w:r>
          </w:p>
        </w:tc>
        <w:tc>
          <w:tcPr/>
          <w:p>
            <w:pPr>
              <w:pStyle w:val="Compact"/>
            </w:pPr>
            <w:r>
              <w:t xml:space="preserve">Present SMILES, HELFIMED, AMMEND, and PREDIDEP as the most coherent treatment storyline</w:t>
            </w:r>
          </w:p>
        </w:tc>
        <w:tc>
          <w:tcPr/>
          <w:p>
            <w:pPr>
              <w:pStyle w:val="Compact"/>
            </w:pPr>
            <w:r>
              <w:t xml:space="preserve">A patient shifts from high-UPF convenience foods to a Mediterranean-style pattern over 12 weeks</w:t>
            </w:r>
          </w:p>
        </w:tc>
        <w:tc>
          <w:tcPr/>
          <w:p>
            <w:pPr>
              <w:pStyle w:val="Compact"/>
            </w:pPr>
            <w:r>
              <w:t xml:space="preserve">SMILES; HELFIMED; AMMEND; Mediterranean RCT meta</w:t>
            </w:r>
            <w:r>
              <w:t xml:space="preserve"> </w:t>
            </w:r>
            <w:hyperlink r:id="rId23">
              <w:r>
                <w:rPr>
                  <w:rStyle w:val="Hyperlink"/>
                </w:rPr>
                <w:t xml:space="preserve">[50]</w:t>
              </w:r>
            </w:hyperlink>
          </w:p>
        </w:tc>
      </w:tr>
      <w:tr>
        <w:tc>
          <w:tcPr/>
          <w:p>
            <w:pPr>
              <w:pStyle w:val="Compact"/>
            </w:pPr>
            <w:r>
              <w:t xml:space="preserve">Inflammation and the immuno-metabolic subtype</w:t>
            </w:r>
          </w:p>
        </w:tc>
        <w:tc>
          <w:tcPr/>
          <w:p>
            <w:pPr>
              <w:pStyle w:val="Compact"/>
            </w:pPr>
            <w:r>
              <w:t xml:space="preserve">Connect obesity, insulin resistance, inflammation, fatigue, and diet-responsive depression</w:t>
            </w:r>
          </w:p>
        </w:tc>
        <w:tc>
          <w:tcPr/>
          <w:p>
            <w:pPr>
              <w:pStyle w:val="Compact"/>
            </w:pPr>
            <w:r>
              <w:t xml:space="preserve">A reader with depression plus obesity and poor sleep whose symptoms map onto an inflammatory profile</w:t>
            </w:r>
          </w:p>
        </w:tc>
        <w:tc>
          <w:tcPr/>
          <w:p>
            <w:pPr>
              <w:pStyle w:val="Compact"/>
            </w:pPr>
            <w:r>
              <w:t xml:space="preserve">Inflammation review; immuno-metabolic depression; Paris 2024</w:t>
            </w:r>
            <w:r>
              <w:t xml:space="preserve"> </w:t>
            </w:r>
            <w:hyperlink r:id="rId42">
              <w:r>
                <w:rPr>
                  <w:rStyle w:val="Hyperlink"/>
                </w:rPr>
                <w:t xml:space="preserve">[28]</w:t>
              </w:r>
            </w:hyperlink>
          </w:p>
        </w:tc>
      </w:tr>
      <w:tr>
        <w:tc>
          <w:tcPr/>
          <w:p>
            <w:pPr>
              <w:pStyle w:val="Compact"/>
            </w:pPr>
            <w:r>
              <w:t xml:space="preserve">The gut–brain axis without hype</w:t>
            </w:r>
          </w:p>
        </w:tc>
        <w:tc>
          <w:tcPr/>
          <w:p>
            <w:pPr>
              <w:pStyle w:val="Compact"/>
            </w:pPr>
            <w:r>
              <w:t xml:space="preserve">Explain microbes, fibre, fermentation, vagal and immune signalling, and what is still speculative</w:t>
            </w:r>
          </w:p>
        </w:tc>
        <w:tc>
          <w:tcPr/>
          <w:p>
            <w:pPr>
              <w:pStyle w:val="Compact"/>
            </w:pPr>
            <w:r>
              <w:t xml:space="preserve">A patient with IBS and depression exploring why gut symptoms and mood worsen together</w:t>
            </w:r>
          </w:p>
        </w:tc>
        <w:tc>
          <w:tcPr/>
          <w:p>
            <w:pPr>
              <w:pStyle w:val="Compact"/>
            </w:pPr>
            <w:r>
              <w:t xml:space="preserve">Gut–brain reviews; psychobiotic RCT; probiotic meta-analysis</w:t>
            </w:r>
            <w:r>
              <w:t xml:space="preserve"> </w:t>
            </w:r>
            <w:hyperlink r:id="rId50">
              <w:r>
                <w:rPr>
                  <w:rStyle w:val="Hyperlink"/>
                </w:rPr>
                <w:t xml:space="preserve">[51]</w:t>
              </w:r>
            </w:hyperlink>
          </w:p>
        </w:tc>
      </w:tr>
      <w:tr>
        <w:tc>
          <w:tcPr/>
          <w:p>
            <w:pPr>
              <w:pStyle w:val="Compact"/>
            </w:pPr>
            <w:r>
              <w:t xml:space="preserve">Nutrients that matter and nutrients that get oversold</w:t>
            </w:r>
          </w:p>
        </w:tc>
        <w:tc>
          <w:tcPr/>
          <w:p>
            <w:pPr>
              <w:pStyle w:val="Compact"/>
            </w:pPr>
            <w:r>
              <w:t xml:space="preserve">Cover omega-3, methylfolate/B12, vitamin D, and why not all supplement stories are equal</w:t>
            </w:r>
          </w:p>
        </w:tc>
        <w:tc>
          <w:tcPr/>
          <w:p>
            <w:pPr>
              <w:pStyle w:val="Compact"/>
            </w:pPr>
            <w:r>
              <w:t xml:space="preserve">A supplement-taking reader who has a drawer full of products but no coherent plan</w:t>
            </w:r>
          </w:p>
        </w:tc>
        <w:tc>
          <w:tcPr/>
          <w:p>
            <w:pPr>
              <w:pStyle w:val="Compact"/>
            </w:pPr>
            <w:r>
              <w:t xml:space="preserve">Omega-3 meta; folate adjunct meta/RCT; vitamin D meta</w:t>
            </w:r>
            <w:r>
              <w:t xml:space="preserve"> </w:t>
            </w:r>
            <w:hyperlink r:id="rId24">
              <w:r>
                <w:rPr>
                  <w:rStyle w:val="Hyperlink"/>
                </w:rPr>
                <w:t xml:space="preserve">[52]</w:t>
              </w:r>
            </w:hyperlink>
          </w:p>
        </w:tc>
      </w:tr>
      <w:tr>
        <w:tc>
          <w:tcPr/>
          <w:p>
            <w:pPr>
              <w:pStyle w:val="Compact"/>
            </w:pPr>
            <w:r>
              <w:t xml:space="preserve">Sugar, ultra-processed food, and the food environment</w:t>
            </w:r>
          </w:p>
        </w:tc>
        <w:tc>
          <w:tcPr/>
          <w:p>
            <w:pPr>
              <w:pStyle w:val="Compact"/>
            </w:pPr>
            <w:r>
              <w:t xml:space="preserve">Show the evidence for harm signals and explain why environment matters as much as willpower</w:t>
            </w:r>
          </w:p>
        </w:tc>
        <w:tc>
          <w:tcPr/>
          <w:p>
            <w:pPr>
              <w:pStyle w:val="Compact"/>
            </w:pPr>
            <w:r>
              <w:t xml:space="preserve">A shift worker whose diet is dominated by convenience foods and sugary drinks</w:t>
            </w:r>
          </w:p>
        </w:tc>
        <w:tc>
          <w:tcPr/>
          <w:p>
            <w:pPr>
              <w:pStyle w:val="Compact"/>
            </w:pPr>
            <w:r>
              <w:t xml:space="preserve">UPF cohort; sugar meta; UPF umbrella review</w:t>
            </w:r>
            <w:r>
              <w:t xml:space="preserve"> </w:t>
            </w:r>
            <w:hyperlink r:id="rId21">
              <w:r>
                <w:rPr>
                  <w:rStyle w:val="Hyperlink"/>
                </w:rPr>
                <w:t xml:space="preserve">[11]</w:t>
              </w:r>
            </w:hyperlink>
          </w:p>
        </w:tc>
      </w:tr>
      <w:tr>
        <w:tc>
          <w:tcPr/>
          <w:p>
            <w:pPr>
              <w:pStyle w:val="Compact"/>
            </w:pPr>
            <w:r>
              <w:t xml:space="preserve">From evidence to clinic and kitchen</w:t>
            </w:r>
          </w:p>
        </w:tc>
        <w:tc>
          <w:tcPr/>
          <w:p>
            <w:pPr>
              <w:pStyle w:val="Compact"/>
            </w:pPr>
            <w:r>
              <w:t xml:space="preserve">Explain how dietitians, GPs, psychiatrists, and therapists can integrate nutritional care</w:t>
            </w:r>
          </w:p>
        </w:tc>
        <w:tc>
          <w:tcPr/>
          <w:p>
            <w:pPr>
              <w:pStyle w:val="Compact"/>
            </w:pPr>
            <w:r>
              <w:t xml:space="preserve">A primary-care pathway with medication, therapy, and dietary counselling combined</w:t>
            </w:r>
          </w:p>
        </w:tc>
        <w:tc>
          <w:tcPr/>
          <w:p>
            <w:pPr>
              <w:pStyle w:val="Compact"/>
            </w:pPr>
            <w:r>
              <w:t xml:space="preserve">CANMAT/WFSBP guidance; CALM trial</w:t>
            </w:r>
            <w:r>
              <w:t xml:space="preserve"> </w:t>
            </w:r>
            <w:hyperlink r:id="rId25">
              <w:r>
                <w:rPr>
                  <w:rStyle w:val="Hyperlink"/>
                </w:rPr>
                <w:t xml:space="preserve">[53]</w:t>
              </w:r>
            </w:hyperlink>
          </w:p>
        </w:tc>
      </w:tr>
      <w:tr>
        <w:tc>
          <w:tcPr/>
          <w:p>
            <w:pPr>
              <w:pStyle w:val="Compact"/>
            </w:pPr>
            <w:r>
              <w:t xml:space="preserve">Relapse prevention and recurrence</w:t>
            </w:r>
          </w:p>
        </w:tc>
        <w:tc>
          <w:tcPr/>
          <w:p>
            <w:pPr>
              <w:pStyle w:val="Compact"/>
            </w:pPr>
            <w:r>
              <w:t xml:space="preserve">Discuss long-term change, relapse, maintenance, and why prevention evidence is tougher than treatment evidence</w:t>
            </w:r>
          </w:p>
        </w:tc>
        <w:tc>
          <w:tcPr/>
          <w:p>
            <w:pPr>
              <w:pStyle w:val="Compact"/>
            </w:pPr>
            <w:r>
              <w:t xml:space="preserve">A patient who improves acutely but struggles to maintain changes at 9 months</w:t>
            </w:r>
          </w:p>
        </w:tc>
        <w:tc>
          <w:tcPr/>
          <w:p>
            <w:pPr>
              <w:pStyle w:val="Compact"/>
            </w:pPr>
            <w:r>
              <w:t xml:space="preserve">MooDFOOD; PREDIDEP; CALM follow-up</w:t>
            </w:r>
            <w:r>
              <w:t xml:space="preserve"> </w:t>
            </w:r>
            <w:hyperlink r:id="rId30">
              <w:r>
                <w:rPr>
                  <w:rStyle w:val="Hyperlink"/>
                </w:rPr>
                <w:t xml:space="preserve">[54]</w:t>
              </w:r>
            </w:hyperlink>
          </w:p>
        </w:tc>
      </w:tr>
      <w:tr>
        <w:tc>
          <w:tcPr/>
          <w:p>
            <w:pPr>
              <w:pStyle w:val="Compact"/>
            </w:pPr>
            <w:r>
              <w:t xml:space="preserve">What science still does not know</w:t>
            </w:r>
          </w:p>
        </w:tc>
        <w:tc>
          <w:tcPr/>
          <w:p>
            <w:pPr>
              <w:pStyle w:val="Compact"/>
            </w:pPr>
            <w:r>
              <w:t xml:space="preserve">End with heterogeneity, personalised nutrition, biomarkers, social determinants, and future trials</w:t>
            </w:r>
          </w:p>
        </w:tc>
        <w:tc>
          <w:tcPr/>
          <w:p>
            <w:pPr>
              <w:pStyle w:val="Compact"/>
            </w:pPr>
            <w:r>
              <w:t xml:space="preserve">A final chapter built around “What would persuade a sceptic?”</w:t>
            </w:r>
          </w:p>
        </w:tc>
        <w:tc>
          <w:tcPr/>
          <w:p>
            <w:pPr>
              <w:pStyle w:val="Compact"/>
            </w:pPr>
            <w:r>
              <w:t xml:space="preserve">SMILES criticism; updated meta-analyses; probiotics/UPF uncertainties</w:t>
            </w:r>
            <w:r>
              <w:t xml:space="preserve"> </w:t>
            </w:r>
            <w:hyperlink r:id="rId51">
              <w:r>
                <w:rPr>
                  <w:rStyle w:val="Hyperlink"/>
                </w:rPr>
                <w:t xml:space="preserve">[55]</w:t>
              </w:r>
            </w:hyperlink>
          </w:p>
        </w:tc>
      </w:tr>
    </w:tbl>
    <w:bookmarkEnd w:id="52"/>
    <w:bookmarkStart w:id="53" w:name="appendix-material"/>
    <w:p>
      <w:pPr>
        <w:pStyle w:val="Heading3"/>
      </w:pPr>
      <w:r>
        <w:t xml:space="preserve">Appendix material</w:t>
      </w:r>
    </w:p>
    <w:p>
      <w:pPr>
        <w:pStyle w:val="FirstParagraph"/>
      </w:pPr>
      <w:r>
        <w:rPr>
          <w:b/>
          <w:bCs/>
        </w:rPr>
        <w:t xml:space="preserve">Suggested reading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Suggested source</w:t>
            </w:r>
          </w:p>
        </w:tc>
      </w:tr>
      <w:tr>
        <w:tc>
          <w:tcPr/>
          <w:p>
            <w:pPr>
              <w:pStyle w:val="Compact"/>
            </w:pPr>
            <w:r>
              <w:t xml:space="preserve">Best early whole-diet RCT</w:t>
            </w:r>
          </w:p>
        </w:tc>
        <w:tc>
          <w:tcPr/>
          <w:p>
            <w:pPr>
              <w:pStyle w:val="Compact"/>
            </w:pPr>
            <w:r>
              <w:t xml:space="preserve">SMILES</w:t>
            </w:r>
            <w:r>
              <w:t xml:space="preserve"> </w:t>
            </w:r>
            <w:hyperlink r:id="rId23">
              <w:r>
                <w:rPr>
                  <w:rStyle w:val="Hyperlink"/>
                </w:rPr>
                <w:t xml:space="preserve">[56]</w:t>
              </w:r>
            </w:hyperlink>
          </w:p>
        </w:tc>
      </w:tr>
      <w:tr>
        <w:tc>
          <w:tcPr/>
          <w:p>
            <w:pPr>
              <w:pStyle w:val="Compact"/>
            </w:pPr>
            <w:r>
              <w:t xml:space="preserve">Best diet-plus-fish-oil RCT</w:t>
            </w:r>
          </w:p>
        </w:tc>
        <w:tc>
          <w:tcPr/>
          <w:p>
            <w:pPr>
              <w:pStyle w:val="Compact"/>
            </w:pPr>
            <w:r>
              <w:t xml:space="preserve">HELFIMED</w:t>
            </w:r>
            <w:r>
              <w:t xml:space="preserve"> </w:t>
            </w:r>
            <w:hyperlink r:id="rId29">
              <w:r>
                <w:rPr>
                  <w:rStyle w:val="Hyperlink"/>
                </w:rPr>
                <w:t xml:space="preserve">[57]</w:t>
              </w:r>
            </w:hyperlink>
          </w:p>
        </w:tc>
      </w:tr>
      <w:tr>
        <w:tc>
          <w:tcPr/>
          <w:p>
            <w:pPr>
              <w:pStyle w:val="Compact"/>
            </w:pPr>
            <w:r>
              <w:t xml:space="preserve">Best young-adult/young-male RCT</w:t>
            </w:r>
          </w:p>
        </w:tc>
        <w:tc>
          <w:tcPr/>
          <w:p>
            <w:pPr>
              <w:pStyle w:val="Compact"/>
            </w:pPr>
            <w:r>
              <w:t xml:space="preserve">AMMEND</w:t>
            </w:r>
            <w:r>
              <w:t xml:space="preserve"> </w:t>
            </w:r>
            <w:hyperlink r:id="rId31">
              <w:r>
                <w:rPr>
                  <w:rStyle w:val="Hyperlink"/>
                </w:rPr>
                <w:t xml:space="preserve">[58]</w:t>
              </w:r>
            </w:hyperlink>
          </w:p>
        </w:tc>
      </w:tr>
      <w:tr>
        <w:tc>
          <w:tcPr/>
          <w:p>
            <w:pPr>
              <w:pStyle w:val="Compact"/>
            </w:pPr>
            <w:r>
              <w:t xml:space="preserve">Most important null prevention trial</w:t>
            </w:r>
          </w:p>
        </w:tc>
        <w:tc>
          <w:tcPr/>
          <w:p>
            <w:pPr>
              <w:pStyle w:val="Compact"/>
            </w:pPr>
            <w:r>
              <w:t xml:space="preserve">MooDFOOD</w:t>
            </w:r>
            <w:r>
              <w:t xml:space="preserve"> </w:t>
            </w:r>
            <w:hyperlink r:id="rId30">
              <w:r>
                <w:rPr>
                  <w:rStyle w:val="Hyperlink"/>
                </w:rPr>
                <w:t xml:space="preserve">[59]</w:t>
              </w:r>
            </w:hyperlink>
          </w:p>
        </w:tc>
      </w:tr>
      <w:tr>
        <w:tc>
          <w:tcPr/>
          <w:p>
            <w:pPr>
              <w:pStyle w:val="Compact"/>
            </w:pPr>
            <w:r>
              <w:t xml:space="preserve">Best broad observational synthesis</w:t>
            </w:r>
          </w:p>
        </w:tc>
        <w:tc>
          <w:tcPr/>
          <w:p>
            <w:pPr>
              <w:pStyle w:val="Compact"/>
            </w:pPr>
            <w:r>
              <w:t xml:space="preserve">Healthy dietary indices and depressive outcomes review</w:t>
            </w:r>
            <w:r>
              <w:t xml:space="preserve"> </w:t>
            </w:r>
            <w:hyperlink r:id="rId27">
              <w:r>
                <w:rPr>
                  <w:rStyle w:val="Hyperlink"/>
                </w:rPr>
                <w:t xml:space="preserve">[18]</w:t>
              </w:r>
            </w:hyperlink>
          </w:p>
        </w:tc>
      </w:tr>
      <w:tr>
        <w:tc>
          <w:tcPr/>
          <w:p>
            <w:pPr>
              <w:pStyle w:val="Compact"/>
            </w:pPr>
            <w:r>
              <w:t xml:space="preserve">Best umbrella review</w:t>
            </w:r>
          </w:p>
        </w:tc>
        <w:tc>
          <w:tcPr/>
          <w:p>
            <w:pPr>
              <w:pStyle w:val="Compact"/>
            </w:pPr>
            <w:r>
              <w:t xml:space="preserve">Xu et al. 2021</w:t>
            </w:r>
            <w:r>
              <w:t xml:space="preserve"> </w:t>
            </w:r>
            <w:hyperlink r:id="rId34">
              <w:r>
                <w:rPr>
                  <w:rStyle w:val="Hyperlink"/>
                </w:rPr>
                <w:t xml:space="preserve">[19]</w:t>
              </w:r>
            </w:hyperlink>
          </w:p>
        </w:tc>
      </w:tr>
      <w:tr>
        <w:tc>
          <w:tcPr/>
          <w:p>
            <w:pPr>
              <w:pStyle w:val="Compact"/>
            </w:pPr>
            <w:r>
              <w:t xml:space="preserve">Best general RCT meta-analysis</w:t>
            </w:r>
          </w:p>
        </w:tc>
        <w:tc>
          <w:tcPr/>
          <w:p>
            <w:pPr>
              <w:pStyle w:val="Compact"/>
            </w:pPr>
            <w:r>
              <w:t xml:space="preserve">Firth et al. 2019</w:t>
            </w:r>
            <w:r>
              <w:t xml:space="preserve"> </w:t>
            </w:r>
            <w:hyperlink r:id="rId35">
              <w:r>
                <w:rPr>
                  <w:rStyle w:val="Hyperlink"/>
                </w:rPr>
                <w:t xml:space="preserve">[60]</w:t>
              </w:r>
            </w:hyperlink>
          </w:p>
        </w:tc>
      </w:tr>
      <w:tr>
        <w:tc>
          <w:tcPr/>
          <w:p>
            <w:pPr>
              <w:pStyle w:val="Compact"/>
            </w:pPr>
            <w:r>
              <w:t xml:space="preserve">Best omega-3 synthesis</w:t>
            </w:r>
          </w:p>
        </w:tc>
        <w:tc>
          <w:tcPr/>
          <w:p>
            <w:pPr>
              <w:pStyle w:val="Compact"/>
            </w:pPr>
            <w:r>
              <w:t xml:space="preserve">Norouziasl et al. 2024</w:t>
            </w:r>
            <w:r>
              <w:t xml:space="preserve"> </w:t>
            </w:r>
            <w:hyperlink r:id="rId24">
              <w:r>
                <w:rPr>
                  <w:rStyle w:val="Hyperlink"/>
                </w:rPr>
                <w:t xml:space="preserve">[23]</w:t>
              </w:r>
            </w:hyperlink>
          </w:p>
        </w:tc>
      </w:tr>
      <w:tr>
        <w:tc>
          <w:tcPr/>
          <w:p>
            <w:pPr>
              <w:pStyle w:val="Compact"/>
            </w:pPr>
            <w:r>
              <w:t xml:space="preserve">Best vitamin D synthesis</w:t>
            </w:r>
          </w:p>
        </w:tc>
        <w:tc>
          <w:tcPr/>
          <w:p>
            <w:pPr>
              <w:pStyle w:val="Compact"/>
            </w:pPr>
            <w:r>
              <w:t xml:space="preserve">Wang et al. 2025 and Ghaemi et al. 2024</w:t>
            </w:r>
            <w:r>
              <w:t xml:space="preserve"> </w:t>
            </w:r>
            <w:hyperlink r:id="rId38">
              <w:r>
                <w:rPr>
                  <w:rStyle w:val="Hyperlink"/>
                </w:rPr>
                <w:t xml:space="preserve">[61]</w:t>
              </w:r>
            </w:hyperlink>
          </w:p>
        </w:tc>
      </w:tr>
      <w:tr>
        <w:tc>
          <w:tcPr/>
          <w:p>
            <w:pPr>
              <w:pStyle w:val="Compact"/>
            </w:pPr>
            <w:r>
              <w:t xml:space="preserve">Best probiotic synthesis</w:t>
            </w:r>
          </w:p>
        </w:tc>
        <w:tc>
          <w:tcPr/>
          <w:p>
            <w:pPr>
              <w:pStyle w:val="Compact"/>
            </w:pPr>
            <w:r>
              <w:t xml:space="preserve">Asad et al. 2025</w:t>
            </w:r>
            <w:r>
              <w:t xml:space="preserve"> </w:t>
            </w:r>
            <w:hyperlink r:id="rId39">
              <w:r>
                <w:rPr>
                  <w:rStyle w:val="Hyperlink"/>
                </w:rPr>
                <w:t xml:space="preserve">[25]</w:t>
              </w:r>
            </w:hyperlink>
          </w:p>
        </w:tc>
      </w:tr>
      <w:tr>
        <w:tc>
          <w:tcPr/>
          <w:p>
            <w:pPr>
              <w:pStyle w:val="Compact"/>
            </w:pPr>
            <w:r>
              <w:t xml:space="preserve">Best UPF cohort</w:t>
            </w:r>
          </w:p>
        </w:tc>
        <w:tc>
          <w:tcPr/>
          <w:p>
            <w:pPr>
              <w:pStyle w:val="Compact"/>
            </w:pPr>
            <w:r>
              <w:t xml:space="preserve">Samuthpongtorn et al. 2023</w:t>
            </w:r>
            <w:r>
              <w:t xml:space="preserve"> </w:t>
            </w:r>
            <w:hyperlink r:id="rId21">
              <w:r>
                <w:rPr>
                  <w:rStyle w:val="Hyperlink"/>
                </w:rPr>
                <w:t xml:space="preserve">[62]</w:t>
              </w:r>
            </w:hyperlink>
          </w:p>
        </w:tc>
      </w:tr>
      <w:tr>
        <w:tc>
          <w:tcPr/>
          <w:p>
            <w:pPr>
              <w:pStyle w:val="Compact"/>
            </w:pPr>
            <w:r>
              <w:t xml:space="preserve">Best clinical nutraceutical guidance</w:t>
            </w:r>
          </w:p>
        </w:tc>
        <w:tc>
          <w:tcPr/>
          <w:p>
            <w:pPr>
              <w:pStyle w:val="Compact"/>
            </w:pPr>
            <w:r>
              <w:t xml:space="preserve">CANMAT/WFSBP 2022 guidance summary</w:t>
            </w:r>
            <w:r>
              <w:t xml:space="preserve"> </w:t>
            </w:r>
            <w:hyperlink r:id="rId25">
              <w:r>
                <w:rPr>
                  <w:rStyle w:val="Hyperlink"/>
                </w:rPr>
                <w:t xml:space="preserve">[63]</w:t>
              </w:r>
            </w:hyperlink>
          </w:p>
        </w:tc>
      </w:tr>
    </w:tbl>
    <w:p>
      <w:pPr>
        <w:pStyle w:val="BodyText"/>
      </w:pPr>
      <w:r>
        <w:rPr>
          <w:b/>
          <w:bCs/>
        </w:rPr>
        <w:t xml:space="preserve">Potential figures and diagrams</w:t>
      </w:r>
    </w:p>
    <w:p>
      <w:pPr>
        <w:pStyle w:val="BodyText"/>
      </w:pPr>
      <w:r>
        <w:t xml:space="preserve">A strong book would benefit from the following original figures:</w:t>
      </w:r>
    </w:p>
    <w:p>
      <w:pPr>
        <w:pStyle w:val="Compact"/>
        <w:numPr>
          <w:ilvl w:val="0"/>
          <w:numId w:val="1001"/>
        </w:numPr>
      </w:pPr>
      <w:r>
        <w:t xml:space="preserve">A one-page</w:t>
      </w:r>
      <w:r>
        <w:t xml:space="preserve"> </w:t>
      </w:r>
      <w:r>
        <w:rPr>
          <w:b/>
          <w:bCs/>
        </w:rPr>
        <w:t xml:space="preserve">evidence ladder</w:t>
      </w:r>
      <w:r>
        <w:t xml:space="preserve">: cohort → RCT → meta-analysis → guideline.</w:t>
      </w:r>
    </w:p>
    <w:p>
      <w:pPr>
        <w:pStyle w:val="Compact"/>
        <w:numPr>
          <w:ilvl w:val="0"/>
          <w:numId w:val="1001"/>
        </w:numPr>
      </w:pPr>
      <w:r>
        <w:t xml:space="preserve">A</w:t>
      </w:r>
      <w:r>
        <w:t xml:space="preserve"> </w:t>
      </w:r>
      <w:r>
        <w:rPr>
          <w:b/>
          <w:bCs/>
        </w:rPr>
        <w:t xml:space="preserve">Mediterranean diet visual</w:t>
      </w:r>
      <w:r>
        <w:t xml:space="preserve"> </w:t>
      </w:r>
      <w:r>
        <w:t xml:space="preserve">showing what actually changes in a depression trial.</w:t>
      </w:r>
    </w:p>
    <w:p>
      <w:pPr>
        <w:pStyle w:val="Compact"/>
        <w:numPr>
          <w:ilvl w:val="0"/>
          <w:numId w:val="1001"/>
        </w:numPr>
      </w:pPr>
      <w:r>
        <w:t xml:space="preserve">A</w:t>
      </w:r>
      <w:r>
        <w:t xml:space="preserve"> </w:t>
      </w:r>
      <w:r>
        <w:rPr>
          <w:b/>
          <w:bCs/>
        </w:rPr>
        <w:t xml:space="preserve">depression subtype map</w:t>
      </w:r>
      <w:r>
        <w:t xml:space="preserve">: classic, atypical, immuno-metabolic, relapse-prone.</w:t>
      </w:r>
    </w:p>
    <w:p>
      <w:pPr>
        <w:pStyle w:val="Compact"/>
        <w:numPr>
          <w:ilvl w:val="0"/>
          <w:numId w:val="1001"/>
        </w:numPr>
      </w:pPr>
      <w:r>
        <w:t xml:space="preserve">An</w:t>
      </w:r>
      <w:r>
        <w:t xml:space="preserve"> </w:t>
      </w:r>
      <w:r>
        <w:rPr>
          <w:b/>
          <w:bCs/>
        </w:rPr>
        <w:t xml:space="preserve">inflammation pathway figure</w:t>
      </w:r>
      <w:r>
        <w:t xml:space="preserve"> </w:t>
      </w:r>
      <w:r>
        <w:t xml:space="preserve">linking diet, adiposity, cytokines, sleep, and mood.</w:t>
      </w:r>
    </w:p>
    <w:p>
      <w:pPr>
        <w:pStyle w:val="Compact"/>
        <w:numPr>
          <w:ilvl w:val="0"/>
          <w:numId w:val="1001"/>
        </w:numPr>
      </w:pPr>
      <w:r>
        <w:t xml:space="preserve">A</w:t>
      </w:r>
      <w:r>
        <w:t xml:space="preserve"> </w:t>
      </w:r>
      <w:r>
        <w:rPr>
          <w:b/>
          <w:bCs/>
        </w:rPr>
        <w:t xml:space="preserve">gut–brain axis diagram</w:t>
      </w:r>
      <w:r>
        <w:t xml:space="preserve"> </w:t>
      </w:r>
      <w:r>
        <w:t xml:space="preserve">with fibre, SCFAs, tryptophan, immune signalling, and vagal routes.</w:t>
      </w:r>
    </w:p>
    <w:p>
      <w:pPr>
        <w:pStyle w:val="Compact"/>
        <w:numPr>
          <w:ilvl w:val="0"/>
          <w:numId w:val="1001"/>
        </w:numPr>
      </w:pPr>
      <w:r>
        <w:t xml:space="preserve">A</w:t>
      </w:r>
      <w:r>
        <w:t xml:space="preserve"> </w:t>
      </w:r>
      <w:r>
        <w:rPr>
          <w:b/>
          <w:bCs/>
        </w:rPr>
        <w:t xml:space="preserve">supplement evidence matrix</w:t>
      </w:r>
      <w:r>
        <w:t xml:space="preserve"> </w:t>
      </w:r>
      <w:r>
        <w:t xml:space="preserve">for omega-3, methylfolate, vitamin D, probiotics.</w:t>
      </w:r>
    </w:p>
    <w:p>
      <w:pPr>
        <w:pStyle w:val="Compact"/>
        <w:numPr>
          <w:ilvl w:val="0"/>
          <w:numId w:val="1001"/>
        </w:numPr>
      </w:pPr>
      <w:r>
        <w:t xml:space="preserve">A</w:t>
      </w:r>
      <w:r>
        <w:t xml:space="preserve"> </w:t>
      </w:r>
      <w:r>
        <w:rPr>
          <w:b/>
          <w:bCs/>
        </w:rPr>
        <w:t xml:space="preserve">harm-exposure figure</w:t>
      </w:r>
      <w:r>
        <w:t xml:space="preserve"> </w:t>
      </w:r>
      <w:r>
        <w:t xml:space="preserve">on sugar and UPFs, separating observational certainty from causal certainty.</w:t>
      </w:r>
    </w:p>
    <w:p>
      <w:pPr>
        <w:pStyle w:val="Compact"/>
        <w:numPr>
          <w:ilvl w:val="0"/>
          <w:numId w:val="1001"/>
        </w:numPr>
      </w:pPr>
      <w:r>
        <w:t xml:space="preserve">A</w:t>
      </w:r>
      <w:r>
        <w:t xml:space="preserve"> </w:t>
      </w:r>
      <w:r>
        <w:rPr>
          <w:b/>
          <w:bCs/>
        </w:rPr>
        <w:t xml:space="preserve">behaviour-change loop</w:t>
      </w:r>
      <w:r>
        <w:t xml:space="preserve"> </w:t>
      </w:r>
      <w:r>
        <w:t xml:space="preserve">linking symptoms, food choice, energy, sleep, and relapse risk.</w:t>
      </w:r>
    </w:p>
    <w:p>
      <w:pPr>
        <w:pStyle w:val="FirstParagraph"/>
      </w:pPr>
      <w:r>
        <w:rPr>
          <w:b/>
          <w:bCs/>
        </w:rPr>
        <w:t xml:space="preserve">Research methods for further original work</w:t>
      </w:r>
    </w:p>
    <w:p>
      <w:pPr>
        <w:pStyle w:val="BodyText"/>
      </w:pPr>
      <w:r>
        <w:t xml:space="preserve">For original book research beyond literature synthesis, the most useful next steps would be:</w:t>
      </w:r>
    </w:p>
    <w:p>
      <w:pPr>
        <w:pStyle w:val="Compact"/>
        <w:numPr>
          <w:ilvl w:val="0"/>
          <w:numId w:val="1002"/>
        </w:numPr>
      </w:pPr>
      <w:r>
        <w:t xml:space="preserve">Build a living evidence library in a reference manager, with tags for</w:t>
      </w:r>
      <w:r>
        <w:t xml:space="preserve"> </w:t>
      </w:r>
      <w:r>
        <w:rPr>
          <w:b/>
          <w:bCs/>
        </w:rPr>
        <w:t xml:space="preserve">risk</w:t>
      </w:r>
      <w:r>
        <w:t xml:space="preserve">,</w:t>
      </w:r>
      <w:r>
        <w:t xml:space="preserve"> </w:t>
      </w:r>
      <w:r>
        <w:rPr>
          <w:b/>
          <w:bCs/>
        </w:rPr>
        <w:t xml:space="preserve">treatment</w:t>
      </w:r>
      <w:r>
        <w:t xml:space="preserve">,</w:t>
      </w:r>
      <w:r>
        <w:t xml:space="preserve"> </w:t>
      </w:r>
      <w:r>
        <w:rPr>
          <w:b/>
          <w:bCs/>
        </w:rPr>
        <w:t xml:space="preserve">mechanism</w:t>
      </w:r>
      <w:r>
        <w:t xml:space="preserve">,</w:t>
      </w:r>
      <w:r>
        <w:t xml:space="preserve"> </w:t>
      </w:r>
      <w:r>
        <w:rPr>
          <w:b/>
          <w:bCs/>
        </w:rPr>
        <w:t xml:space="preserve">supplements</w:t>
      </w:r>
      <w:r>
        <w:t xml:space="preserve">,</w:t>
      </w:r>
      <w:r>
        <w:t xml:space="preserve"> </w:t>
      </w:r>
      <w:r>
        <w:rPr>
          <w:b/>
          <w:bCs/>
        </w:rPr>
        <w:t xml:space="preserve">UPF/sugar</w:t>
      </w:r>
      <w:r>
        <w:t xml:space="preserve">, and</w:t>
      </w:r>
      <w:r>
        <w:t xml:space="preserve"> </w:t>
      </w:r>
      <w:r>
        <w:rPr>
          <w:b/>
          <w:bCs/>
        </w:rPr>
        <w:t xml:space="preserve">relapse</w:t>
      </w:r>
      <w:r>
        <w:t xml:space="preserve">.</w:t>
      </w:r>
    </w:p>
    <w:p>
      <w:pPr>
        <w:pStyle w:val="Compact"/>
        <w:numPr>
          <w:ilvl w:val="0"/>
          <w:numId w:val="1002"/>
        </w:numPr>
      </w:pPr>
      <w:r>
        <w:t xml:space="preserve">Run a formal PRISMA-style update every 6 months until manuscript lock, because the field is moving quickly.</w:t>
      </w:r>
    </w:p>
    <w:p>
      <w:pPr>
        <w:pStyle w:val="Compact"/>
        <w:numPr>
          <w:ilvl w:val="0"/>
          <w:numId w:val="1002"/>
        </w:numPr>
      </w:pPr>
      <w:r>
        <w:t xml:space="preserve">Conduct expert interviews with one psychiatrist, one dietitian, one microbiome researcher, and one sceptical methodologist.</w:t>
      </w:r>
    </w:p>
    <w:p>
      <w:pPr>
        <w:pStyle w:val="Compact"/>
        <w:numPr>
          <w:ilvl w:val="0"/>
          <w:numId w:val="1002"/>
        </w:numPr>
      </w:pPr>
      <w:r>
        <w:t xml:space="preserve">Use</w:t>
      </w:r>
      <w:r>
        <w:t xml:space="preserve"> </w:t>
      </w:r>
      <w:r>
        <w:rPr>
          <w:b/>
          <w:bCs/>
        </w:rPr>
        <w:t xml:space="preserve">composite patient cases</w:t>
      </w:r>
      <w:r>
        <w:t xml:space="preserve"> </w:t>
      </w:r>
      <w:r>
        <w:t xml:space="preserve">derived from clinical patterns rather than anecdotal miracle stories.</w:t>
      </w:r>
    </w:p>
    <w:p>
      <w:pPr>
        <w:pStyle w:val="Compact"/>
        <w:numPr>
          <w:ilvl w:val="0"/>
          <w:numId w:val="1002"/>
        </w:numPr>
      </w:pPr>
      <w:r>
        <w:t xml:space="preserve">Include a short methods appendix in the book explaining how evidence was graded, so readers see why some chapters are stronger than others.</w:t>
      </w:r>
    </w:p>
    <w:p>
      <w:pPr>
        <w:pStyle w:val="Compact"/>
        <w:numPr>
          <w:ilvl w:val="0"/>
          <w:numId w:val="1002"/>
        </w:numPr>
      </w:pPr>
      <w:r>
        <w:t xml:space="preserve">If you want a distinctive angle, commission or conduct a small set of interviews on</w:t>
      </w:r>
      <w:r>
        <w:t xml:space="preserve"> </w:t>
      </w:r>
      <w:r>
        <w:rPr>
          <w:b/>
          <w:bCs/>
        </w:rPr>
        <w:t xml:space="preserve">food access, appetite change, anhedonia, and daily eating in depression</w:t>
      </w:r>
      <w:r>
        <w:t xml:space="preserve">, because lived-experience material is still underdeveloped relative to the biomarker literature.</w:t>
      </w:r>
    </w:p>
    <w:p>
      <w:pPr>
        <w:pStyle w:val="Compact"/>
        <w:numPr>
          <w:ilvl w:val="0"/>
          <w:numId w:val="1002"/>
        </w:numPr>
      </w:pPr>
      <w:r>
        <w:t xml:space="preserve">Keep one chapter explicitly about</w:t>
      </w:r>
      <w:r>
        <w:t xml:space="preserve"> </w:t>
      </w:r>
      <w:r>
        <w:rPr>
          <w:b/>
          <w:bCs/>
        </w:rPr>
        <w:t xml:space="preserve">what would falsify the thesis</w:t>
      </w:r>
      <w:r>
        <w:t xml:space="preserve">, because this field benefits from visible scepticism.</w:t>
      </w:r>
    </w:p>
    <w:p>
      <w:pPr>
        <w:pStyle w:val="Compact"/>
        <w:numPr>
          <w:ilvl w:val="0"/>
          <w:numId w:val="1002"/>
        </w:numPr>
      </w:pPr>
      <w:r>
        <w:t xml:space="preserve">Avoid cookbook creep: practical meal ideas are useful, but the book’s edge should remain</w:t>
      </w:r>
      <w:r>
        <w:t xml:space="preserve"> </w:t>
      </w:r>
      <w:r>
        <w:rPr>
          <w:b/>
          <w:bCs/>
        </w:rPr>
        <w:t xml:space="preserve">analytical, mechanistic, and evidence-led</w:t>
      </w:r>
      <w:r>
        <w:t xml:space="preserve">, not recipe-led.</w:t>
      </w:r>
    </w:p>
    <w:bookmarkEnd w:id="53"/>
    <w:bookmarkEnd w:id="54"/>
    <w:bookmarkEnd w:id="55"/>
    <w:bookmarkEnd w:id="5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1">
        <w:r>
          <w:rPr>
            <w:rStyle w:val="Hyperlink"/>
          </w:rPr>
          <w:t xml:space="preserve">[11]</w:t>
        </w:r>
      </w:hyperlink>
      <w:r>
        <w:t xml:space="preserve"> </w:t>
      </w:r>
      <w:hyperlink r:id="rId21">
        <w:r>
          <w:rPr>
            <w:rStyle w:val="Hyperlink"/>
          </w:rPr>
          <w:t xml:space="preserve">[37]</w:t>
        </w:r>
      </w:hyperlink>
      <w:r>
        <w:t xml:space="preserve"> </w:t>
      </w:r>
      <w:hyperlink r:id="rId21">
        <w:r>
          <w:rPr>
            <w:rStyle w:val="Hyperlink"/>
          </w:rPr>
          <w:t xml:space="preserve">[44]</w:t>
        </w:r>
      </w:hyperlink>
      <w:r>
        <w:t xml:space="preserve"> </w:t>
      </w:r>
      <w:hyperlink r:id="rId21">
        <w:r>
          <w:rPr>
            <w:rStyle w:val="Hyperlink"/>
          </w:rPr>
          <w:t xml:space="preserve">[62]</w:t>
        </w:r>
      </w:hyperlink>
      <w:r>
        <w:t xml:space="preserve"> </w:t>
      </w:r>
      <w:r>
        <w:t xml:space="preserve">https://jamanetwork.com/journals/jamanetworkopen/fullarticle/2809727</w:t>
      </w:r>
    </w:p>
    <w:p>
      <w:pPr>
        <w:pStyle w:val="BodyText"/>
      </w:pPr>
      <w:hyperlink r:id="rId21">
        <w:r>
          <w:rPr>
            <w:rStyle w:val="Hyperlink"/>
          </w:rPr>
          <w:t xml:space="preserve">https://jamanetwork.com/journals/jamanetworkopen/fullarticle/2809727</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[47]</w:t>
        </w:r>
      </w:hyperlink>
      <w:r>
        <w:t xml:space="preserve"> </w:t>
      </w:r>
      <w:hyperlink r:id="rId22">
        <w:r>
          <w:rPr>
            <w:rStyle w:val="Hyperlink"/>
          </w:rPr>
          <w:t xml:space="preserve">[48]</w:t>
        </w:r>
      </w:hyperlink>
      <w:r>
        <w:t xml:space="preserve"> </w:t>
      </w:r>
      <w:r>
        <w:t xml:space="preserve">https://www.who.int/news-room/fact-sheets/detail/depression</w:t>
      </w:r>
    </w:p>
    <w:p>
      <w:pPr>
        <w:pStyle w:val="BodyText"/>
      </w:pPr>
      <w:hyperlink r:id="rId22">
        <w:r>
          <w:rPr>
            <w:rStyle w:val="Hyperlink"/>
          </w:rPr>
          <w:t xml:space="preserve">https://www.who.int/news-room/fact-sheets/detail/depression</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[27]</w:t>
        </w:r>
      </w:hyperlink>
      <w:r>
        <w:t xml:space="preserve"> </w:t>
      </w:r>
      <w:hyperlink r:id="rId23">
        <w:r>
          <w:rPr>
            <w:rStyle w:val="Hyperlink"/>
          </w:rPr>
          <w:t xml:space="preserve">[38]</w:t>
        </w:r>
      </w:hyperlink>
      <w:r>
        <w:t xml:space="preserve"> </w:t>
      </w:r>
      <w:hyperlink r:id="rId23">
        <w:r>
          <w:rPr>
            <w:rStyle w:val="Hyperlink"/>
          </w:rPr>
          <w:t xml:space="preserve">[39]</w:t>
        </w:r>
      </w:hyperlink>
      <w:r>
        <w:t xml:space="preserve"> </w:t>
      </w:r>
      <w:hyperlink r:id="rId23">
        <w:r>
          <w:rPr>
            <w:rStyle w:val="Hyperlink"/>
          </w:rPr>
          <w:t xml:space="preserve">[45]</w:t>
        </w:r>
      </w:hyperlink>
      <w:r>
        <w:t xml:space="preserve"> </w:t>
      </w:r>
      <w:hyperlink r:id="rId23">
        <w:r>
          <w:rPr>
            <w:rStyle w:val="Hyperlink"/>
          </w:rPr>
          <w:t xml:space="preserve">[50]</w:t>
        </w:r>
      </w:hyperlink>
      <w:r>
        <w:t xml:space="preserve"> </w:t>
      </w:r>
      <w:hyperlink r:id="rId23">
        <w:r>
          <w:rPr>
            <w:rStyle w:val="Hyperlink"/>
          </w:rPr>
          <w:t xml:space="preserve">[56]</w:t>
        </w:r>
      </w:hyperlink>
      <w:r>
        <w:t xml:space="preserve"> </w:t>
      </w:r>
      <w:r>
        <w:t xml:space="preserve">https://bmcmedicine.biomedcentral.com/articles/10.1186/s12916-017-0791-y</w:t>
      </w:r>
    </w:p>
    <w:p>
      <w:pPr>
        <w:pStyle w:val="BodyText"/>
      </w:pPr>
      <w:hyperlink r:id="rId23">
        <w:r>
          <w:rPr>
            <w:rStyle w:val="Hyperlink"/>
          </w:rPr>
          <w:t xml:space="preserve">https://bmcmedicine.biomedcentral.com/articles/10.1186/s12916-017-0791-y</w:t>
        </w:r>
      </w:hyperlink>
    </w:p>
    <w:p>
      <w:pPr>
        <w:pStyle w:val="BodyText"/>
      </w:pPr>
      <w:hyperlink r:id="rId24">
        <w:r>
          <w:rPr>
            <w:rStyle w:val="Hyperlink"/>
          </w:rPr>
          <w:t xml:space="preserve">[4]</w:t>
        </w:r>
      </w:hyperlink>
      <w:r>
        <w:t xml:space="preserve"> </w:t>
      </w:r>
      <w:hyperlink r:id="rId24">
        <w:r>
          <w:rPr>
            <w:rStyle w:val="Hyperlink"/>
          </w:rPr>
          <w:t xml:space="preserve">[23]</w:t>
        </w:r>
      </w:hyperlink>
      <w:r>
        <w:t xml:space="preserve"> </w:t>
      </w:r>
      <w:hyperlink r:id="rId24">
        <w:r>
          <w:rPr>
            <w:rStyle w:val="Hyperlink"/>
          </w:rPr>
          <w:t xml:space="preserve">[32]</w:t>
        </w:r>
      </w:hyperlink>
      <w:r>
        <w:t xml:space="preserve"> </w:t>
      </w:r>
      <w:hyperlink r:id="rId24">
        <w:r>
          <w:rPr>
            <w:rStyle w:val="Hyperlink"/>
          </w:rPr>
          <w:t xml:space="preserve">[40]</w:t>
        </w:r>
      </w:hyperlink>
      <w:r>
        <w:t xml:space="preserve"> </w:t>
      </w:r>
      <w:hyperlink r:id="rId24">
        <w:r>
          <w:rPr>
            <w:rStyle w:val="Hyperlink"/>
          </w:rPr>
          <w:t xml:space="preserve">[52]</w:t>
        </w:r>
      </w:hyperlink>
      <w:r>
        <w:t xml:space="preserve"> </w:t>
      </w:r>
      <w:r>
        <w:t xml:space="preserve">https://www.cambridge.org/core/journals/british-journal-of-nutrition/article/efficacy-and-safety-of-n3-fatty-acids-supplementation-on-depression-a-systematic-review-and-doseresponse-metaanalysis-of-randomised-controlled-trials/CF33CEE475F3342250E805CF9677D1FF</w:t>
      </w:r>
    </w:p>
    <w:p>
      <w:pPr>
        <w:pStyle w:val="BodyText"/>
      </w:pPr>
      <w:hyperlink r:id="rId24">
        <w:r>
          <w:rPr>
            <w:rStyle w:val="Hyperlink"/>
          </w:rPr>
          <w:t xml:space="preserve">https://www.cambridge.org/core/journals/british-journal-of-nutrition/article/efficacy-and-safety-of-n3-fatty-acids-supplementation-on-depression-a-systematic-review-and-doseresponse-metaanalysis-of-randomised-controlled-trials/CF33CEE475F3342250E805CF9677D1FF</w:t>
        </w:r>
      </w:hyperlink>
    </w:p>
    <w:p>
      <w:pPr>
        <w:pStyle w:val="BodyText"/>
      </w:pPr>
      <w:hyperlink r:id="rId25">
        <w:r>
          <w:rPr>
            <w:rStyle w:val="Hyperlink"/>
          </w:rPr>
          <w:t xml:space="preserve">[6]</w:t>
        </w:r>
      </w:hyperlink>
      <w:r>
        <w:t xml:space="preserve"> </w:t>
      </w:r>
      <w:hyperlink r:id="rId25">
        <w:r>
          <w:rPr>
            <w:rStyle w:val="Hyperlink"/>
          </w:rPr>
          <w:t xml:space="preserve">[53]</w:t>
        </w:r>
      </w:hyperlink>
      <w:r>
        <w:t xml:space="preserve"> </w:t>
      </w:r>
      <w:hyperlink r:id="rId25">
        <w:r>
          <w:rPr>
            <w:rStyle w:val="Hyperlink"/>
          </w:rPr>
          <w:t xml:space="preserve">[63]</w:t>
        </w:r>
      </w:hyperlink>
      <w:r>
        <w:t xml:space="preserve"> </w:t>
      </w:r>
      <w:r>
        <w:t xml:space="preserve">https://www.camh.ca/en/camh-news-and-stories/new-clinical-guidelines-for-mental-health--and-the-use-of-nutraceuticals-and-medicinal-plants</w:t>
      </w:r>
    </w:p>
    <w:p>
      <w:pPr>
        <w:pStyle w:val="BodyText"/>
      </w:pPr>
      <w:hyperlink r:id="rId25">
        <w:r>
          <w:rPr>
            <w:rStyle w:val="Hyperlink"/>
          </w:rPr>
          <w:t xml:space="preserve">https://www.camh.ca/en/camh-news-and-stories/new-clinical-guidelines-for-mental-health--and-the-use-of-nutraceuticals-and-medicinal-plants</w:t>
        </w:r>
      </w:hyperlink>
    </w:p>
    <w:p>
      <w:pPr>
        <w:pStyle w:val="BodyText"/>
      </w:pPr>
      <w:hyperlink r:id="rId27">
        <w:r>
          <w:rPr>
            <w:rStyle w:val="Hyperlink"/>
          </w:rPr>
          <w:t xml:space="preserve">[7]</w:t>
        </w:r>
      </w:hyperlink>
      <w:r>
        <w:t xml:space="preserve"> </w:t>
      </w:r>
      <w:hyperlink r:id="rId27">
        <w:r>
          <w:rPr>
            <w:rStyle w:val="Hyperlink"/>
          </w:rPr>
          <w:t xml:space="preserve">[8]</w:t>
        </w:r>
      </w:hyperlink>
      <w:r>
        <w:t xml:space="preserve"> </w:t>
      </w:r>
      <w:hyperlink r:id="rId27">
        <w:r>
          <w:rPr>
            <w:rStyle w:val="Hyperlink"/>
          </w:rPr>
          <w:t xml:space="preserve">[10]</w:t>
        </w:r>
      </w:hyperlink>
      <w:r>
        <w:t xml:space="preserve"> </w:t>
      </w:r>
      <w:hyperlink r:id="rId27">
        <w:r>
          <w:rPr>
            <w:rStyle w:val="Hyperlink"/>
          </w:rPr>
          <w:t xml:space="preserve">[18]</w:t>
        </w:r>
      </w:hyperlink>
      <w:r>
        <w:t xml:space="preserve"> </w:t>
      </w:r>
      <w:hyperlink r:id="rId27">
        <w:r>
          <w:rPr>
            <w:rStyle w:val="Hyperlink"/>
          </w:rPr>
          <w:t xml:space="preserve">[31]</w:t>
        </w:r>
      </w:hyperlink>
      <w:r>
        <w:t xml:space="preserve"> </w:t>
      </w:r>
      <w:hyperlink r:id="rId27">
        <w:r>
          <w:rPr>
            <w:rStyle w:val="Hyperlink"/>
          </w:rPr>
          <w:t xml:space="preserve">[46]</w:t>
        </w:r>
      </w:hyperlink>
      <w:r>
        <w:t xml:space="preserve"> </w:t>
      </w:r>
      <w:hyperlink r:id="rId27">
        <w:r>
          <w:rPr>
            <w:rStyle w:val="Hyperlink"/>
          </w:rPr>
          <w:t xml:space="preserve">[49]</w:t>
        </w:r>
      </w:hyperlink>
      <w:r>
        <w:t xml:space="preserve"> </w:t>
      </w:r>
      <w:r>
        <w:t xml:space="preserve">https://www.nature.com/articles/s41380-018-0237-8</w:t>
      </w:r>
    </w:p>
    <w:p>
      <w:pPr>
        <w:pStyle w:val="BodyText"/>
      </w:pPr>
      <w:hyperlink r:id="rId27">
        <w:r>
          <w:rPr>
            <w:rStyle w:val="Hyperlink"/>
          </w:rPr>
          <w:t xml:space="preserve">https://www.nature.com/articles/s41380-018-0237-8</w:t>
        </w:r>
      </w:hyperlink>
    </w:p>
    <w:p>
      <w:pPr>
        <w:pStyle w:val="BodyText"/>
      </w:pPr>
      <w:hyperlink r:id="rId29">
        <w:r>
          <w:rPr>
            <w:rStyle w:val="Hyperlink"/>
          </w:rPr>
          <w:t xml:space="preserve">[14]</w:t>
        </w:r>
      </w:hyperlink>
      <w:r>
        <w:t xml:space="preserve"> </w:t>
      </w:r>
      <w:hyperlink r:id="rId29">
        <w:r>
          <w:rPr>
            <w:rStyle w:val="Hyperlink"/>
          </w:rPr>
          <w:t xml:space="preserve">[57]</w:t>
        </w:r>
      </w:hyperlink>
      <w:r>
        <w:t xml:space="preserve"> </w:t>
      </w:r>
      <w:r>
        <w:t xml:space="preserve">https://library.fabresearch.org/viewItem.php?id=13980</w:t>
      </w:r>
    </w:p>
    <w:p>
      <w:pPr>
        <w:pStyle w:val="BodyText"/>
      </w:pPr>
      <w:hyperlink r:id="rId29">
        <w:r>
          <w:rPr>
            <w:rStyle w:val="Hyperlink"/>
          </w:rPr>
          <w:t xml:space="preserve">https://library.fabresearch.org/viewItem.php?id=13980</w:t>
        </w:r>
      </w:hyperlink>
    </w:p>
    <w:p>
      <w:pPr>
        <w:pStyle w:val="BodyText"/>
      </w:pPr>
      <w:hyperlink r:id="rId30">
        <w:r>
          <w:rPr>
            <w:rStyle w:val="Hyperlink"/>
          </w:rPr>
          <w:t xml:space="preserve">[15]</w:t>
        </w:r>
      </w:hyperlink>
      <w:r>
        <w:t xml:space="preserve"> </w:t>
      </w:r>
      <w:hyperlink r:id="rId30">
        <w:r>
          <w:rPr>
            <w:rStyle w:val="Hyperlink"/>
          </w:rPr>
          <w:t xml:space="preserve">[54]</w:t>
        </w:r>
      </w:hyperlink>
      <w:r>
        <w:t xml:space="preserve"> </w:t>
      </w:r>
      <w:hyperlink r:id="rId30">
        <w:r>
          <w:rPr>
            <w:rStyle w:val="Hyperlink"/>
          </w:rPr>
          <w:t xml:space="preserve">[59]</w:t>
        </w:r>
      </w:hyperlink>
      <w:r>
        <w:t xml:space="preserve"> </w:t>
      </w:r>
      <w:r>
        <w:t xml:space="preserve">https://jamanetwork.com/journals/jama/fullarticle/2726983</w:t>
      </w:r>
    </w:p>
    <w:p>
      <w:pPr>
        <w:pStyle w:val="BodyText"/>
      </w:pPr>
      <w:hyperlink r:id="rId30">
        <w:r>
          <w:rPr>
            <w:rStyle w:val="Hyperlink"/>
          </w:rPr>
          <w:t xml:space="preserve">https://jamanetwork.com/journals/jama/fullarticle/2726983</w:t>
        </w:r>
      </w:hyperlink>
    </w:p>
    <w:p>
      <w:pPr>
        <w:pStyle w:val="BodyText"/>
      </w:pPr>
      <w:hyperlink r:id="rId31">
        <w:r>
          <w:rPr>
            <w:rStyle w:val="Hyperlink"/>
          </w:rPr>
          <w:t xml:space="preserve">[16]</w:t>
        </w:r>
      </w:hyperlink>
      <w:r>
        <w:t xml:space="preserve"> </w:t>
      </w:r>
      <w:hyperlink r:id="rId31">
        <w:r>
          <w:rPr>
            <w:rStyle w:val="Hyperlink"/>
          </w:rPr>
          <w:t xml:space="preserve">[58]</w:t>
        </w:r>
      </w:hyperlink>
      <w:r>
        <w:t xml:space="preserve"> </w:t>
      </w:r>
      <w:r>
        <w:t xml:space="preserve">https://www.sciencedirect.com/science/article/pii/S0002916522000612</w:t>
      </w:r>
    </w:p>
    <w:p>
      <w:pPr>
        <w:pStyle w:val="BodyText"/>
      </w:pPr>
      <w:hyperlink r:id="rId31">
        <w:r>
          <w:rPr>
            <w:rStyle w:val="Hyperlink"/>
          </w:rPr>
          <w:t xml:space="preserve">https://www.sciencedirect.com/science/article/pii/S0002916522000612</w:t>
        </w:r>
      </w:hyperlink>
    </w:p>
    <w:p>
      <w:pPr>
        <w:pStyle w:val="BodyText"/>
      </w:pPr>
      <w:hyperlink r:id="rId32">
        <w:r>
          <w:rPr>
            <w:rStyle w:val="Hyperlink"/>
          </w:rPr>
          <w:t xml:space="preserve">[17]</w:t>
        </w:r>
      </w:hyperlink>
      <w:r>
        <w:t xml:space="preserve"> </w:t>
      </w:r>
      <w:r>
        <w:t xml:space="preserve">https://www.researchgate.net/publication/375827040_Mediterranean_diet-based_intervention_to_improve_depressive_symptoms_analysis_of_the_PREDIDEP_randomized_trial</w:t>
      </w:r>
    </w:p>
    <w:p>
      <w:pPr>
        <w:pStyle w:val="BodyText"/>
      </w:pPr>
      <w:hyperlink r:id="rId32">
        <w:r>
          <w:rPr>
            <w:rStyle w:val="Hyperlink"/>
          </w:rPr>
          <w:t xml:space="preserve">https://www.researchgate.net/publication/375827040_Mediterranean_diet-based_intervention_to_improve_depressive_symptoms_analysis_of_the_PREDIDEP_randomized_trial</w:t>
        </w:r>
      </w:hyperlink>
    </w:p>
    <w:p>
      <w:pPr>
        <w:pStyle w:val="BodyText"/>
      </w:pPr>
      <w:hyperlink r:id="rId34">
        <w:r>
          <w:rPr>
            <w:rStyle w:val="Hyperlink"/>
          </w:rPr>
          <w:t xml:space="preserve">[19]</w:t>
        </w:r>
      </w:hyperlink>
      <w:r>
        <w:t xml:space="preserve"> </w:t>
      </w:r>
      <w:r>
        <w:t xml:space="preserve">https://pmc.ncbi.nlm.nih.gov/articles/PMC8445939/</w:t>
      </w:r>
    </w:p>
    <w:p>
      <w:pPr>
        <w:pStyle w:val="BodyText"/>
      </w:pPr>
      <w:hyperlink r:id="rId34">
        <w:r>
          <w:rPr>
            <w:rStyle w:val="Hyperlink"/>
          </w:rPr>
          <w:t xml:space="preserve">https://pmc.ncbi.nlm.nih.gov/articles/PMC8445939/</w:t>
        </w:r>
      </w:hyperlink>
    </w:p>
    <w:p>
      <w:pPr>
        <w:pStyle w:val="BodyText"/>
      </w:pPr>
      <w:hyperlink r:id="rId35">
        <w:r>
          <w:rPr>
            <w:rStyle w:val="Hyperlink"/>
          </w:rPr>
          <w:t xml:space="preserve">[20]</w:t>
        </w:r>
      </w:hyperlink>
      <w:r>
        <w:t xml:space="preserve"> </w:t>
      </w:r>
      <w:hyperlink r:id="rId35">
        <w:r>
          <w:rPr>
            <w:rStyle w:val="Hyperlink"/>
          </w:rPr>
          <w:t xml:space="preserve">[26]</w:t>
        </w:r>
      </w:hyperlink>
      <w:r>
        <w:t xml:space="preserve"> </w:t>
      </w:r>
      <w:hyperlink r:id="rId35">
        <w:r>
          <w:rPr>
            <w:rStyle w:val="Hyperlink"/>
          </w:rPr>
          <w:t xml:space="preserve">[60]</w:t>
        </w:r>
      </w:hyperlink>
      <w:r>
        <w:t xml:space="preserve"> </w:t>
      </w:r>
      <w:r>
        <w:t xml:space="preserve">https://library.fabresearch.org/viewItem.php?id=12410</w:t>
      </w:r>
    </w:p>
    <w:p>
      <w:pPr>
        <w:pStyle w:val="BodyText"/>
      </w:pPr>
      <w:hyperlink r:id="rId35">
        <w:r>
          <w:rPr>
            <w:rStyle w:val="Hyperlink"/>
          </w:rPr>
          <w:t xml:space="preserve">https://library.fabresearch.org/viewItem.php?id=12410</w:t>
        </w:r>
      </w:hyperlink>
    </w:p>
    <w:p>
      <w:pPr>
        <w:pStyle w:val="BodyText"/>
      </w:pPr>
      <w:hyperlink r:id="rId36">
        <w:r>
          <w:rPr>
            <w:rStyle w:val="Hyperlink"/>
          </w:rPr>
          <w:t xml:space="preserve">[21]</w:t>
        </w:r>
      </w:hyperlink>
      <w:r>
        <w:t xml:space="preserve"> </w:t>
      </w:r>
      <w:r>
        <w:t xml:space="preserve">https://www.sciencedirect.com/science/article/pii/S2161831324000036</w:t>
      </w:r>
    </w:p>
    <w:p>
      <w:pPr>
        <w:pStyle w:val="BodyText"/>
      </w:pPr>
      <w:hyperlink r:id="rId36">
        <w:r>
          <w:rPr>
            <w:rStyle w:val="Hyperlink"/>
          </w:rPr>
          <w:t xml:space="preserve">https://www.sciencedirect.com/science/article/pii/S2161831324000036</w:t>
        </w:r>
      </w:hyperlink>
    </w:p>
    <w:p>
      <w:pPr>
        <w:pStyle w:val="BodyText"/>
      </w:pPr>
      <w:hyperlink r:id="rId37">
        <w:r>
          <w:rPr>
            <w:rStyle w:val="Hyperlink"/>
          </w:rPr>
          <w:t xml:space="preserve">[22]</w:t>
        </w:r>
      </w:hyperlink>
      <w:r>
        <w:t xml:space="preserve"> </w:t>
      </w:r>
      <w:r>
        <w:t xml:space="preserve">https://www.researchgate.net/publication/377398438_The_impact_of_the_Mediterranean_diet_on_alleviating_depressive_symptoms_in_adults_a_systematic_review_and_meta-analysis_of_randomized_controlled_trials</w:t>
      </w:r>
    </w:p>
    <w:p>
      <w:pPr>
        <w:pStyle w:val="BodyText"/>
      </w:pPr>
      <w:hyperlink r:id="rId37">
        <w:r>
          <w:rPr>
            <w:rStyle w:val="Hyperlink"/>
          </w:rPr>
          <w:t xml:space="preserve">https://www.researchgate.net/publication/377398438_The_impact_of_the_Mediterranean_diet_on_alleviating_depressive_symptoms_in_adults_a_systematic_review_and_meta-analysis_of_randomized_controlled_trials</w:t>
        </w:r>
      </w:hyperlink>
    </w:p>
    <w:p>
      <w:pPr>
        <w:pStyle w:val="BodyText"/>
      </w:pPr>
      <w:hyperlink r:id="rId38">
        <w:r>
          <w:rPr>
            <w:rStyle w:val="Hyperlink"/>
          </w:rPr>
          <w:t xml:space="preserve">[24]</w:t>
        </w:r>
      </w:hyperlink>
      <w:r>
        <w:t xml:space="preserve"> </w:t>
      </w:r>
      <w:hyperlink r:id="rId38">
        <w:r>
          <w:rPr>
            <w:rStyle w:val="Hyperlink"/>
          </w:rPr>
          <w:t xml:space="preserve">[34]</w:t>
        </w:r>
      </w:hyperlink>
      <w:r>
        <w:t xml:space="preserve"> </w:t>
      </w:r>
      <w:hyperlink r:id="rId38">
        <w:r>
          <w:rPr>
            <w:rStyle w:val="Hyperlink"/>
          </w:rPr>
          <w:t xml:space="preserve">[42]</w:t>
        </w:r>
      </w:hyperlink>
      <w:r>
        <w:t xml:space="preserve"> </w:t>
      </w:r>
      <w:hyperlink r:id="rId38">
        <w:r>
          <w:rPr>
            <w:rStyle w:val="Hyperlink"/>
          </w:rPr>
          <w:t xml:space="preserve">[61]</w:t>
        </w:r>
      </w:hyperlink>
      <w:r>
        <w:t xml:space="preserve"> </w:t>
      </w:r>
      <w:r>
        <w:t xml:space="preserve">https://www.frontiersin.org/journals/psychiatry/articles/10.3389/fpsyt.2025.1622796/full</w:t>
      </w:r>
    </w:p>
    <w:p>
      <w:pPr>
        <w:pStyle w:val="BodyText"/>
      </w:pPr>
      <w:hyperlink r:id="rId38">
        <w:r>
          <w:rPr>
            <w:rStyle w:val="Hyperlink"/>
          </w:rPr>
          <w:t xml:space="preserve">https://www.frontiersin.org/journals/psychiatry/articles/10.3389/fpsyt.2025.1622796/full</w:t>
        </w:r>
      </w:hyperlink>
    </w:p>
    <w:p>
      <w:pPr>
        <w:pStyle w:val="BodyText"/>
      </w:pPr>
      <w:hyperlink r:id="rId39">
        <w:r>
          <w:rPr>
            <w:rStyle w:val="Hyperlink"/>
          </w:rPr>
          <w:t xml:space="preserve">[25]</w:t>
        </w:r>
      </w:hyperlink>
      <w:r>
        <w:t xml:space="preserve"> </w:t>
      </w:r>
      <w:hyperlink r:id="rId39">
        <w:r>
          <w:rPr>
            <w:rStyle w:val="Hyperlink"/>
          </w:rPr>
          <w:t xml:space="preserve">[35]</w:t>
        </w:r>
      </w:hyperlink>
      <w:r>
        <w:t xml:space="preserve"> </w:t>
      </w:r>
      <w:hyperlink r:id="rId39">
        <w:r>
          <w:rPr>
            <w:rStyle w:val="Hyperlink"/>
          </w:rPr>
          <w:t xml:space="preserve">[43]</w:t>
        </w:r>
      </w:hyperlink>
      <w:r>
        <w:t xml:space="preserve"> </w:t>
      </w:r>
      <w:r>
        <w:t xml:space="preserve">https://academic.oup.com/nutritionreviews/article/83/7/e1504/7934047</w:t>
      </w:r>
    </w:p>
    <w:p>
      <w:pPr>
        <w:pStyle w:val="BodyText"/>
      </w:pPr>
      <w:hyperlink r:id="rId39">
        <w:r>
          <w:rPr>
            <w:rStyle w:val="Hyperlink"/>
          </w:rPr>
          <w:t xml:space="preserve">https://academic.oup.com/nutritionreviews/article/83/7/e1504/7934047</w:t>
        </w:r>
      </w:hyperlink>
    </w:p>
    <w:p>
      <w:pPr>
        <w:pStyle w:val="BodyText"/>
      </w:pPr>
      <w:hyperlink r:id="rId42">
        <w:r>
          <w:rPr>
            <w:rStyle w:val="Hyperlink"/>
          </w:rPr>
          <w:t xml:space="preserve">[28]</w:t>
        </w:r>
      </w:hyperlink>
      <w:r>
        <w:t xml:space="preserve"> </w:t>
      </w:r>
      <w:r>
        <w:t xml:space="preserve">https://www.sciencedirect.com/science/article/pii/S1043661824002676</w:t>
      </w:r>
    </w:p>
    <w:p>
      <w:pPr>
        <w:pStyle w:val="BodyText"/>
      </w:pPr>
      <w:hyperlink r:id="rId42">
        <w:r>
          <w:rPr>
            <w:rStyle w:val="Hyperlink"/>
          </w:rPr>
          <w:t xml:space="preserve">https://www.sciencedirect.com/science/article/pii/S1043661824002676</w:t>
        </w:r>
      </w:hyperlink>
    </w:p>
    <w:p>
      <w:pPr>
        <w:pStyle w:val="BodyText"/>
      </w:pPr>
      <w:hyperlink r:id="rId43">
        <w:r>
          <w:rPr>
            <w:rStyle w:val="Hyperlink"/>
          </w:rPr>
          <w:t xml:space="preserve">[29]</w:t>
        </w:r>
      </w:hyperlink>
      <w:r>
        <w:t xml:space="preserve"> </w:t>
      </w:r>
      <w:r>
        <w:t xml:space="preserve">https://pmc.ncbi.nlm.nih.gov/articles/PMC12634520/</w:t>
      </w:r>
    </w:p>
    <w:p>
      <w:pPr>
        <w:pStyle w:val="BodyText"/>
      </w:pPr>
      <w:hyperlink r:id="rId43">
        <w:r>
          <w:rPr>
            <w:rStyle w:val="Hyperlink"/>
          </w:rPr>
          <w:t xml:space="preserve">https://pmc.ncbi.nlm.nih.gov/articles/PMC12634520/</w:t>
        </w:r>
      </w:hyperlink>
    </w:p>
    <w:p>
      <w:pPr>
        <w:pStyle w:val="BodyText"/>
      </w:pPr>
      <w:hyperlink r:id="rId44">
        <w:r>
          <w:rPr>
            <w:rStyle w:val="Hyperlink"/>
          </w:rPr>
          <w:t xml:space="preserve">[30]</w:t>
        </w:r>
      </w:hyperlink>
      <w:r>
        <w:t xml:space="preserve"> </w:t>
      </w:r>
      <w:r>
        <w:t xml:space="preserve">https://www.frontiersin.org/journals/immunology/articles/10.3389/fimmu.2025.1644160/full</w:t>
      </w:r>
    </w:p>
    <w:p>
      <w:pPr>
        <w:pStyle w:val="BodyText"/>
      </w:pPr>
      <w:hyperlink r:id="rId44">
        <w:r>
          <w:rPr>
            <w:rStyle w:val="Hyperlink"/>
          </w:rPr>
          <w:t xml:space="preserve">https://www.frontiersin.org/journals/immunology/articles/10.3389/fimmu.2025.1644160/full</w:t>
        </w:r>
      </w:hyperlink>
    </w:p>
    <w:p>
      <w:pPr>
        <w:pStyle w:val="BodyText"/>
      </w:pPr>
      <w:hyperlink r:id="rId45">
        <w:r>
          <w:rPr>
            <w:rStyle w:val="Hyperlink"/>
          </w:rPr>
          <w:t xml:space="preserve">[33]</w:t>
        </w:r>
      </w:hyperlink>
      <w:r>
        <w:t xml:space="preserve"> </w:t>
      </w:r>
      <w:r>
        <w:t xml:space="preserve">https://pmc.ncbi.nlm.nih.gov/articles/PMC6770181/</w:t>
      </w:r>
    </w:p>
    <w:p>
      <w:pPr>
        <w:pStyle w:val="BodyText"/>
      </w:pPr>
      <w:hyperlink r:id="rId45">
        <w:r>
          <w:rPr>
            <w:rStyle w:val="Hyperlink"/>
          </w:rPr>
          <w:t xml:space="preserve">https://pmc.ncbi.nlm.nih.gov/articles/PMC6770181/</w:t>
        </w:r>
      </w:hyperlink>
    </w:p>
    <w:p>
      <w:pPr>
        <w:pStyle w:val="BodyText"/>
      </w:pPr>
      <w:hyperlink r:id="rId46">
        <w:r>
          <w:rPr>
            <w:rStyle w:val="Hyperlink"/>
          </w:rPr>
          <w:t xml:space="preserve">[36]</w:t>
        </w:r>
      </w:hyperlink>
      <w:r>
        <w:t xml:space="preserve"> </w:t>
      </w:r>
      <w:r>
        <w:t xml:space="preserve">https://www.frontiersin.org/journals/nutrition/articles/10.3389/fnut.2024.1472612/full</w:t>
      </w:r>
    </w:p>
    <w:p>
      <w:pPr>
        <w:pStyle w:val="BodyText"/>
      </w:pPr>
      <w:hyperlink r:id="rId46">
        <w:r>
          <w:rPr>
            <w:rStyle w:val="Hyperlink"/>
          </w:rPr>
          <w:t xml:space="preserve">https://www.frontiersin.org/journals/nutrition/articles/10.3389/fnut.2024.1472612/full</w:t>
        </w:r>
      </w:hyperlink>
    </w:p>
    <w:p>
      <w:pPr>
        <w:pStyle w:val="BodyText"/>
      </w:pPr>
      <w:hyperlink r:id="rId48">
        <w:r>
          <w:rPr>
            <w:rStyle w:val="Hyperlink"/>
          </w:rPr>
          <w:t xml:space="preserve">[41]</w:t>
        </w:r>
      </w:hyperlink>
      <w:r>
        <w:t xml:space="preserve"> </w:t>
      </w:r>
      <w:r>
        <w:t xml:space="preserve">https://pubmed.ncbi.nlm.nih.gov/23212058/</w:t>
      </w:r>
    </w:p>
    <w:p>
      <w:pPr>
        <w:pStyle w:val="BodyText"/>
      </w:pPr>
      <w:hyperlink r:id="rId48">
        <w:r>
          <w:rPr>
            <w:rStyle w:val="Hyperlink"/>
          </w:rPr>
          <w:t xml:space="preserve">https://pubmed.ncbi.nlm.nih.gov/23212058/</w:t>
        </w:r>
      </w:hyperlink>
    </w:p>
    <w:p>
      <w:pPr>
        <w:pStyle w:val="BodyText"/>
      </w:pPr>
      <w:hyperlink r:id="rId50">
        <w:r>
          <w:rPr>
            <w:rStyle w:val="Hyperlink"/>
          </w:rPr>
          <w:t xml:space="preserve">[51]</w:t>
        </w:r>
      </w:hyperlink>
      <w:r>
        <w:t xml:space="preserve"> </w:t>
      </w:r>
      <w:r>
        <w:t xml:space="preserve">https://pmc.ncbi.nlm.nih.gov/articles/PMC11811453/</w:t>
      </w:r>
    </w:p>
    <w:p>
      <w:pPr>
        <w:pStyle w:val="BodyText"/>
      </w:pPr>
      <w:hyperlink r:id="rId50">
        <w:r>
          <w:rPr>
            <w:rStyle w:val="Hyperlink"/>
          </w:rPr>
          <w:t xml:space="preserve">https://pmc.ncbi.nlm.nih.gov/articles/PMC11811453/</w:t>
        </w:r>
      </w:hyperlink>
    </w:p>
    <w:p>
      <w:pPr>
        <w:pStyle w:val="BodyText"/>
      </w:pPr>
      <w:hyperlink r:id="rId51">
        <w:r>
          <w:rPr>
            <w:rStyle w:val="Hyperlink"/>
          </w:rPr>
          <w:t xml:space="preserve">[55]</w:t>
        </w:r>
      </w:hyperlink>
      <w:r>
        <w:t xml:space="preserve"> </w:t>
      </w:r>
      <w:r>
        <w:t xml:space="preserve">https://bmcmedicine.biomedcentral.com/articles/10.1186/s12916-018-1221-5</w:t>
      </w:r>
    </w:p>
    <w:p>
      <w:pPr>
        <w:pStyle w:val="BodyText"/>
      </w:pPr>
      <w:hyperlink r:id="rId51">
        <w:r>
          <w:rPr>
            <w:rStyle w:val="Hyperlink"/>
          </w:rPr>
          <w:t xml:space="preserve">https://bmcmedicine.biomedcentral.com/articles/10.1186/s12916-018-1221-5</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cademic.oup.com/nutritionreviews/article/83/7/e1504/7934047" TargetMode="External" /><Relationship Type="http://schemas.openxmlformats.org/officeDocument/2006/relationships/hyperlink" Id="rId23" Target="https://bmcmedicine.biomedcentral.com/articles/10.1186/s12916-017-0791-y" TargetMode="External" /><Relationship Type="http://schemas.openxmlformats.org/officeDocument/2006/relationships/hyperlink" Id="rId51" Target="https://bmcmedicine.biomedcentral.com/articles/10.1186/s12916-018-1221-5" TargetMode="External" /><Relationship Type="http://schemas.openxmlformats.org/officeDocument/2006/relationships/hyperlink" Id="rId30" Target="https://jamanetwork.com/journals/jama/fullarticle/2726983" TargetMode="External" /><Relationship Type="http://schemas.openxmlformats.org/officeDocument/2006/relationships/hyperlink" Id="rId21" Target="https://jamanetwork.com/journals/jamanetworkopen/fullarticle/2809727" TargetMode="External" /><Relationship Type="http://schemas.openxmlformats.org/officeDocument/2006/relationships/hyperlink" Id="rId35" Target="https://library.fabresearch.org/viewItem.php?id=12410" TargetMode="External" /><Relationship Type="http://schemas.openxmlformats.org/officeDocument/2006/relationships/hyperlink" Id="rId29" Target="https://library.fabresearch.org/viewItem.php?id=13980" TargetMode="External" /><Relationship Type="http://schemas.openxmlformats.org/officeDocument/2006/relationships/hyperlink" Id="rId50" Target="https://pmc.ncbi.nlm.nih.gov/articles/PMC11811453/" TargetMode="External" /><Relationship Type="http://schemas.openxmlformats.org/officeDocument/2006/relationships/hyperlink" Id="rId43" Target="https://pmc.ncbi.nlm.nih.gov/articles/PMC12634520/" TargetMode="External" /><Relationship Type="http://schemas.openxmlformats.org/officeDocument/2006/relationships/hyperlink" Id="rId45" Target="https://pmc.ncbi.nlm.nih.gov/articles/PMC6770181/" TargetMode="External" /><Relationship Type="http://schemas.openxmlformats.org/officeDocument/2006/relationships/hyperlink" Id="rId34" Target="https://pmc.ncbi.nlm.nih.gov/articles/PMC8445939/" TargetMode="External" /><Relationship Type="http://schemas.openxmlformats.org/officeDocument/2006/relationships/hyperlink" Id="rId48" Target="https://pubmed.ncbi.nlm.nih.gov/23212058/" TargetMode="External" /><Relationship Type="http://schemas.openxmlformats.org/officeDocument/2006/relationships/hyperlink" Id="rId24" Target="https://www.cambridge.org/core/journals/british-journal-of-nutrition/article/efficacy-and-safety-of-n3-fatty-acids-supplementation-on-depression-a-systematic-review-and-doseresponse-metaanalysis-of-randomised-controlled-trials/CF33CEE475F3342250E805CF9677D1FF" TargetMode="External" /><Relationship Type="http://schemas.openxmlformats.org/officeDocument/2006/relationships/hyperlink" Id="rId25" Target="https://www.camh.ca/en/camh-news-and-stories/new-clinical-guidelines-for-mental-health--and-the-use-of-nutraceuticals-and-medicinal-plants" TargetMode="External" /><Relationship Type="http://schemas.openxmlformats.org/officeDocument/2006/relationships/hyperlink" Id="rId44" Target="https://www.frontiersin.org/journals/immunology/articles/10.3389/fimmu.2025.1644160/full" TargetMode="External" /><Relationship Type="http://schemas.openxmlformats.org/officeDocument/2006/relationships/hyperlink" Id="rId46" Target="https://www.frontiersin.org/journals/nutrition/articles/10.3389/fnut.2024.1472612/full" TargetMode="External" /><Relationship Type="http://schemas.openxmlformats.org/officeDocument/2006/relationships/hyperlink" Id="rId38" Target="https://www.frontiersin.org/journals/psychiatry/articles/10.3389/fpsyt.2025.1622796/full" TargetMode="External" /><Relationship Type="http://schemas.openxmlformats.org/officeDocument/2006/relationships/hyperlink" Id="rId27" Target="https://www.nature.com/articles/s41380-018-0237-8" TargetMode="External" /><Relationship Type="http://schemas.openxmlformats.org/officeDocument/2006/relationships/hyperlink" Id="rId32" Target="https://www.researchgate.net/publication/375827040_Mediterranean_diet-based_intervention_to_improve_depressive_symptoms_analysis_of_the_PREDIDEP_randomized_trial" TargetMode="External" /><Relationship Type="http://schemas.openxmlformats.org/officeDocument/2006/relationships/hyperlink" Id="rId37" Target="https://www.researchgate.net/publication/377398438_The_impact_of_the_Mediterranean_diet_on_alleviating_depressive_symptoms_in_adults_a_systematic_review_and_meta-analysis_of_randomized_controlled_trials" TargetMode="External" /><Relationship Type="http://schemas.openxmlformats.org/officeDocument/2006/relationships/hyperlink" Id="rId31" Target="https://www.sciencedirect.com/science/article/pii/S0002916522000612" TargetMode="External" /><Relationship Type="http://schemas.openxmlformats.org/officeDocument/2006/relationships/hyperlink" Id="rId42" Target="https://www.sciencedirect.com/science/article/pii/S1043661824002676" TargetMode="External" /><Relationship Type="http://schemas.openxmlformats.org/officeDocument/2006/relationships/hyperlink" Id="rId36" Target="https://www.sciencedirect.com/science/article/pii/S2161831324000036" TargetMode="External" /><Relationship Type="http://schemas.openxmlformats.org/officeDocument/2006/relationships/hyperlink" Id="rId22" Target="https://www.who.int/news-room/fact-sheets/detail/depression" TargetMode="External" /></Relationships>
</file>

<file path=word/_rels/footnotes.xml.rels><?xml version="1.0" encoding="UTF-8"?><Relationships xmlns="http://schemas.openxmlformats.org/package/2006/relationships"><Relationship Type="http://schemas.openxmlformats.org/officeDocument/2006/relationships/hyperlink" Id="rId39" Target="https://academic.oup.com/nutritionreviews/article/83/7/e1504/7934047" TargetMode="External" /><Relationship Type="http://schemas.openxmlformats.org/officeDocument/2006/relationships/hyperlink" Id="rId23" Target="https://bmcmedicine.biomedcentral.com/articles/10.1186/s12916-017-0791-y" TargetMode="External" /><Relationship Type="http://schemas.openxmlformats.org/officeDocument/2006/relationships/hyperlink" Id="rId51" Target="https://bmcmedicine.biomedcentral.com/articles/10.1186/s12916-018-1221-5" TargetMode="External" /><Relationship Type="http://schemas.openxmlformats.org/officeDocument/2006/relationships/hyperlink" Id="rId30" Target="https://jamanetwork.com/journals/jama/fullarticle/2726983" TargetMode="External" /><Relationship Type="http://schemas.openxmlformats.org/officeDocument/2006/relationships/hyperlink" Id="rId21" Target="https://jamanetwork.com/journals/jamanetworkopen/fullarticle/2809727" TargetMode="External" /><Relationship Type="http://schemas.openxmlformats.org/officeDocument/2006/relationships/hyperlink" Id="rId35" Target="https://library.fabresearch.org/viewItem.php?id=12410" TargetMode="External" /><Relationship Type="http://schemas.openxmlformats.org/officeDocument/2006/relationships/hyperlink" Id="rId29" Target="https://library.fabresearch.org/viewItem.php?id=13980" TargetMode="External" /><Relationship Type="http://schemas.openxmlformats.org/officeDocument/2006/relationships/hyperlink" Id="rId50" Target="https://pmc.ncbi.nlm.nih.gov/articles/PMC11811453/" TargetMode="External" /><Relationship Type="http://schemas.openxmlformats.org/officeDocument/2006/relationships/hyperlink" Id="rId43" Target="https://pmc.ncbi.nlm.nih.gov/articles/PMC12634520/" TargetMode="External" /><Relationship Type="http://schemas.openxmlformats.org/officeDocument/2006/relationships/hyperlink" Id="rId45" Target="https://pmc.ncbi.nlm.nih.gov/articles/PMC6770181/" TargetMode="External" /><Relationship Type="http://schemas.openxmlformats.org/officeDocument/2006/relationships/hyperlink" Id="rId34" Target="https://pmc.ncbi.nlm.nih.gov/articles/PMC8445939/" TargetMode="External" /><Relationship Type="http://schemas.openxmlformats.org/officeDocument/2006/relationships/hyperlink" Id="rId48" Target="https://pubmed.ncbi.nlm.nih.gov/23212058/" TargetMode="External" /><Relationship Type="http://schemas.openxmlformats.org/officeDocument/2006/relationships/hyperlink" Id="rId24" Target="https://www.cambridge.org/core/journals/british-journal-of-nutrition/article/efficacy-and-safety-of-n3-fatty-acids-supplementation-on-depression-a-systematic-review-and-doseresponse-metaanalysis-of-randomised-controlled-trials/CF33CEE475F3342250E805CF9677D1FF" TargetMode="External" /><Relationship Type="http://schemas.openxmlformats.org/officeDocument/2006/relationships/hyperlink" Id="rId25" Target="https://www.camh.ca/en/camh-news-and-stories/new-clinical-guidelines-for-mental-health--and-the-use-of-nutraceuticals-and-medicinal-plants" TargetMode="External" /><Relationship Type="http://schemas.openxmlformats.org/officeDocument/2006/relationships/hyperlink" Id="rId44" Target="https://www.frontiersin.org/journals/immunology/articles/10.3389/fimmu.2025.1644160/full" TargetMode="External" /><Relationship Type="http://schemas.openxmlformats.org/officeDocument/2006/relationships/hyperlink" Id="rId46" Target="https://www.frontiersin.org/journals/nutrition/articles/10.3389/fnut.2024.1472612/full" TargetMode="External" /><Relationship Type="http://schemas.openxmlformats.org/officeDocument/2006/relationships/hyperlink" Id="rId38" Target="https://www.frontiersin.org/journals/psychiatry/articles/10.3389/fpsyt.2025.1622796/full" TargetMode="External" /><Relationship Type="http://schemas.openxmlformats.org/officeDocument/2006/relationships/hyperlink" Id="rId27" Target="https://www.nature.com/articles/s41380-018-0237-8" TargetMode="External" /><Relationship Type="http://schemas.openxmlformats.org/officeDocument/2006/relationships/hyperlink" Id="rId32" Target="https://www.researchgate.net/publication/375827040_Mediterranean_diet-based_intervention_to_improve_depressive_symptoms_analysis_of_the_PREDIDEP_randomized_trial" TargetMode="External" /><Relationship Type="http://schemas.openxmlformats.org/officeDocument/2006/relationships/hyperlink" Id="rId37" Target="https://www.researchgate.net/publication/377398438_The_impact_of_the_Mediterranean_diet_on_alleviating_depressive_symptoms_in_adults_a_systematic_review_and_meta-analysis_of_randomized_controlled_trials" TargetMode="External" /><Relationship Type="http://schemas.openxmlformats.org/officeDocument/2006/relationships/hyperlink" Id="rId31" Target="https://www.sciencedirect.com/science/article/pii/S0002916522000612" TargetMode="External" /><Relationship Type="http://schemas.openxmlformats.org/officeDocument/2006/relationships/hyperlink" Id="rId42" Target="https://www.sciencedirect.com/science/article/pii/S1043661824002676" TargetMode="External" /><Relationship Type="http://schemas.openxmlformats.org/officeDocument/2006/relationships/hyperlink" Id="rId36" Target="https://www.sciencedirect.com/science/article/pii/S2161831324000036" TargetMode="External" /><Relationship Type="http://schemas.openxmlformats.org/officeDocument/2006/relationships/hyperlink" Id="rId22" Target="https://www.who.int/news-room/fact-sheets/detail/depre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2026-04-25T20:15:04Z</dcterms:created>
  <dcterms:modified xsi:type="dcterms:W3CDTF">2026-04-25T20:15:04Z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