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Liberation Sans" w:hAnsi="Liberation Sans"/>
          <w:b/>
          <w:color w:val="595959"/>
          <w:sz w:val="22"/>
        </w:rPr>
        <w:t>PROGETTO OPERATIVO DI LIBRO</w:t>
      </w:r>
    </w:p>
    <w:p>
      <w:pPr>
        <w:pStyle w:val="Title"/>
        <w:jc w:val="center"/>
      </w:pPr>
      <w:r>
        <w:t>Food Biodiversity, Diet and Depression</w:t>
      </w:r>
    </w:p>
    <w:p>
      <w:pPr>
        <w:pStyle w:val="Subtitle"/>
        <w:jc w:val="center"/>
      </w:pPr>
      <w:r>
        <w:t>Scaletta accademica, architettura argomentativa e piano di ricerca per un libro evidence-led</w:t>
      </w:r>
    </w:p>
    <w:p>
      <w:pPr>
        <w:jc w:val="center"/>
      </w:pPr>
      <w:r>
        <w:rPr>
          <w:b/>
        </w:rPr>
        <w:t xml:space="preserve">Titolo editoriale proposto: </w:t>
      </w:r>
      <w:r>
        <w:t>The Biodiversity of Mood</w:t>
      </w:r>
    </w:p>
    <w:p>
      <w:pPr>
        <w:jc w:val="center"/>
      </w:pPr>
      <w:r>
        <w:rPr>
          <w:b/>
        </w:rPr>
        <w:t xml:space="preserve">Sottotitolo proposto: </w:t>
      </w:r>
      <w:r>
        <w:t>How modern diets, lost food diversity and the gut-brain axis may be changing depression</w:t>
      </w:r>
    </w:p>
    <w:p/>
    <w:p/>
    <w:p/>
    <w:p>
      <w:pPr>
        <w:pStyle w:val="QuoteBox"/>
        <w:jc w:val="center"/>
      </w:pPr>
      <w:r>
        <w:rPr>
          <w:b/>
        </w:rPr>
        <w:t xml:space="preserve">Decisione centrale del progetto: </w:t>
      </w:r>
      <w:r>
        <w:t>il libro deve partire dalla nutrizione psichiatrica già documentata e arrivare alla food biodiversity depletion come ipotesi originale, falsificabile e ad alto potenziale esplicativo. Non deve promettere che il cibo curi la depressione; deve mostrare come il cibo cambi il terreno biologico, comportamentale e sociale della depressione.</w:t>
      </w:r>
    </w:p>
    <w:p/>
    <w:p/>
    <w:p/>
    <w:p>
      <w:pPr>
        <w:pStyle w:val="Fonte"/>
      </w:pPr>
      <w:r>
        <w:t>Fonti di base fornite: “Writing an English-Language Book on Food and Depression.docx” e “Food Biodiversity Depletion and Depression.docx”. Il presente documento usa tali fonti come dossier di partenza e riorganizza il materiale in una struttura editoriale, metodologica e operativa per la stesura di un libro.</w:t>
      </w:r>
    </w:p>
    <w:p>
      <w:r>
        <w:br w:type="page"/>
      </w:r>
    </w:p>
    <w:p>
      <w:pPr>
        <w:pStyle w:val="Heading1"/>
      </w:pPr>
      <w:r>
        <w:t>1. Sintesi esecutiva e decisione editoriale</w:t>
      </w:r>
    </w:p>
    <w:p>
      <w:r>
        <w:t>Questo documento stabilisce l’architettura operativa di un libro di divulgazione scientifica avanzata, scritto con il rigore di un ricercatore universitario ma destinato a un pubblico colto, clinici inclusi. Il manoscritto dovrà collocarsi tra nutrizione psichiatrica, epidemiologia, microbioma, salute pubblica e sistemi alimentari.</w:t>
      </w:r>
    </w:p>
    <w:p>
      <w:r>
        <w:t>La decisione editoriale è che il libro non sia un manuale dietetico né un ricettario terapeutico. La promessa intellettuale è più forte: mostrare che la dieta è una componente del terreno in cui la depressione insorge, persiste, recidiva o migliora; e proporre la perdita di biodiversità alimentare come variabile ancora poco studiata ma potenzialmente decisiva.</w:t>
      </w:r>
    </w:p>
    <w:p>
      <w:pPr>
        <w:pStyle w:val="Heading3"/>
      </w:pPr>
      <w:r>
        <w:t>Tesi a due livelli</w:t>
      </w:r>
    </w:p>
    <w:p>
      <w:pPr>
        <w:ind w:left="425" w:hanging="255"/>
      </w:pPr>
      <w:r>
        <w:rPr>
          <w:b w:val="0"/>
        </w:rPr>
        <w:t xml:space="preserve">1.  </w:t>
      </w:r>
      <w:r>
        <w:t>Livello consolidato: la letteratura su dieta e depressione sostiene con prudenza che i pattern alimentari sani, in particolare di tipo mediterraneo o anti-infiammatorio, sono associati a minore rischio depressivo e che alcuni interventi dietetici possono ridurre i sintomi come strategia aggiuntiva, non sostitutiva.</w:t>
      </w:r>
    </w:p>
    <w:p>
      <w:pPr>
        <w:ind w:left="425" w:hanging="255"/>
      </w:pPr>
      <w:r>
        <w:rPr>
          <w:b w:val="0"/>
        </w:rPr>
        <w:t xml:space="preserve">2.  </w:t>
      </w:r>
      <w:r>
        <w:t>Livello originale: la food biodiversity depletion potrebbe spiegare una quota del fenomeno che le categorie attuali non catturano pienamente. La variabile chiave non è soltanto “mangiare sano”, ma la ricchezza reale di specie alimentari, fibre, polifenoli, fermentati, fonti proteiche, cibi culturalmente trasmessi e repertori culinari accessibili.</w:t>
      </w:r>
    </w:p>
    <w:p>
      <w:pPr>
        <w:pStyle w:val="Heading3"/>
      </w:pPr>
      <w:r>
        <w:t>Formula guida del libro</w:t>
      </w:r>
    </w:p>
    <w:p>
      <w:pPr>
        <w:pStyle w:val="QuoteBox"/>
        <w:jc w:val="center"/>
      </w:pPr>
      <w:r>
        <w:rPr>
          <w:i/>
        </w:rPr>
        <w:t>La domanda non è solo se una dieta sia sana, ma quanto mondo biologico, sociale e culturale contenga abbastanza da sostenere un cervello, un microbiota e una vita quotidiana capaci di resistere alla depressione.</w:t>
      </w:r>
    </w:p>
    <w:p>
      <w:pPr>
        <w:pStyle w:val="Heading3"/>
      </w:pPr>
      <w:r>
        <w:t>Confini non negoziabili</w:t>
      </w:r>
    </w:p>
    <w:p>
      <w:pPr>
        <w:pStyle w:val="ListBullet"/>
      </w:pPr>
      <w:r>
        <w:rPr>
          <w:b/>
        </w:rPr>
        <w:t xml:space="preserve">Non sostenere che il cibo “cura” la depressione. </w:t>
      </w:r>
      <w:r>
        <w:t>La dieta va presentata come fattore di rischio, supporto terapeutico e leva preventiva, mai come sostituto di psicoterapia, farmacoterapia o valutazione medica.</w:t>
      </w:r>
    </w:p>
    <w:p>
      <w:pPr>
        <w:pStyle w:val="ListBullet"/>
      </w:pPr>
      <w:r>
        <w:rPr>
          <w:b/>
        </w:rPr>
        <w:t xml:space="preserve">Non vendere la biodiversità come fatto causale già dimostrato. </w:t>
      </w:r>
      <w:r>
        <w:t>La fonte sulla biodiversità alimentare indica una lacuna reale: esistono studi su diversità alimentare e depressione, ma non una letteratura robusta sulla dietary species richness come esposizione primaria per la depressione.</w:t>
      </w:r>
    </w:p>
    <w:p>
      <w:pPr>
        <w:pStyle w:val="ListBullet"/>
      </w:pPr>
      <w:r>
        <w:rPr>
          <w:b/>
        </w:rPr>
        <w:t xml:space="preserve">Non ridurre il libro agli integratori. </w:t>
      </w:r>
      <w:r>
        <w:t>Omega-3, vitamina D, metilfolato, B12, zinco e probiotici entrano come strumenti condizionali e supervisionati, non come cuore del progetto.</w:t>
      </w:r>
    </w:p>
    <w:p>
      <w:pPr>
        <w:pStyle w:val="ListBullet"/>
      </w:pPr>
      <w:r>
        <w:rPr>
          <w:b/>
        </w:rPr>
        <w:t xml:space="preserve">Non colpevolizzare il paziente. </w:t>
      </w:r>
      <w:r>
        <w:t>Il libro dovrà mostrare che la bassa biodiversità alimentare è spesso effetto di povertà, tempo insufficiente, turni di lavoro, caregiver burden, food insecurity, isolamento, fatica depressiva e ambiente alimentare industriale.</w:t>
      </w:r>
    </w:p>
    <w:p>
      <w:pPr>
        <w:pStyle w:val="Heading3"/>
      </w:pPr>
      <w:r>
        <w:t>Formato consigliato del libro</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62"/>
        <w:gridCol w:w="4762"/>
      </w:tblGrid>
      <w:tr>
        <w:trPr>
          <w:tblHeader/>
          <w:cantSplit/>
        </w:trPr>
        <w:tc>
          <w:tcPr>
            <w:tcW w:type="dxa" w:w="4762"/>
            <w:shd w:fill="1F4E79"/>
            <w:tcMar>
              <w:top w:w="80" w:type="dxa"/>
              <w:start w:w="80" w:type="dxa"/>
              <w:bottom w:w="80" w:type="dxa"/>
              <w:end w:w="80" w:type="dxa"/>
            </w:tcMar>
            <w:vAlign w:val="top"/>
          </w:tcPr>
          <w:p>
            <w:r/>
            <w:r>
              <w:rPr>
                <w:b/>
                <w:color w:val="FFFFFF"/>
                <w:sz w:val="18"/>
              </w:rPr>
              <w:t>Parametro</w:t>
            </w:r>
          </w:p>
        </w:tc>
        <w:tc>
          <w:tcPr>
            <w:tcW w:type="dxa" w:w="4762"/>
            <w:shd w:fill="1F4E79"/>
            <w:tcMar>
              <w:top w:w="80" w:type="dxa"/>
              <w:start w:w="80" w:type="dxa"/>
              <w:bottom w:w="80" w:type="dxa"/>
              <w:end w:w="80" w:type="dxa"/>
            </w:tcMar>
            <w:vAlign w:val="top"/>
          </w:tcPr>
          <w:p>
            <w:r/>
            <w:r>
              <w:rPr>
                <w:b/>
                <w:color w:val="FFFFFF"/>
                <w:sz w:val="18"/>
              </w:rPr>
              <w:t>Decisione operativa</w:t>
            </w:r>
          </w:p>
        </w:tc>
      </w:tr>
      <w:tr>
        <w:trPr>
          <w:cantSplit/>
        </w:trPr>
        <w:tc>
          <w:tcPr>
            <w:tcW w:type="dxa" w:w="4762"/>
            <w:tcMar>
              <w:top w:w="80" w:type="dxa"/>
              <w:start w:w="80" w:type="dxa"/>
              <w:bottom w:w="80" w:type="dxa"/>
              <w:end w:w="80" w:type="dxa"/>
            </w:tcMar>
            <w:vAlign w:val="top"/>
          </w:tcPr>
          <w:p>
            <w:r/>
            <w:r>
              <w:rPr>
                <w:b/>
                <w:sz w:val="17"/>
              </w:rPr>
              <w:t>Genere</w:t>
            </w:r>
          </w:p>
        </w:tc>
        <w:tc>
          <w:tcPr>
            <w:tcW w:type="dxa" w:w="4762"/>
            <w:tcMar>
              <w:top w:w="80" w:type="dxa"/>
              <w:start w:w="80" w:type="dxa"/>
              <w:bottom w:w="80" w:type="dxa"/>
              <w:end w:w="80" w:type="dxa"/>
            </w:tcMar>
            <w:vAlign w:val="top"/>
          </w:tcPr>
          <w:p>
            <w:r/>
            <w:r>
              <w:rPr>
                <w:b w:val="0"/>
                <w:sz w:val="17"/>
              </w:rPr>
              <w:t>Saggio scientifico-narrativo evidence-led, non self-help commerciale.</w:t>
            </w:r>
          </w:p>
        </w:tc>
      </w:tr>
      <w:tr>
        <w:trPr>
          <w:cantSplit/>
        </w:trPr>
        <w:tc>
          <w:tcPr>
            <w:tcW w:type="dxa" w:w="4762"/>
            <w:tcMar>
              <w:top w:w="80" w:type="dxa"/>
              <w:start w:w="80" w:type="dxa"/>
              <w:bottom w:w="80" w:type="dxa"/>
              <w:end w:w="80" w:type="dxa"/>
            </w:tcMar>
            <w:vAlign w:val="top"/>
          </w:tcPr>
          <w:p>
            <w:r/>
            <w:r>
              <w:rPr>
                <w:b/>
                <w:sz w:val="17"/>
              </w:rPr>
              <w:t>Pubblico</w:t>
            </w:r>
          </w:p>
        </w:tc>
        <w:tc>
          <w:tcPr>
            <w:tcW w:type="dxa" w:w="4762"/>
            <w:tcMar>
              <w:top w:w="80" w:type="dxa"/>
              <w:start w:w="80" w:type="dxa"/>
              <w:bottom w:w="80" w:type="dxa"/>
              <w:end w:w="80" w:type="dxa"/>
            </w:tcMar>
            <w:vAlign w:val="top"/>
          </w:tcPr>
          <w:p>
            <w:r/>
            <w:r>
              <w:rPr>
                <w:b w:val="0"/>
                <w:sz w:val="17"/>
              </w:rPr>
              <w:t>Lettori colti, professionisti della salute mentale, dietisti, medici di medicina generale, studenti di nutrizione/salute pubblica.</w:t>
            </w:r>
          </w:p>
        </w:tc>
      </w:tr>
      <w:tr>
        <w:trPr>
          <w:cantSplit/>
        </w:trPr>
        <w:tc>
          <w:tcPr>
            <w:tcW w:type="dxa" w:w="4762"/>
            <w:tcMar>
              <w:top w:w="80" w:type="dxa"/>
              <w:start w:w="80" w:type="dxa"/>
              <w:bottom w:w="80" w:type="dxa"/>
              <w:end w:w="80" w:type="dxa"/>
            </w:tcMar>
            <w:vAlign w:val="top"/>
          </w:tcPr>
          <w:p>
            <w:r/>
            <w:r>
              <w:rPr>
                <w:b/>
                <w:sz w:val="17"/>
              </w:rPr>
              <w:t>Lunghezza</w:t>
            </w:r>
          </w:p>
        </w:tc>
        <w:tc>
          <w:tcPr>
            <w:tcW w:type="dxa" w:w="4762"/>
            <w:tcMar>
              <w:top w:w="80" w:type="dxa"/>
              <w:start w:w="80" w:type="dxa"/>
              <w:bottom w:w="80" w:type="dxa"/>
              <w:end w:w="80" w:type="dxa"/>
            </w:tcMar>
            <w:vAlign w:val="top"/>
          </w:tcPr>
          <w:p>
            <w:r/>
            <w:r>
              <w:rPr>
                <w:b w:val="0"/>
                <w:sz w:val="17"/>
              </w:rPr>
              <w:t>85.000-95.000 parole, più appendici metodologiche e bibliografia ragionata.</w:t>
            </w:r>
          </w:p>
        </w:tc>
      </w:tr>
      <w:tr>
        <w:trPr>
          <w:cantSplit/>
        </w:trPr>
        <w:tc>
          <w:tcPr>
            <w:tcW w:type="dxa" w:w="4762"/>
            <w:tcMar>
              <w:top w:w="80" w:type="dxa"/>
              <w:start w:w="80" w:type="dxa"/>
              <w:bottom w:w="80" w:type="dxa"/>
              <w:end w:w="80" w:type="dxa"/>
            </w:tcMar>
            <w:vAlign w:val="top"/>
          </w:tcPr>
          <w:p>
            <w:r/>
            <w:r>
              <w:rPr>
                <w:b/>
                <w:sz w:val="17"/>
              </w:rPr>
              <w:t>Lingua editoriale</w:t>
            </w:r>
          </w:p>
        </w:tc>
        <w:tc>
          <w:tcPr>
            <w:tcW w:type="dxa" w:w="4762"/>
            <w:tcMar>
              <w:top w:w="80" w:type="dxa"/>
              <w:start w:w="80" w:type="dxa"/>
              <w:bottom w:w="80" w:type="dxa"/>
              <w:end w:w="80" w:type="dxa"/>
            </w:tcMar>
            <w:vAlign w:val="top"/>
          </w:tcPr>
          <w:p>
            <w:r/>
            <w:r>
              <w:rPr>
                <w:b w:val="0"/>
                <w:sz w:val="17"/>
              </w:rPr>
              <w:t>Libro in inglese; presente progetto operativo redatto in italiano per uso interno.</w:t>
            </w:r>
          </w:p>
        </w:tc>
      </w:tr>
      <w:tr>
        <w:trPr>
          <w:cantSplit/>
        </w:trPr>
        <w:tc>
          <w:tcPr>
            <w:tcW w:type="dxa" w:w="4762"/>
            <w:tcMar>
              <w:top w:w="80" w:type="dxa"/>
              <w:start w:w="80" w:type="dxa"/>
              <w:bottom w:w="80" w:type="dxa"/>
              <w:end w:w="80" w:type="dxa"/>
            </w:tcMar>
            <w:vAlign w:val="top"/>
          </w:tcPr>
          <w:p>
            <w:r/>
            <w:r>
              <w:rPr>
                <w:b/>
                <w:sz w:val="17"/>
              </w:rPr>
              <w:t>Tono</w:t>
            </w:r>
          </w:p>
        </w:tc>
        <w:tc>
          <w:tcPr>
            <w:tcW w:type="dxa" w:w="4762"/>
            <w:tcMar>
              <w:top w:w="80" w:type="dxa"/>
              <w:start w:w="80" w:type="dxa"/>
              <w:bottom w:w="80" w:type="dxa"/>
              <w:end w:w="80" w:type="dxa"/>
            </w:tcMar>
            <w:vAlign w:val="top"/>
          </w:tcPr>
          <w:p>
            <w:r/>
            <w:r>
              <w:rPr>
                <w:b w:val="0"/>
                <w:sz w:val="17"/>
              </w:rPr>
              <w:t>Accademico accessibile: rigoroso, cauto, narrativo dove serve, critico verso l’hype nutrizionale.</w:t>
            </w:r>
          </w:p>
        </w:tc>
      </w:tr>
      <w:tr>
        <w:trPr>
          <w:cantSplit/>
        </w:trPr>
        <w:tc>
          <w:tcPr>
            <w:tcW w:type="dxa" w:w="4762"/>
            <w:tcMar>
              <w:top w:w="80" w:type="dxa"/>
              <w:start w:w="80" w:type="dxa"/>
              <w:bottom w:w="80" w:type="dxa"/>
              <w:end w:w="80" w:type="dxa"/>
            </w:tcMar>
            <w:vAlign w:val="top"/>
          </w:tcPr>
          <w:p>
            <w:r/>
            <w:r>
              <w:rPr>
                <w:b/>
                <w:sz w:val="17"/>
              </w:rPr>
              <w:t>Popolazione primaria</w:t>
            </w:r>
          </w:p>
        </w:tc>
        <w:tc>
          <w:tcPr>
            <w:tcW w:type="dxa" w:w="4762"/>
            <w:tcMar>
              <w:top w:w="80" w:type="dxa"/>
              <w:start w:w="80" w:type="dxa"/>
              <w:bottom w:w="80" w:type="dxa"/>
              <w:end w:w="80" w:type="dxa"/>
            </w:tcMar>
            <w:vAlign w:val="top"/>
          </w:tcPr>
          <w:p>
            <w:r/>
            <w:r>
              <w:rPr>
                <w:b w:val="0"/>
                <w:sz w:val="17"/>
              </w:rPr>
              <w:t>Adulti; adolescenti, età avanzata e perinatale da trattare come estensioni future o box laterali.</w:t>
            </w:r>
          </w:p>
        </w:tc>
      </w:tr>
      <w:tr>
        <w:trPr>
          <w:cantSplit/>
        </w:trPr>
        <w:tc>
          <w:tcPr>
            <w:tcW w:type="dxa" w:w="4762"/>
            <w:tcMar>
              <w:top w:w="80" w:type="dxa"/>
              <w:start w:w="80" w:type="dxa"/>
              <w:bottom w:w="80" w:type="dxa"/>
              <w:end w:w="80" w:type="dxa"/>
            </w:tcMar>
            <w:vAlign w:val="top"/>
          </w:tcPr>
          <w:p>
            <w:r/>
            <w:r>
              <w:rPr>
                <w:b/>
                <w:sz w:val="17"/>
              </w:rPr>
              <w:t>Angolo distintivo</w:t>
            </w:r>
          </w:p>
        </w:tc>
        <w:tc>
          <w:tcPr>
            <w:tcW w:type="dxa" w:w="4762"/>
            <w:tcMar>
              <w:top w:w="80" w:type="dxa"/>
              <w:start w:w="80" w:type="dxa"/>
              <w:bottom w:w="80" w:type="dxa"/>
              <w:end w:w="80" w:type="dxa"/>
            </w:tcMar>
            <w:vAlign w:val="top"/>
          </w:tcPr>
          <w:p>
            <w:r/>
            <w:r>
              <w:rPr>
                <w:b w:val="0"/>
                <w:sz w:val="17"/>
              </w:rPr>
              <w:t>Dalla nutrizione psichiatrica alla biodiversità alimentare come ipotesi unificante e falsificabile.</w:t>
            </w:r>
          </w:p>
        </w:tc>
      </w:tr>
    </w:tbl>
    <w:p>
      <w:pPr>
        <w:pStyle w:val="Heading1"/>
      </w:pPr>
      <w:r>
        <w:t>2. Mappa delle evidenze da cui partire</w:t>
      </w:r>
    </w:p>
    <w:p>
      <w:r>
        <w:t>Le due fonti fornite convergono su un punto: la nutrizione psichiatrica è abbastanza solida da sostenere un libro, ma non abbastanza da permettere promesse semplicistiche. La biodiversità alimentare, invece, è un fronte più nuovo: promettente, coerente con vari meccanismi, ma ancora non dimostrato come causa indipendente della depressione.</w:t>
      </w:r>
    </w:p>
    <w:p>
      <w:pPr>
        <w:pStyle w:val="Heading3"/>
      </w:pPr>
      <w:r>
        <w:t>Strati di evidenza da separare nel manoscritto</w:t>
      </w:r>
    </w:p>
    <w:p>
      <w:pPr>
        <w:pStyle w:val="ListBullet"/>
      </w:pPr>
      <w:r>
        <w:rPr>
          <w:b/>
        </w:rPr>
        <w:t xml:space="preserve">Pattern alimentari e rischio: </w:t>
      </w:r>
      <w:r>
        <w:t>Studi osservazionali longitudinali su dieta mediterranea, indici di qualità dietetica e Dietary Inflammatory Index. Servono per il contesto preventivo, ma devono essere letti con confondimento e causalità inversa in mente.</w:t>
      </w:r>
    </w:p>
    <w:p>
      <w:pPr>
        <w:pStyle w:val="ListBullet"/>
      </w:pPr>
      <w:r>
        <w:rPr>
          <w:b/>
        </w:rPr>
        <w:t xml:space="preserve">Trial dietetici e trattamento: </w:t>
      </w:r>
      <w:r>
        <w:t>SMILES, HELFIMED, AMMEND, PREDIDEP e trial simili sono il nucleo narrativo più forte: indicano che cambiare un pattern alimentare può migliorare sintomi depressivi in alcuni adulti.</w:t>
      </w:r>
    </w:p>
    <w:p>
      <w:pPr>
        <w:pStyle w:val="ListBullet"/>
      </w:pPr>
      <w:r>
        <w:rPr>
          <w:b/>
        </w:rPr>
        <w:t xml:space="preserve">Esposizioni negative: </w:t>
      </w:r>
      <w:r>
        <w:t>Ultra-processed foods, zuccheri e dieta industriale sono il versante di rischio: non solo eccesso calorico, ma sostituzione di fibre, cibi minimamente processati, fermentati e varietà reale.</w:t>
      </w:r>
    </w:p>
    <w:p>
      <w:pPr>
        <w:pStyle w:val="ListBullet"/>
      </w:pPr>
      <w:r>
        <w:rPr>
          <w:b/>
        </w:rPr>
        <w:t xml:space="preserve">Nutraceutici: </w:t>
      </w:r>
      <w:r>
        <w:t>Omega-3, vitamina D, metilfolato, B12, zinco e probiotici hanno ruoli differenziati e condizionali. Il libro deve trattarli come adjunct, non come scorciatoie.</w:t>
      </w:r>
    </w:p>
    <w:p>
      <w:pPr>
        <w:pStyle w:val="ListBullet"/>
      </w:pPr>
      <w:r>
        <w:rPr>
          <w:b/>
        </w:rPr>
        <w:t xml:space="preserve">Meccanismi: </w:t>
      </w:r>
      <w:r>
        <w:t>Infiammazione, metabolismo glucidico, microbiota, SCFA, vie del triptofano, vagal signalling, one-carbon metabolism e micronutrienti sono i ponti biologici.</w:t>
      </w:r>
    </w:p>
    <w:p>
      <w:pPr>
        <w:pStyle w:val="ListBullet"/>
      </w:pPr>
      <w:r>
        <w:rPr>
          <w:b/>
        </w:rPr>
        <w:t xml:space="preserve">Biodiversità alimentare: </w:t>
      </w:r>
      <w:r>
        <w:t>Dietary species richness, within-group diversity, food biodiversity e biodiversity gap sono il contributo originale. La letteratura sanitaria esiste, ma la connessione specifica con depressione resta una frontiera.</w:t>
      </w:r>
    </w:p>
    <w:p>
      <w:pPr>
        <w:pStyle w:val="Heading3"/>
      </w:pPr>
      <w:r>
        <w:t>Interpretazione dei principali studi e sintesi</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75"/>
        <w:gridCol w:w="3175"/>
        <w:gridCol w:w="3175"/>
      </w:tblGrid>
      <w:tr>
        <w:trPr>
          <w:tblHeader/>
          <w:cantSplit/>
        </w:trPr>
        <w:tc>
          <w:tcPr>
            <w:tcW w:type="dxa" w:w="3175"/>
            <w:shd w:fill="1F4E79"/>
            <w:tcMar>
              <w:top w:w="80" w:type="dxa"/>
              <w:start w:w="80" w:type="dxa"/>
              <w:bottom w:w="80" w:type="dxa"/>
              <w:end w:w="80" w:type="dxa"/>
            </w:tcMar>
            <w:vAlign w:val="top"/>
          </w:tcPr>
          <w:p>
            <w:r/>
            <w:r>
              <w:rPr>
                <w:b/>
                <w:color w:val="FFFFFF"/>
                <w:sz w:val="17"/>
              </w:rPr>
              <w:t>Studio / filone</w:t>
            </w:r>
          </w:p>
        </w:tc>
        <w:tc>
          <w:tcPr>
            <w:tcW w:type="dxa" w:w="3175"/>
            <w:shd w:fill="1F4E79"/>
            <w:tcMar>
              <w:top w:w="80" w:type="dxa"/>
              <w:start w:w="80" w:type="dxa"/>
              <w:bottom w:w="80" w:type="dxa"/>
              <w:end w:w="80" w:type="dxa"/>
            </w:tcMar>
            <w:vAlign w:val="top"/>
          </w:tcPr>
          <w:p>
            <w:r/>
            <w:r>
              <w:rPr>
                <w:b/>
                <w:color w:val="FFFFFF"/>
                <w:sz w:val="17"/>
              </w:rPr>
              <w:t>Risultato utile al libro</w:t>
            </w:r>
          </w:p>
        </w:tc>
        <w:tc>
          <w:tcPr>
            <w:tcW w:type="dxa" w:w="3175"/>
            <w:shd w:fill="1F4E79"/>
            <w:tcMar>
              <w:top w:w="80" w:type="dxa"/>
              <w:start w:w="80" w:type="dxa"/>
              <w:bottom w:w="80" w:type="dxa"/>
              <w:end w:w="80" w:type="dxa"/>
            </w:tcMar>
            <w:vAlign w:val="top"/>
          </w:tcPr>
          <w:p>
            <w:r/>
            <w:r>
              <w:rPr>
                <w:b/>
                <w:color w:val="FFFFFF"/>
                <w:sz w:val="17"/>
              </w:rPr>
              <w:t>Uso editoriale corretto</w:t>
            </w:r>
          </w:p>
        </w:tc>
      </w:tr>
      <w:tr>
        <w:trPr>
          <w:cantSplit/>
        </w:trPr>
        <w:tc>
          <w:tcPr>
            <w:tcW w:type="dxa" w:w="3175"/>
            <w:tcMar>
              <w:top w:w="60" w:type="dxa"/>
              <w:start w:w="80" w:type="dxa"/>
              <w:bottom w:w="60" w:type="dxa"/>
              <w:end w:w="80" w:type="dxa"/>
            </w:tcMar>
            <w:vAlign w:val="top"/>
          </w:tcPr>
          <w:p>
            <w:r/>
            <w:r>
              <w:rPr>
                <w:b/>
                <w:sz w:val="15"/>
              </w:rPr>
              <w:t>SMILES</w:t>
            </w:r>
          </w:p>
        </w:tc>
        <w:tc>
          <w:tcPr>
            <w:tcW w:type="dxa" w:w="3175"/>
            <w:tcMar>
              <w:top w:w="60" w:type="dxa"/>
              <w:start w:w="80" w:type="dxa"/>
              <w:bottom w:w="60" w:type="dxa"/>
              <w:end w:w="80" w:type="dxa"/>
            </w:tcMar>
            <w:vAlign w:val="top"/>
          </w:tcPr>
          <w:p>
            <w:r/>
            <w:r>
              <w:rPr>
                <w:b w:val="0"/>
                <w:sz w:val="15"/>
              </w:rPr>
              <w:t>RCT di 12 settimane su adulti con depressione maggiore e dieta povera; dieta mediterranea modificata superiore al social support su MADRS e remissione.</w:t>
            </w:r>
          </w:p>
        </w:tc>
        <w:tc>
          <w:tcPr>
            <w:tcW w:type="dxa" w:w="3175"/>
            <w:tcMar>
              <w:top w:w="60" w:type="dxa"/>
              <w:start w:w="80" w:type="dxa"/>
              <w:bottom w:w="60" w:type="dxa"/>
              <w:end w:w="80" w:type="dxa"/>
            </w:tcMar>
            <w:vAlign w:val="top"/>
          </w:tcPr>
          <w:p>
            <w:r/>
            <w:r>
              <w:rPr>
                <w:b w:val="0"/>
                <w:sz w:val="15"/>
              </w:rPr>
              <w:t>Capitolo prova-di-concetto: dieta come trattamento aggiuntivo, con discussione di campione piccolo e impossibilità di cieco pieno.</w:t>
            </w:r>
          </w:p>
        </w:tc>
      </w:tr>
      <w:tr>
        <w:trPr>
          <w:cantSplit/>
        </w:trPr>
        <w:tc>
          <w:tcPr>
            <w:tcW w:type="dxa" w:w="3175"/>
            <w:tcMar>
              <w:top w:w="60" w:type="dxa"/>
              <w:start w:w="80" w:type="dxa"/>
              <w:bottom w:w="60" w:type="dxa"/>
              <w:end w:w="80" w:type="dxa"/>
            </w:tcMar>
            <w:vAlign w:val="top"/>
          </w:tcPr>
          <w:p>
            <w:r/>
            <w:r>
              <w:rPr>
                <w:b/>
                <w:sz w:val="15"/>
              </w:rPr>
              <w:t>HELFIMED</w:t>
            </w:r>
          </w:p>
        </w:tc>
        <w:tc>
          <w:tcPr>
            <w:tcW w:type="dxa" w:w="3175"/>
            <w:tcMar>
              <w:top w:w="60" w:type="dxa"/>
              <w:start w:w="80" w:type="dxa"/>
              <w:bottom w:w="60" w:type="dxa"/>
              <w:end w:w="80" w:type="dxa"/>
            </w:tcMar>
            <w:vAlign w:val="top"/>
          </w:tcPr>
          <w:p>
            <w:r/>
            <w:r>
              <w:rPr>
                <w:b w:val="0"/>
                <w:sz w:val="15"/>
              </w:rPr>
              <w:t>Intervento mediterraneo con supporti alimentari/cooking workshop più fish oil; miglioramenti su depressione e qualità di vita mentale.</w:t>
            </w:r>
          </w:p>
        </w:tc>
        <w:tc>
          <w:tcPr>
            <w:tcW w:type="dxa" w:w="3175"/>
            <w:tcMar>
              <w:top w:w="60" w:type="dxa"/>
              <w:start w:w="80" w:type="dxa"/>
              <w:bottom w:w="60" w:type="dxa"/>
              <w:end w:w="80" w:type="dxa"/>
            </w:tcMar>
            <w:vAlign w:val="top"/>
          </w:tcPr>
          <w:p>
            <w:r/>
            <w:r>
              <w:rPr>
                <w:b w:val="0"/>
                <w:sz w:val="15"/>
              </w:rPr>
              <w:t>Mostrare il valore della dieta assistita, ma chiarire che l’attribuzione al solo pattern alimentare è complessa.</w:t>
            </w:r>
          </w:p>
        </w:tc>
      </w:tr>
      <w:tr>
        <w:trPr>
          <w:cantSplit/>
        </w:trPr>
        <w:tc>
          <w:tcPr>
            <w:tcW w:type="dxa" w:w="3175"/>
            <w:tcMar>
              <w:top w:w="60" w:type="dxa"/>
              <w:start w:w="80" w:type="dxa"/>
              <w:bottom w:w="60" w:type="dxa"/>
              <w:end w:w="80" w:type="dxa"/>
            </w:tcMar>
            <w:vAlign w:val="top"/>
          </w:tcPr>
          <w:p>
            <w:r/>
            <w:r>
              <w:rPr>
                <w:b/>
                <w:sz w:val="15"/>
              </w:rPr>
              <w:t>AMMEND</w:t>
            </w:r>
          </w:p>
        </w:tc>
        <w:tc>
          <w:tcPr>
            <w:tcW w:type="dxa" w:w="3175"/>
            <w:tcMar>
              <w:top w:w="60" w:type="dxa"/>
              <w:start w:w="80" w:type="dxa"/>
              <w:bottom w:w="60" w:type="dxa"/>
              <w:end w:w="80" w:type="dxa"/>
            </w:tcMar>
            <w:vAlign w:val="top"/>
          </w:tcPr>
          <w:p>
            <w:r/>
            <w:r>
              <w:rPr>
                <w:b w:val="0"/>
                <w:sz w:val="15"/>
              </w:rPr>
              <w:t>Trial in giovani uomini con depressione clinica; segnale forte a favore del counselling mediterraneo.</w:t>
            </w:r>
          </w:p>
        </w:tc>
        <w:tc>
          <w:tcPr>
            <w:tcW w:type="dxa" w:w="3175"/>
            <w:tcMar>
              <w:top w:w="60" w:type="dxa"/>
              <w:start w:w="80" w:type="dxa"/>
              <w:bottom w:w="60" w:type="dxa"/>
              <w:end w:w="80" w:type="dxa"/>
            </w:tcMar>
            <w:vAlign w:val="top"/>
          </w:tcPr>
          <w:p>
            <w:r/>
            <w:r>
              <w:rPr>
                <w:b w:val="0"/>
                <w:sz w:val="15"/>
              </w:rPr>
              <w:t>Usarlo per allargare la narrazione oltre adulti di mezza età, ma indicare il campione ristretto.</w:t>
            </w:r>
          </w:p>
        </w:tc>
      </w:tr>
      <w:tr>
        <w:trPr>
          <w:cantSplit/>
        </w:trPr>
        <w:tc>
          <w:tcPr>
            <w:tcW w:type="dxa" w:w="3175"/>
            <w:tcMar>
              <w:top w:w="60" w:type="dxa"/>
              <w:start w:w="80" w:type="dxa"/>
              <w:bottom w:w="60" w:type="dxa"/>
              <w:end w:w="80" w:type="dxa"/>
            </w:tcMar>
            <w:vAlign w:val="top"/>
          </w:tcPr>
          <w:p>
            <w:r/>
            <w:r>
              <w:rPr>
                <w:b/>
                <w:sz w:val="15"/>
              </w:rPr>
              <w:t>MooDFOOD</w:t>
            </w:r>
          </w:p>
        </w:tc>
        <w:tc>
          <w:tcPr>
            <w:tcW w:type="dxa" w:w="3175"/>
            <w:tcMar>
              <w:top w:w="60" w:type="dxa"/>
              <w:start w:w="80" w:type="dxa"/>
              <w:bottom w:w="60" w:type="dxa"/>
              <w:end w:w="80" w:type="dxa"/>
            </w:tcMar>
            <w:vAlign w:val="top"/>
          </w:tcPr>
          <w:p>
            <w:r/>
            <w:r>
              <w:rPr>
                <w:b w:val="0"/>
                <w:sz w:val="15"/>
              </w:rPr>
              <w:t>Trial preventivo ampio: supplemento multinutriente e behavioural activation alimentare non prevengono MDD.</w:t>
            </w:r>
          </w:p>
        </w:tc>
        <w:tc>
          <w:tcPr>
            <w:tcW w:type="dxa" w:w="3175"/>
            <w:tcMar>
              <w:top w:w="60" w:type="dxa"/>
              <w:start w:w="80" w:type="dxa"/>
              <w:bottom w:w="60" w:type="dxa"/>
              <w:end w:w="80" w:type="dxa"/>
            </w:tcMar>
            <w:vAlign w:val="top"/>
          </w:tcPr>
          <w:p>
            <w:r/>
            <w:r>
              <w:rPr>
                <w:b w:val="0"/>
                <w:sz w:val="15"/>
              </w:rPr>
              <w:t>Contro-capitolo necessario: prevenzione è più difficile del trattamento sintomatico; integratori non bastano.</w:t>
            </w:r>
          </w:p>
        </w:tc>
      </w:tr>
      <w:tr>
        <w:trPr>
          <w:cantSplit/>
        </w:trPr>
        <w:tc>
          <w:tcPr>
            <w:tcW w:type="dxa" w:w="3175"/>
            <w:tcMar>
              <w:top w:w="60" w:type="dxa"/>
              <w:start w:w="80" w:type="dxa"/>
              <w:bottom w:w="60" w:type="dxa"/>
              <w:end w:w="80" w:type="dxa"/>
            </w:tcMar>
            <w:vAlign w:val="top"/>
          </w:tcPr>
          <w:p>
            <w:r/>
            <w:r>
              <w:rPr>
                <w:b/>
                <w:sz w:val="15"/>
              </w:rPr>
              <w:t>UPF cohort</w:t>
            </w:r>
          </w:p>
        </w:tc>
        <w:tc>
          <w:tcPr>
            <w:tcW w:type="dxa" w:w="3175"/>
            <w:tcMar>
              <w:top w:w="60" w:type="dxa"/>
              <w:start w:w="80" w:type="dxa"/>
              <w:bottom w:w="60" w:type="dxa"/>
              <w:end w:w="80" w:type="dxa"/>
            </w:tcMar>
            <w:vAlign w:val="top"/>
          </w:tcPr>
          <w:p>
            <w:r/>
            <w:r>
              <w:rPr>
                <w:b w:val="0"/>
                <w:sz w:val="15"/>
              </w:rPr>
              <w:t>Cohort prospettica ampia: maggiore esposizione a ultra-processed foods associata a maggiore rischio di depressione incidente.</w:t>
            </w:r>
          </w:p>
        </w:tc>
        <w:tc>
          <w:tcPr>
            <w:tcW w:type="dxa" w:w="3175"/>
            <w:tcMar>
              <w:top w:w="60" w:type="dxa"/>
              <w:start w:w="80" w:type="dxa"/>
              <w:bottom w:w="60" w:type="dxa"/>
              <w:end w:w="80" w:type="dxa"/>
            </w:tcMar>
            <w:vAlign w:val="top"/>
          </w:tcPr>
          <w:p>
            <w:r/>
            <w:r>
              <w:rPr>
                <w:b w:val="0"/>
                <w:sz w:val="15"/>
              </w:rPr>
              <w:t>Usare come evidenza del food environment industriale, senza confondere UPF con biodiversità.</w:t>
            </w:r>
          </w:p>
        </w:tc>
      </w:tr>
      <w:tr>
        <w:trPr>
          <w:cantSplit/>
        </w:trPr>
        <w:tc>
          <w:tcPr>
            <w:tcW w:type="dxa" w:w="3175"/>
            <w:tcMar>
              <w:top w:w="60" w:type="dxa"/>
              <w:start w:w="80" w:type="dxa"/>
              <w:bottom w:w="60" w:type="dxa"/>
              <w:end w:w="80" w:type="dxa"/>
            </w:tcMar>
            <w:vAlign w:val="top"/>
          </w:tcPr>
          <w:p>
            <w:r/>
            <w:r>
              <w:rPr>
                <w:b/>
                <w:sz w:val="15"/>
              </w:rPr>
              <w:t>Dietary diversity studies</w:t>
            </w:r>
          </w:p>
        </w:tc>
        <w:tc>
          <w:tcPr>
            <w:tcW w:type="dxa" w:w="3175"/>
            <w:tcMar>
              <w:top w:w="60" w:type="dxa"/>
              <w:start w:w="80" w:type="dxa"/>
              <w:bottom w:w="60" w:type="dxa"/>
              <w:end w:w="80" w:type="dxa"/>
            </w:tcMar>
            <w:vAlign w:val="top"/>
          </w:tcPr>
          <w:p>
            <w:r/>
            <w:r>
              <w:rPr>
                <w:b w:val="0"/>
                <w:sz w:val="15"/>
              </w:rPr>
              <w:t>Meta-analisi e studi trasversali indicano associazione inversa tra diversità alimentare e depressione; evidenza spesso cross-sectional e grossolana.</w:t>
            </w:r>
          </w:p>
        </w:tc>
        <w:tc>
          <w:tcPr>
            <w:tcW w:type="dxa" w:w="3175"/>
            <w:tcMar>
              <w:top w:w="60" w:type="dxa"/>
              <w:start w:w="80" w:type="dxa"/>
              <w:bottom w:w="60" w:type="dxa"/>
              <w:end w:w="80" w:type="dxa"/>
            </w:tcMar>
            <w:vAlign w:val="top"/>
          </w:tcPr>
          <w:p>
            <w:r/>
            <w:r>
              <w:rPr>
                <w:b w:val="0"/>
                <w:sz w:val="15"/>
              </w:rPr>
              <w:t>Mostrare il predecessore concettuale della biodiversità, ma anche il limite: food-group counts non sono species richness.</w:t>
            </w:r>
          </w:p>
        </w:tc>
      </w:tr>
      <w:tr>
        <w:trPr>
          <w:cantSplit/>
        </w:trPr>
        <w:tc>
          <w:tcPr>
            <w:tcW w:type="dxa" w:w="3175"/>
            <w:tcMar>
              <w:top w:w="60" w:type="dxa"/>
              <w:start w:w="80" w:type="dxa"/>
              <w:bottom w:w="60" w:type="dxa"/>
              <w:end w:w="80" w:type="dxa"/>
            </w:tcMar>
            <w:vAlign w:val="top"/>
          </w:tcPr>
          <w:p>
            <w:r/>
            <w:r>
              <w:rPr>
                <w:b/>
                <w:sz w:val="15"/>
              </w:rPr>
              <w:t>Food biodiversity literature</w:t>
            </w:r>
          </w:p>
        </w:tc>
        <w:tc>
          <w:tcPr>
            <w:tcW w:type="dxa" w:w="3175"/>
            <w:tcMar>
              <w:top w:w="60" w:type="dxa"/>
              <w:start w:w="80" w:type="dxa"/>
              <w:bottom w:w="60" w:type="dxa"/>
              <w:end w:w="80" w:type="dxa"/>
            </w:tcMar>
            <w:vAlign w:val="top"/>
          </w:tcPr>
          <w:p>
            <w:r/>
            <w:r>
              <w:rPr>
                <w:b w:val="0"/>
                <w:sz w:val="15"/>
              </w:rPr>
              <w:t>Dietary species richness misurabile; studi su mortalità e altri outcome suggeriscono valore sanitario oltre gli score dietetici ordinari.</w:t>
            </w:r>
          </w:p>
        </w:tc>
        <w:tc>
          <w:tcPr>
            <w:tcW w:type="dxa" w:w="3175"/>
            <w:tcMar>
              <w:top w:w="60" w:type="dxa"/>
              <w:start w:w="80" w:type="dxa"/>
              <w:bottom w:w="60" w:type="dxa"/>
              <w:end w:w="80" w:type="dxa"/>
            </w:tcMar>
            <w:vAlign w:val="top"/>
          </w:tcPr>
          <w:p>
            <w:r/>
            <w:r>
              <w:rPr>
                <w:b w:val="0"/>
                <w:sz w:val="15"/>
              </w:rPr>
              <w:t>Base metodologica per la nuova ipotesi; non ancora prova depression-specific.</w:t>
            </w:r>
          </w:p>
        </w:tc>
      </w:tr>
      <w:tr>
        <w:trPr>
          <w:cantSplit/>
        </w:trPr>
        <w:tc>
          <w:tcPr>
            <w:tcW w:type="dxa" w:w="3175"/>
            <w:tcMar>
              <w:top w:w="60" w:type="dxa"/>
              <w:start w:w="80" w:type="dxa"/>
              <w:bottom w:w="60" w:type="dxa"/>
              <w:end w:w="80" w:type="dxa"/>
            </w:tcMar>
            <w:vAlign w:val="top"/>
          </w:tcPr>
          <w:p>
            <w:r/>
            <w:r>
              <w:rPr>
                <w:b/>
                <w:sz w:val="15"/>
              </w:rPr>
              <w:t>Microbiome in depression</w:t>
            </w:r>
          </w:p>
        </w:tc>
        <w:tc>
          <w:tcPr>
            <w:tcW w:type="dxa" w:w="3175"/>
            <w:tcMar>
              <w:top w:w="60" w:type="dxa"/>
              <w:start w:w="80" w:type="dxa"/>
              <w:bottom w:w="60" w:type="dxa"/>
              <w:end w:w="80" w:type="dxa"/>
            </w:tcMar>
            <w:vAlign w:val="top"/>
          </w:tcPr>
          <w:p>
            <w:r/>
            <w:r>
              <w:rPr>
                <w:b w:val="0"/>
                <w:sz w:val="15"/>
              </w:rPr>
              <w:t>Meta-analisi: non sempre calo globale di alpha diversity, ma segnali ripetuti su taxa butirrato-produttori e vie infiammatorie.</w:t>
            </w:r>
          </w:p>
        </w:tc>
        <w:tc>
          <w:tcPr>
            <w:tcW w:type="dxa" w:w="3175"/>
            <w:tcMar>
              <w:top w:w="60" w:type="dxa"/>
              <w:start w:w="80" w:type="dxa"/>
              <w:bottom w:w="60" w:type="dxa"/>
              <w:end w:w="80" w:type="dxa"/>
            </w:tcMar>
            <w:vAlign w:val="top"/>
          </w:tcPr>
          <w:p>
            <w:r/>
            <w:r>
              <w:rPr>
                <w:b w:val="0"/>
                <w:sz w:val="15"/>
              </w:rPr>
              <w:t>Capitolo meccanicistico: privilegiare funzione microbica e metabolomica, non slogan su “gut health”.</w:t>
            </w:r>
          </w:p>
        </w:tc>
      </w:tr>
    </w:tbl>
    <w:p>
      <w:pPr>
        <w:pStyle w:val="Heading1"/>
      </w:pPr>
      <w:r>
        <w:t>3. Contributo originale: dalla qualità della dieta alla biodiversità alimentare</w:t>
      </w:r>
    </w:p>
    <w:p>
      <w:r>
        <w:t>Il libro deve distinguere con precisione quattro concetti che spesso vengono confusi: qualità della dieta, riduzione degli ultra-processati, varietà alimentare e biodiversità alimentare. La novità non sta nel dire che “variare fa bene”, ma nel proporre che la ricchezza di specie alimentari possa essere una variabile misurabile, socialmente stratificata e biologicamente rilevante per la depressione.</w:t>
      </w:r>
    </w:p>
    <w:p>
      <w:pPr>
        <w:pStyle w:val="ListBullet"/>
      </w:pPr>
      <w:r>
        <w:rPr>
          <w:b/>
        </w:rPr>
        <w:t xml:space="preserve">Diet quality: </w:t>
      </w:r>
      <w:r>
        <w:t>Score complessivi di aderenza a pattern sani, per esempio dieta mediterranea o HEI/AHEI. Utili, ma spesso poco sensibili alla ricchezza intra-gruppo.</w:t>
      </w:r>
    </w:p>
    <w:p>
      <w:pPr>
        <w:pStyle w:val="ListBullet"/>
      </w:pPr>
      <w:r>
        <w:rPr>
          <w:b/>
        </w:rPr>
        <w:t xml:space="preserve">Ultra-processed food exposure: </w:t>
      </w:r>
      <w:r>
        <w:t>Quota di dieta proveniente da prodotti industriali altamente processati. Può aumentare rischio e spiazzare cibi biodiversi, ma non coincide con la biodiversità.</w:t>
      </w:r>
    </w:p>
    <w:p>
      <w:pPr>
        <w:pStyle w:val="ListBullet"/>
      </w:pPr>
      <w:r>
        <w:rPr>
          <w:b/>
        </w:rPr>
        <w:t xml:space="preserve">Dietary diversity: </w:t>
      </w:r>
      <w:r>
        <w:t>Conteggi di gruppi alimentari o “food kinds”. Predecessore concettuale vicino, ma spesso troppo grossolano.</w:t>
      </w:r>
    </w:p>
    <w:p>
      <w:pPr>
        <w:pStyle w:val="ListBullet"/>
      </w:pPr>
      <w:r>
        <w:rPr>
          <w:b/>
        </w:rPr>
        <w:t xml:space="preserve">Food biodiversity / dietary species richness: </w:t>
      </w:r>
      <w:r>
        <w:t>Numero di specie alimentari distinte consumate in un periodo, più within-group diversity e, idealmente, diversità fitochimica e microbica.</w:t>
      </w:r>
    </w:p>
    <w:p>
      <w:pPr>
        <w:pStyle w:val="ListBullet"/>
      </w:pPr>
      <w:r>
        <w:rPr>
          <w:b/>
        </w:rPr>
        <w:t xml:space="preserve">Dietary biodiversity gap: </w:t>
      </w:r>
      <w:r>
        <w:t>Differenza tra biodiversità realisticamente accessibile nell’ambiente economico-culturale di una persona e biodiversità effettivamente consumata. Costrutto proposto, non misura validata.</w:t>
      </w:r>
    </w:p>
    <w:p>
      <w:pPr>
        <w:pStyle w:val="Heading3"/>
      </w:pPr>
      <w:r>
        <w:t>Ipotesi falsificabile</w:t>
      </w:r>
    </w:p>
    <w:p>
      <w:r>
        <w:t>La predizione forte è che una bassa dietary species richness e una bassa diversità intra-gruppo predicano rischio depressivo, gravità o peggior recupero anche dopo aver controllato per calorie, macronutrienti, Mediterranean-diet score, quota UPF, reddito, food insecurity, sonno, attività fisica, BMI, fumo, alcol e sintomi depressivi basali. Se questo effetto scompare in analisi robuste, la biodiversità alimentare va interpretata come marker, non come driver.</w:t>
      </w:r>
    </w:p>
    <w:p>
      <w:pPr>
        <w:pStyle w:val="Heading3"/>
      </w:pPr>
      <w:r>
        <w:t>Modello causale da presentare nel libro</w:t>
      </w:r>
    </w:p>
    <w:p>
      <w:pPr>
        <w:ind w:left="425" w:hanging="255"/>
      </w:pPr>
      <w:r>
        <w:rPr>
          <w:b w:val="0"/>
        </w:rPr>
        <w:t xml:space="preserve">1.  </w:t>
      </w:r>
      <w:r>
        <w:t>Semplificazione del sistema alimentare: concentrazione su poche specie-base, retail concentration, prezzo degli alimenti freschi, convenience foods e spostamento verso UPF.</w:t>
      </w:r>
    </w:p>
    <w:p>
      <w:pPr>
        <w:ind w:left="425" w:hanging="255"/>
      </w:pPr>
      <w:r>
        <w:rPr>
          <w:b w:val="0"/>
        </w:rPr>
        <w:t xml:space="preserve">2.  </w:t>
      </w:r>
      <w:r>
        <w:t>Riduzione della dietary species richness: menu ripetitivi, poche piante, poche fibre diverse, pochi fermentati, scarsa diversità di proteine, erbe, spezie, semi e cereali.</w:t>
      </w:r>
    </w:p>
    <w:p>
      <w:pPr>
        <w:ind w:left="425" w:hanging="255"/>
      </w:pPr>
      <w:r>
        <w:rPr>
          <w:b w:val="0"/>
        </w:rPr>
        <w:t xml:space="preserve">3.  </w:t>
      </w:r>
      <w:r>
        <w:t>Effetti biologici: minore diversità di substrati per microbiota, ridotta ridondanza micronutrizionale, meno fitocomposti, minori vie butirrato-produttive, maggiore vulnerabilità infiammatoria/metabolica.</w:t>
      </w:r>
    </w:p>
    <w:p>
      <w:pPr>
        <w:ind w:left="425" w:hanging="255"/>
      </w:pPr>
      <w:r>
        <w:rPr>
          <w:b w:val="0"/>
        </w:rPr>
        <w:t xml:space="preserve">4.  </w:t>
      </w:r>
      <w:r>
        <w:t>Effetti comportamentali: depressione e fatica riducono shopping, cucina, colazione, orari regolari, sperimentazione e ricompensa alimentare.</w:t>
      </w:r>
    </w:p>
    <w:p>
      <w:pPr>
        <w:ind w:left="425" w:hanging="255"/>
      </w:pPr>
      <w:r>
        <w:rPr>
          <w:b w:val="0"/>
        </w:rPr>
        <w:t xml:space="preserve">5.  </w:t>
      </w:r>
      <w:r>
        <w:t>Effetti sociali: isolamento, mangiare da soli, perdita di cultura culinaria, food insecurity e disuguaglianze amplificano la restrizione alimentare.</w:t>
      </w:r>
    </w:p>
    <w:p>
      <w:pPr>
        <w:ind w:left="425" w:hanging="255"/>
      </w:pPr>
      <w:r>
        <w:rPr>
          <w:b w:val="0"/>
        </w:rPr>
        <w:t xml:space="preserve">6.  </w:t>
      </w:r>
      <w:r>
        <w:t>Feedback: la depressione restringe la dieta; la dieta ristretta può rendere più difficile il recupero. Il libro deve trattare questa bidirezionalità come problema scientifico centrale.</w:t>
      </w:r>
    </w:p>
    <w:p>
      <w:pPr>
        <w:pStyle w:val="Heading1"/>
      </w:pPr>
      <w:r>
        <w:t>4. Architettura generale del libro</w:t>
      </w:r>
    </w:p>
    <w:p>
      <w:r>
        <w:t>La struttura migliore è progressiva: il lettore deve prima fidarsi del rigore metodologico, poi comprendere l’evidenza già consolidata, poi accettare la biodiversità alimentare come ipotesi plausibile ma ancora da testare, infine vedere come questa ipotesi cambierebbe clinica, politiche e ricerca.</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381"/>
        <w:gridCol w:w="2381"/>
        <w:gridCol w:w="2381"/>
        <w:gridCol w:w="2381"/>
      </w:tblGrid>
      <w:tr>
        <w:trPr>
          <w:tblHeader/>
          <w:cantSplit/>
        </w:trPr>
        <w:tc>
          <w:tcPr>
            <w:tcW w:type="dxa" w:w="2381"/>
            <w:shd w:fill="1F4E79"/>
            <w:tcMar>
              <w:top w:w="80" w:type="dxa"/>
              <w:start w:w="80" w:type="dxa"/>
              <w:bottom w:w="80" w:type="dxa"/>
              <w:end w:w="80" w:type="dxa"/>
            </w:tcMar>
            <w:vAlign w:val="top"/>
          </w:tcPr>
          <w:p>
            <w:r/>
            <w:r>
              <w:rPr>
                <w:b/>
                <w:color w:val="FFFFFF"/>
                <w:sz w:val="17"/>
              </w:rPr>
              <w:t>Parte</w:t>
            </w:r>
          </w:p>
        </w:tc>
        <w:tc>
          <w:tcPr>
            <w:tcW w:type="dxa" w:w="2381"/>
            <w:shd w:fill="1F4E79"/>
            <w:tcMar>
              <w:top w:w="80" w:type="dxa"/>
              <w:start w:w="80" w:type="dxa"/>
              <w:bottom w:w="80" w:type="dxa"/>
              <w:end w:w="80" w:type="dxa"/>
            </w:tcMar>
            <w:vAlign w:val="top"/>
          </w:tcPr>
          <w:p>
            <w:r/>
            <w:r>
              <w:rPr>
                <w:b/>
                <w:color w:val="FFFFFF"/>
                <w:sz w:val="17"/>
              </w:rPr>
              <w:t>Capitoli</w:t>
            </w:r>
          </w:p>
        </w:tc>
        <w:tc>
          <w:tcPr>
            <w:tcW w:type="dxa" w:w="2381"/>
            <w:shd w:fill="1F4E79"/>
            <w:tcMar>
              <w:top w:w="80" w:type="dxa"/>
              <w:start w:w="80" w:type="dxa"/>
              <w:bottom w:w="80" w:type="dxa"/>
              <w:end w:w="80" w:type="dxa"/>
            </w:tcMar>
            <w:vAlign w:val="top"/>
          </w:tcPr>
          <w:p>
            <w:r/>
            <w:r>
              <w:rPr>
                <w:b/>
                <w:color w:val="FFFFFF"/>
                <w:sz w:val="17"/>
              </w:rPr>
              <w:t>Funzione</w:t>
            </w:r>
          </w:p>
        </w:tc>
        <w:tc>
          <w:tcPr>
            <w:tcW w:type="dxa" w:w="2381"/>
            <w:shd w:fill="1F4E79"/>
            <w:tcMar>
              <w:top w:w="80" w:type="dxa"/>
              <w:start w:w="80" w:type="dxa"/>
              <w:bottom w:w="80" w:type="dxa"/>
              <w:end w:w="80" w:type="dxa"/>
            </w:tcMar>
            <w:vAlign w:val="top"/>
          </w:tcPr>
          <w:p>
            <w:r/>
            <w:r>
              <w:rPr>
                <w:b/>
                <w:color w:val="FFFFFF"/>
                <w:sz w:val="17"/>
              </w:rPr>
              <w:t>Domanda guida</w:t>
            </w:r>
          </w:p>
        </w:tc>
      </w:tr>
      <w:tr>
        <w:trPr>
          <w:cantSplit/>
        </w:trPr>
        <w:tc>
          <w:tcPr>
            <w:tcW w:type="dxa" w:w="2381"/>
            <w:tcMar>
              <w:top w:w="80" w:type="dxa"/>
              <w:start w:w="80" w:type="dxa"/>
              <w:bottom w:w="80" w:type="dxa"/>
              <w:end w:w="80" w:type="dxa"/>
            </w:tcMar>
            <w:vAlign w:val="top"/>
          </w:tcPr>
          <w:p>
            <w:r/>
            <w:r>
              <w:rPr>
                <w:b/>
                <w:sz w:val="16"/>
              </w:rPr>
              <w:t>Parte I</w:t>
            </w:r>
          </w:p>
        </w:tc>
        <w:tc>
          <w:tcPr>
            <w:tcW w:type="dxa" w:w="2381"/>
            <w:tcMar>
              <w:top w:w="80" w:type="dxa"/>
              <w:start w:w="80" w:type="dxa"/>
              <w:bottom w:w="80" w:type="dxa"/>
              <w:end w:w="80" w:type="dxa"/>
            </w:tcMar>
            <w:vAlign w:val="top"/>
          </w:tcPr>
          <w:p>
            <w:r/>
            <w:r>
              <w:rPr>
                <w:b w:val="0"/>
                <w:sz w:val="16"/>
              </w:rPr>
              <w:t>1-3</w:t>
            </w:r>
          </w:p>
        </w:tc>
        <w:tc>
          <w:tcPr>
            <w:tcW w:type="dxa" w:w="2381"/>
            <w:tcMar>
              <w:top w:w="80" w:type="dxa"/>
              <w:start w:w="80" w:type="dxa"/>
              <w:bottom w:w="80" w:type="dxa"/>
              <w:end w:w="80" w:type="dxa"/>
            </w:tcMar>
            <w:vAlign w:val="top"/>
          </w:tcPr>
          <w:p>
            <w:r/>
            <w:r>
              <w:rPr>
                <w:b w:val="0"/>
                <w:sz w:val="16"/>
              </w:rPr>
              <w:t>Fondare il campo: depressione, metodo, eterogeneità.</w:t>
            </w:r>
          </w:p>
        </w:tc>
        <w:tc>
          <w:tcPr>
            <w:tcW w:type="dxa" w:w="2381"/>
            <w:tcMar>
              <w:top w:w="80" w:type="dxa"/>
              <w:start w:w="80" w:type="dxa"/>
              <w:bottom w:w="80" w:type="dxa"/>
              <w:end w:w="80" w:type="dxa"/>
            </w:tcMar>
            <w:vAlign w:val="top"/>
          </w:tcPr>
          <w:p>
            <w:r/>
            <w:r>
              <w:rPr>
                <w:b w:val="0"/>
                <w:sz w:val="16"/>
              </w:rPr>
              <w:t>Perché il cibo appartiene alla psichiatria senza diventare pseudoterapia?</w:t>
            </w:r>
          </w:p>
        </w:tc>
      </w:tr>
      <w:tr>
        <w:trPr>
          <w:cantSplit/>
        </w:trPr>
        <w:tc>
          <w:tcPr>
            <w:tcW w:type="dxa" w:w="2381"/>
            <w:tcMar>
              <w:top w:w="80" w:type="dxa"/>
              <w:start w:w="80" w:type="dxa"/>
              <w:bottom w:w="80" w:type="dxa"/>
              <w:end w:w="80" w:type="dxa"/>
            </w:tcMar>
            <w:vAlign w:val="top"/>
          </w:tcPr>
          <w:p>
            <w:r/>
            <w:r>
              <w:rPr>
                <w:b/>
                <w:sz w:val="16"/>
              </w:rPr>
              <w:t>Parte II</w:t>
            </w:r>
          </w:p>
        </w:tc>
        <w:tc>
          <w:tcPr>
            <w:tcW w:type="dxa" w:w="2381"/>
            <w:tcMar>
              <w:top w:w="80" w:type="dxa"/>
              <w:start w:w="80" w:type="dxa"/>
              <w:bottom w:w="80" w:type="dxa"/>
              <w:end w:w="80" w:type="dxa"/>
            </w:tcMar>
            <w:vAlign w:val="top"/>
          </w:tcPr>
          <w:p>
            <w:r/>
            <w:r>
              <w:rPr>
                <w:b w:val="0"/>
                <w:sz w:val="16"/>
              </w:rPr>
              <w:t>4-8</w:t>
            </w:r>
          </w:p>
        </w:tc>
        <w:tc>
          <w:tcPr>
            <w:tcW w:type="dxa" w:w="2381"/>
            <w:tcMar>
              <w:top w:w="80" w:type="dxa"/>
              <w:start w:w="80" w:type="dxa"/>
              <w:bottom w:w="80" w:type="dxa"/>
              <w:end w:w="80" w:type="dxa"/>
            </w:tcMar>
            <w:vAlign w:val="top"/>
          </w:tcPr>
          <w:p>
            <w:r/>
            <w:r>
              <w:rPr>
                <w:b w:val="0"/>
                <w:sz w:val="16"/>
              </w:rPr>
              <w:t>Presentare ciò che sappiamo: dieta mediterranea, UPF, infiammazione, microbiota, integratori.</w:t>
            </w:r>
          </w:p>
        </w:tc>
        <w:tc>
          <w:tcPr>
            <w:tcW w:type="dxa" w:w="2381"/>
            <w:tcMar>
              <w:top w:w="80" w:type="dxa"/>
              <w:start w:w="80" w:type="dxa"/>
              <w:bottom w:w="80" w:type="dxa"/>
              <w:end w:w="80" w:type="dxa"/>
            </w:tcMar>
            <w:vAlign w:val="top"/>
          </w:tcPr>
          <w:p>
            <w:r/>
            <w:r>
              <w:rPr>
                <w:b w:val="0"/>
                <w:sz w:val="16"/>
              </w:rPr>
              <w:t>Quale evidenza esiste già e quali errori interpretativi va evitati?</w:t>
            </w:r>
          </w:p>
        </w:tc>
      </w:tr>
      <w:tr>
        <w:trPr>
          <w:cantSplit/>
        </w:trPr>
        <w:tc>
          <w:tcPr>
            <w:tcW w:type="dxa" w:w="2381"/>
            <w:tcMar>
              <w:top w:w="80" w:type="dxa"/>
              <w:start w:w="80" w:type="dxa"/>
              <w:bottom w:w="80" w:type="dxa"/>
              <w:end w:w="80" w:type="dxa"/>
            </w:tcMar>
            <w:vAlign w:val="top"/>
          </w:tcPr>
          <w:p>
            <w:r/>
            <w:r>
              <w:rPr>
                <w:b/>
                <w:sz w:val="16"/>
              </w:rPr>
              <w:t>Parte III</w:t>
            </w:r>
          </w:p>
        </w:tc>
        <w:tc>
          <w:tcPr>
            <w:tcW w:type="dxa" w:w="2381"/>
            <w:tcMar>
              <w:top w:w="80" w:type="dxa"/>
              <w:start w:w="80" w:type="dxa"/>
              <w:bottom w:w="80" w:type="dxa"/>
              <w:end w:w="80" w:type="dxa"/>
            </w:tcMar>
            <w:vAlign w:val="top"/>
          </w:tcPr>
          <w:p>
            <w:r/>
            <w:r>
              <w:rPr>
                <w:b w:val="0"/>
                <w:sz w:val="16"/>
              </w:rPr>
              <w:t>9-12</w:t>
            </w:r>
          </w:p>
        </w:tc>
        <w:tc>
          <w:tcPr>
            <w:tcW w:type="dxa" w:w="2381"/>
            <w:tcMar>
              <w:top w:w="80" w:type="dxa"/>
              <w:start w:w="80" w:type="dxa"/>
              <w:bottom w:w="80" w:type="dxa"/>
              <w:end w:w="80" w:type="dxa"/>
            </w:tcMar>
            <w:vAlign w:val="top"/>
          </w:tcPr>
          <w:p>
            <w:r/>
            <w:r>
              <w:rPr>
                <w:b w:val="0"/>
                <w:sz w:val="16"/>
              </w:rPr>
              <w:t>Sviluppare la tesi originale: biodiversità alimentare, dieta stretta, menu depresso, disuguaglianze.</w:t>
            </w:r>
          </w:p>
        </w:tc>
        <w:tc>
          <w:tcPr>
            <w:tcW w:type="dxa" w:w="2381"/>
            <w:tcMar>
              <w:top w:w="80" w:type="dxa"/>
              <w:start w:w="80" w:type="dxa"/>
              <w:bottom w:w="80" w:type="dxa"/>
              <w:end w:w="80" w:type="dxa"/>
            </w:tcMar>
            <w:vAlign w:val="top"/>
          </w:tcPr>
          <w:p>
            <w:r/>
            <w:r>
              <w:rPr>
                <w:b w:val="0"/>
                <w:sz w:val="16"/>
              </w:rPr>
              <w:t>Che cosa perdiamo quando la dieta diventa povera di specie, rituali e possibilità?</w:t>
            </w:r>
          </w:p>
        </w:tc>
      </w:tr>
      <w:tr>
        <w:trPr>
          <w:cantSplit/>
        </w:trPr>
        <w:tc>
          <w:tcPr>
            <w:tcW w:type="dxa" w:w="2381"/>
            <w:tcMar>
              <w:top w:w="80" w:type="dxa"/>
              <w:start w:w="80" w:type="dxa"/>
              <w:bottom w:w="80" w:type="dxa"/>
              <w:end w:w="80" w:type="dxa"/>
            </w:tcMar>
            <w:vAlign w:val="top"/>
          </w:tcPr>
          <w:p>
            <w:r/>
            <w:r>
              <w:rPr>
                <w:b/>
                <w:sz w:val="16"/>
              </w:rPr>
              <w:t>Parte IV</w:t>
            </w:r>
          </w:p>
        </w:tc>
        <w:tc>
          <w:tcPr>
            <w:tcW w:type="dxa" w:w="2381"/>
            <w:tcMar>
              <w:top w:w="80" w:type="dxa"/>
              <w:start w:w="80" w:type="dxa"/>
              <w:bottom w:w="80" w:type="dxa"/>
              <w:end w:w="80" w:type="dxa"/>
            </w:tcMar>
            <w:vAlign w:val="top"/>
          </w:tcPr>
          <w:p>
            <w:r/>
            <w:r>
              <w:rPr>
                <w:b w:val="0"/>
                <w:sz w:val="16"/>
              </w:rPr>
              <w:t>13-14</w:t>
            </w:r>
          </w:p>
        </w:tc>
        <w:tc>
          <w:tcPr>
            <w:tcW w:type="dxa" w:w="2381"/>
            <w:tcMar>
              <w:top w:w="80" w:type="dxa"/>
              <w:start w:w="80" w:type="dxa"/>
              <w:bottom w:w="80" w:type="dxa"/>
              <w:end w:w="80" w:type="dxa"/>
            </w:tcMar>
            <w:vAlign w:val="top"/>
          </w:tcPr>
          <w:p>
            <w:r/>
            <w:r>
              <w:rPr>
                <w:b w:val="0"/>
                <w:sz w:val="16"/>
              </w:rPr>
              <w:t>Tradurre in pratica clinica, cucina reale, comunità e policy.</w:t>
            </w:r>
          </w:p>
        </w:tc>
        <w:tc>
          <w:tcPr>
            <w:tcW w:type="dxa" w:w="2381"/>
            <w:tcMar>
              <w:top w:w="80" w:type="dxa"/>
              <w:start w:w="80" w:type="dxa"/>
              <w:bottom w:w="80" w:type="dxa"/>
              <w:end w:w="80" w:type="dxa"/>
            </w:tcMar>
            <w:vAlign w:val="top"/>
          </w:tcPr>
          <w:p>
            <w:r/>
            <w:r>
              <w:rPr>
                <w:b w:val="0"/>
                <w:sz w:val="16"/>
              </w:rPr>
              <w:t>Come intervenire senza colpevolizzare né aumentare il carico sul paziente?</w:t>
            </w:r>
          </w:p>
        </w:tc>
      </w:tr>
      <w:tr>
        <w:trPr>
          <w:cantSplit/>
        </w:trPr>
        <w:tc>
          <w:tcPr>
            <w:tcW w:type="dxa" w:w="2381"/>
            <w:tcMar>
              <w:top w:w="80" w:type="dxa"/>
              <w:start w:w="80" w:type="dxa"/>
              <w:bottom w:w="80" w:type="dxa"/>
              <w:end w:w="80" w:type="dxa"/>
            </w:tcMar>
            <w:vAlign w:val="top"/>
          </w:tcPr>
          <w:p>
            <w:r/>
            <w:r>
              <w:rPr>
                <w:b/>
                <w:sz w:val="16"/>
              </w:rPr>
              <w:t>Parte V</w:t>
            </w:r>
          </w:p>
        </w:tc>
        <w:tc>
          <w:tcPr>
            <w:tcW w:type="dxa" w:w="2381"/>
            <w:tcMar>
              <w:top w:w="80" w:type="dxa"/>
              <w:start w:w="80" w:type="dxa"/>
              <w:bottom w:w="80" w:type="dxa"/>
              <w:end w:w="80" w:type="dxa"/>
            </w:tcMar>
            <w:vAlign w:val="top"/>
          </w:tcPr>
          <w:p>
            <w:r/>
            <w:r>
              <w:rPr>
                <w:b w:val="0"/>
                <w:sz w:val="16"/>
              </w:rPr>
              <w:t>15</w:t>
            </w:r>
          </w:p>
        </w:tc>
        <w:tc>
          <w:tcPr>
            <w:tcW w:type="dxa" w:w="2381"/>
            <w:tcMar>
              <w:top w:w="80" w:type="dxa"/>
              <w:start w:w="80" w:type="dxa"/>
              <w:bottom w:w="80" w:type="dxa"/>
              <w:end w:w="80" w:type="dxa"/>
            </w:tcMar>
            <w:vAlign w:val="top"/>
          </w:tcPr>
          <w:p>
            <w:r/>
            <w:r>
              <w:rPr>
                <w:b w:val="0"/>
                <w:sz w:val="16"/>
              </w:rPr>
              <w:t>Definire l’agenda di ricerca e i criteri di falsificazione.</w:t>
            </w:r>
          </w:p>
        </w:tc>
        <w:tc>
          <w:tcPr>
            <w:tcW w:type="dxa" w:w="2381"/>
            <w:tcMar>
              <w:top w:w="80" w:type="dxa"/>
              <w:start w:w="80" w:type="dxa"/>
              <w:bottom w:w="80" w:type="dxa"/>
              <w:end w:w="80" w:type="dxa"/>
            </w:tcMar>
            <w:vAlign w:val="top"/>
          </w:tcPr>
          <w:p>
            <w:r/>
            <w:r>
              <w:rPr>
                <w:b w:val="0"/>
                <w:sz w:val="16"/>
              </w:rPr>
              <w:t>Che cosa servirebbe per dimostrare o smentire la tesi?</w:t>
            </w:r>
          </w:p>
        </w:tc>
      </w:tr>
    </w:tbl>
    <w:p>
      <w:pPr>
        <w:pStyle w:val="Heading3"/>
      </w:pPr>
      <w:r>
        <w:t>Indice operativo proposto</w:t>
      </w:r>
    </w:p>
    <w:p>
      <w:pPr>
        <w:ind w:left="425" w:hanging="255"/>
      </w:pPr>
      <w:r>
        <w:rPr>
          <w:b w:val="0"/>
        </w:rPr>
        <w:t xml:space="preserve">1.  </w:t>
      </w:r>
      <w:r>
        <w:t>Prologo - Il giorno in cui il cibo è sparito dal discorso sulla depressione</w:t>
      </w:r>
    </w:p>
    <w:p>
      <w:pPr>
        <w:ind w:left="425" w:hanging="255"/>
      </w:pPr>
      <w:r>
        <w:rPr>
          <w:b w:val="0"/>
        </w:rPr>
        <w:t xml:space="preserve">2.  </w:t>
      </w:r>
      <w:r>
        <w:t>1. Perché il cibo appartiene a un libro sulla depressione</w:t>
      </w:r>
    </w:p>
    <w:p>
      <w:pPr>
        <w:ind w:left="425" w:hanging="255"/>
      </w:pPr>
      <w:r>
        <w:rPr>
          <w:b w:val="0"/>
        </w:rPr>
        <w:t xml:space="preserve">3.  </w:t>
      </w:r>
      <w:r>
        <w:t>2. Come leggere la scienza su alimentazione e umore</w:t>
      </w:r>
    </w:p>
    <w:p>
      <w:pPr>
        <w:ind w:left="425" w:hanging="255"/>
      </w:pPr>
      <w:r>
        <w:rPr>
          <w:b w:val="0"/>
        </w:rPr>
        <w:t xml:space="preserve">4.  </w:t>
      </w:r>
      <w:r>
        <w:t>3. La depressione non è una sola malattia</w:t>
      </w:r>
    </w:p>
    <w:p>
      <w:pPr>
        <w:ind w:left="425" w:hanging="255"/>
      </w:pPr>
      <w:r>
        <w:rPr>
          <w:b w:val="0"/>
        </w:rPr>
        <w:t xml:space="preserve">5.  </w:t>
      </w:r>
      <w:r>
        <w:t>4. La dieta mediterranea come prova di concetto</w:t>
      </w:r>
    </w:p>
    <w:p>
      <w:pPr>
        <w:ind w:left="425" w:hanging="255"/>
      </w:pPr>
      <w:r>
        <w:rPr>
          <w:b w:val="0"/>
        </w:rPr>
        <w:t xml:space="preserve">6.  </w:t>
      </w:r>
      <w:r>
        <w:t>5. Ultra-processati, zuccheri e dieta industriale</w:t>
      </w:r>
    </w:p>
    <w:p>
      <w:pPr>
        <w:ind w:left="425" w:hanging="255"/>
      </w:pPr>
      <w:r>
        <w:rPr>
          <w:b w:val="0"/>
        </w:rPr>
        <w:t xml:space="preserve">7.  </w:t>
      </w:r>
      <w:r>
        <w:t>6. Infiammazione, metabolismo e depressione immuno-metabolica</w:t>
      </w:r>
    </w:p>
    <w:p>
      <w:pPr>
        <w:ind w:left="425" w:hanging="255"/>
      </w:pPr>
      <w:r>
        <w:rPr>
          <w:b w:val="0"/>
        </w:rPr>
        <w:t xml:space="preserve">8.  </w:t>
      </w:r>
      <w:r>
        <w:t>7. L’asse intestino-cervello senza hype</w:t>
      </w:r>
    </w:p>
    <w:p>
      <w:pPr>
        <w:ind w:left="425" w:hanging="255"/>
      </w:pPr>
      <w:r>
        <w:rPr>
          <w:b w:val="0"/>
        </w:rPr>
        <w:t xml:space="preserve">9.  </w:t>
      </w:r>
      <w:r>
        <w:t>8. Nutrienti e supplementi: ciò che può aiutare e ciò che viene venduto troppo</w:t>
      </w:r>
    </w:p>
    <w:p>
      <w:pPr>
        <w:ind w:left="425" w:hanging="255"/>
      </w:pPr>
      <w:r>
        <w:rPr>
          <w:b w:val="0"/>
        </w:rPr>
        <w:t xml:space="preserve">10.  </w:t>
      </w:r>
      <w:r>
        <w:t>9. Dalla varietà alla biodiversità alimentare</w:t>
      </w:r>
    </w:p>
    <w:p>
      <w:pPr>
        <w:ind w:left="425" w:hanging="255"/>
      </w:pPr>
      <w:r>
        <w:rPr>
          <w:b w:val="0"/>
        </w:rPr>
        <w:t xml:space="preserve">11.  </w:t>
      </w:r>
      <w:r>
        <w:t>10. La biologia di una dieta stretta</w:t>
      </w:r>
    </w:p>
    <w:p>
      <w:pPr>
        <w:ind w:left="425" w:hanging="255"/>
      </w:pPr>
      <w:r>
        <w:rPr>
          <w:b w:val="0"/>
        </w:rPr>
        <w:t xml:space="preserve">12.  </w:t>
      </w:r>
      <w:r>
        <w:t>11. Il menu depresso: quando l’umore restringe il cibo</w:t>
      </w:r>
    </w:p>
    <w:p>
      <w:pPr>
        <w:ind w:left="425" w:hanging="255"/>
      </w:pPr>
      <w:r>
        <w:rPr>
          <w:b w:val="0"/>
        </w:rPr>
        <w:t xml:space="preserve">13.  </w:t>
      </w:r>
      <w:r>
        <w:t>12. Povertà, food insecurity e biodiversity gap</w:t>
      </w:r>
    </w:p>
    <w:p>
      <w:pPr>
        <w:ind w:left="425" w:hanging="255"/>
      </w:pPr>
      <w:r>
        <w:rPr>
          <w:b w:val="0"/>
        </w:rPr>
        <w:t xml:space="preserve">14.  </w:t>
      </w:r>
      <w:r>
        <w:t>13. La prescrizione di biodiversità alimentare</w:t>
      </w:r>
    </w:p>
    <w:p>
      <w:pPr>
        <w:ind w:left="425" w:hanging="255"/>
      </w:pPr>
      <w:r>
        <w:rPr>
          <w:b w:val="0"/>
        </w:rPr>
        <w:t xml:space="preserve">15.  </w:t>
      </w:r>
      <w:r>
        <w:t>14. Cambiare l’ambiente alimentare, non solo il paziente</w:t>
      </w:r>
    </w:p>
    <w:p>
      <w:pPr>
        <w:ind w:left="425" w:hanging="255"/>
      </w:pPr>
      <w:r>
        <w:rPr>
          <w:b w:val="0"/>
        </w:rPr>
        <w:t xml:space="preserve">16.  </w:t>
      </w:r>
      <w:r>
        <w:t>15. Che cosa servirebbe per dimostrarlo</w:t>
      </w:r>
    </w:p>
    <w:p>
      <w:pPr>
        <w:ind w:left="425" w:hanging="255"/>
      </w:pPr>
      <w:r>
        <w:rPr>
          <w:b w:val="0"/>
        </w:rPr>
        <w:t xml:space="preserve">17.  </w:t>
      </w:r>
      <w:r>
        <w:t>Epilogo - Una nuova storia alimentare per la salute mentale</w:t>
      </w:r>
    </w:p>
    <w:p>
      <w:r>
        <w:br w:type="page"/>
      </w:r>
    </w:p>
    <w:p>
      <w:pPr>
        <w:pStyle w:val="Heading1"/>
      </w:pPr>
      <w:r>
        <w:t>5. Schede operative dei capitoli</w:t>
      </w:r>
    </w:p>
    <w:p>
      <w:r>
        <w:t>Le schede seguenti vanno intese come brief di scrittura. Ogni capitolo contiene scopo, argomento, materiale scientifico da usare, cautele metodologiche e collegamento al capitolo successivo. L’ordine non è intercambiabile: la forza del libro dipende dal passaggio graduale da evidenza consolidata a ipotesi originale.</w:t>
      </w:r>
    </w:p>
    <w:p>
      <w:pPr>
        <w:pStyle w:val="Heading2"/>
      </w:pPr>
      <w:r>
        <w:t>Capitolo 1. Perché il cibo appartiene a un libro sulla depressione</w:t>
      </w:r>
    </w:p>
    <w:p>
      <w:pPr>
        <w:pStyle w:val="CapMeta"/>
      </w:pPr>
      <w:r>
        <w:t>Parole previste: 5.500-6.000.</w:t>
      </w:r>
    </w:p>
    <w:p>
      <w:pPr>
        <w:pStyle w:val="BodyText"/>
      </w:pPr>
      <w:r>
        <w:t xml:space="preserve">Tesi operativa: </w:t>
      </w:r>
      <w:r>
        <w:rPr>
          <w:i/>
        </w:rPr>
        <w:t>La dieta non è una cura autonoma della depressione, ma è una componente del terreno biologico e sociale della salute mentale.</w:t>
      </w:r>
    </w:p>
    <w:p>
      <w:r>
        <w:rPr>
          <w:b/>
        </w:rPr>
        <w:t>Obiettivo del capitolo:</w:t>
      </w:r>
      <w:r>
        <w:t xml:space="preserve"> Stabilire la legittimità del tema e disinnescare subito due estremi: la psichiatria che ignora il cibo e il wellness che promette cure alimentari.</w:t>
      </w:r>
    </w:p>
    <w:p>
      <w:r>
        <w:rPr>
          <w:b/>
        </w:rPr>
        <w:t>Caso composito o apertura narrativa:</w:t>
      </w:r>
      <w:r>
        <w:t xml:space="preserve"> Un adulto con depressione ricorrente, terapia farmacologica e psicoterapia alle spalle, ma nessuna valutazione strutturata di dieta, sonno, pasti e accesso alimentare.</w:t>
      </w:r>
    </w:p>
    <w:p>
      <w:r>
        <w:t>Sezioni principali:</w:t>
      </w:r>
    </w:p>
    <w:p>
      <w:pPr>
        <w:pStyle w:val="ListBullet"/>
      </w:pPr>
      <w:r>
        <w:t>Depressione come problema di salute pubblica: prevalenza, disabilità, ricorrenza, differenze di genere e impatto su funzionamento quotidiano.</w:t>
      </w:r>
    </w:p>
    <w:p>
      <w:pPr>
        <w:pStyle w:val="ListBullet"/>
      </w:pPr>
      <w:r>
        <w:t>Che cosa significa “depressione” nella vita quotidiana: energia, appetito, sonno, anedonia, cognizione, corpo, dolore, isolamento.</w:t>
      </w:r>
    </w:p>
    <w:p>
      <w:pPr>
        <w:pStyle w:val="ListBullet"/>
      </w:pPr>
      <w:r>
        <w:t>Perché il cibo è stato trattato come periferico: separazione storica tra psichiatria, dietetica e salute pubblica.</w:t>
      </w:r>
    </w:p>
    <w:p>
      <w:pPr>
        <w:pStyle w:val="ListBullet"/>
      </w:pPr>
      <w:r>
        <w:t>La formula del libro: food changes the terrain, not food cures depression.</w:t>
      </w:r>
    </w:p>
    <w:p>
      <w:pPr>
        <w:pStyle w:val="ListBullet"/>
      </w:pPr>
      <w:r>
        <w:t>Presentazione della domanda nuova: non solo qualità della dieta, ma ricchezza di specie e repertori alimentari.</w:t>
      </w:r>
    </w:p>
    <w:p>
      <w:r>
        <w:t>Evidenza e fonti da mobilitare:</w:t>
      </w:r>
    </w:p>
    <w:p>
      <w:pPr>
        <w:pStyle w:val="ListBullet"/>
      </w:pPr>
      <w:r>
        <w:t>Dati di burden da WHO e NIMH come cornice introduttiva.</w:t>
      </w:r>
    </w:p>
    <w:p>
      <w:pPr>
        <w:pStyle w:val="ListBullet"/>
      </w:pPr>
      <w:r>
        <w:t>Sintesi su healthy dietary indices e rischio depressivo.</w:t>
      </w:r>
    </w:p>
    <w:p>
      <w:pPr>
        <w:pStyle w:val="ListBullet"/>
      </w:pPr>
      <w:r>
        <w:t>Risultato generale della meta-analisi RCT dietetici: interventi alimentari riducono sintomi depressivi in alcuni contesti, non ansia in modo robusto.</w:t>
      </w:r>
    </w:p>
    <w:p>
      <w:pPr>
        <w:pStyle w:val="ListBullet"/>
      </w:pPr>
      <w:r>
        <w:t>Indicazioni delle fonti: pattern alimentari prima dei singoli nutrienti.</w:t>
      </w:r>
    </w:p>
    <w:p>
      <w:r>
        <w:t>Lavoro di ricerca/scrittura da fare prima della stesura:</w:t>
      </w:r>
    </w:p>
    <w:p>
      <w:pPr>
        <w:pStyle w:val="ListBullet"/>
      </w:pPr>
      <w:r>
        <w:t>Costruire una timeline sintetica della nutrizione psichiatrica per orientare il lettore.</w:t>
      </w:r>
    </w:p>
    <w:p>
      <w:pPr>
        <w:pStyle w:val="ListBullet"/>
      </w:pPr>
      <w:r>
        <w:t>Preparare un box “Che cosa questo libro non promette”.</w:t>
      </w:r>
    </w:p>
    <w:p>
      <w:pPr>
        <w:pStyle w:val="ListBullet"/>
      </w:pPr>
      <w:r>
        <w:t>Evitare un’apertura aneddotica miracolistica: usare un caso composito sobrio e clinicamente plausibile.</w:t>
      </w:r>
    </w:p>
    <w:p>
      <w:r>
        <w:t>Figure, box o tabelle da prevedere:</w:t>
      </w:r>
    </w:p>
    <w:p>
      <w:pPr>
        <w:pStyle w:val="ListBullet"/>
      </w:pPr>
      <w:r>
        <w:t>Box: “Dieta come rischio, supporto e prevenzione: tre ruoli diversi”.</w:t>
      </w:r>
    </w:p>
    <w:p>
      <w:pPr>
        <w:pStyle w:val="ListBullet"/>
      </w:pPr>
      <w:r>
        <w:t>Figura: “Il terreno della depressione” con sonno, stress, farmaci, relazioni, attività fisica, dieta, microbiota e ambiente alimentare.</w:t>
      </w:r>
    </w:p>
    <w:p>
      <w:r>
        <w:t>Cautela scientifica da mantenere:</w:t>
      </w:r>
    </w:p>
    <w:p>
      <w:pPr>
        <w:pStyle w:val="ListBullet"/>
      </w:pPr>
      <w:r>
        <w:t>Non implicare che la depressione derivi da scelte personali sbagliate.</w:t>
      </w:r>
    </w:p>
    <w:p>
      <w:pPr>
        <w:pStyle w:val="ListBullet"/>
      </w:pPr>
      <w:r>
        <w:t>Non aprire con biodiversità come se fosse già prova causale.</w:t>
      </w:r>
    </w:p>
    <w:p>
      <w:r>
        <w:rPr>
          <w:b/>
        </w:rPr>
        <w:t>Collegamento al capitolo successivo:</w:t>
      </w:r>
      <w:r>
        <w:t xml:space="preserve"> Dopo aver stabilito perché il cibo conta, il lettore deve imparare come valutare le prove: associazioni, trial, confondenti e causalità inversa.</w:t>
      </w:r>
    </w:p>
    <w:p>
      <w:pPr>
        <w:pStyle w:val="Heading2"/>
      </w:pPr>
      <w:r>
        <w:t>Capitolo 2. Come leggere la scienza su alimentazione e umore</w:t>
      </w:r>
    </w:p>
    <w:p>
      <w:pPr>
        <w:pStyle w:val="CapMeta"/>
      </w:pPr>
      <w:r>
        <w:t>Parole previste: 5.500-6.500.</w:t>
      </w:r>
    </w:p>
    <w:p>
      <w:pPr>
        <w:pStyle w:val="BodyText"/>
      </w:pPr>
      <w:r>
        <w:t xml:space="preserve">Tesi operativa: </w:t>
      </w:r>
      <w:r>
        <w:rPr>
          <w:i/>
        </w:rPr>
        <w:t>La credibilità del libro dipende dalla capacità di distinguere tra correlazione, causalità, plausibilità biologica e applicazione clinica.</w:t>
      </w:r>
    </w:p>
    <w:p>
      <w:r>
        <w:rPr>
          <w:b/>
        </w:rPr>
        <w:t>Obiettivo del capitolo:</w:t>
      </w:r>
      <w:r>
        <w:t xml:space="preserve"> Fornire al lettore una grammatica della prova scientifica prima di entrare nei capitoli sostantivi.</w:t>
      </w:r>
    </w:p>
    <w:p>
      <w:r>
        <w:rPr>
          <w:b/>
        </w:rPr>
        <w:t>Caso composito o apertura narrativa:</w:t>
      </w:r>
      <w:r>
        <w:t xml:space="preserve"> Un titolo giornalistico che trasforma “chi mangia più sano è meno depresso” in “questa dieta cura la depressione”.</w:t>
      </w:r>
    </w:p>
    <w:p>
      <w:r>
        <w:t>Sezioni principali:</w:t>
      </w:r>
    </w:p>
    <w:p>
      <w:pPr>
        <w:pStyle w:val="ListBullet"/>
      </w:pPr>
      <w:r>
        <w:t>Studi trasversali: utili per generare ipotesi, deboli per direzione causale.</w:t>
      </w:r>
    </w:p>
    <w:p>
      <w:pPr>
        <w:pStyle w:val="ListBullet"/>
      </w:pPr>
      <w:r>
        <w:t>Coorti prospettiche: migliori per temporalità, ma vulnerabili a confondimento residuo.</w:t>
      </w:r>
    </w:p>
    <w:p>
      <w:pPr>
        <w:pStyle w:val="ListBullet"/>
      </w:pPr>
      <w:r>
        <w:t>Randomised controlled trials: più forti, ma difficili da ciecare quando si cambia la dieta.</w:t>
      </w:r>
    </w:p>
    <w:p>
      <w:pPr>
        <w:pStyle w:val="ListBullet"/>
      </w:pPr>
      <w:r>
        <w:t>Meta-analisi e umbrella reviews: potenza statistica e rischio di sommare studi eterogenei.</w:t>
      </w:r>
    </w:p>
    <w:p>
      <w:pPr>
        <w:pStyle w:val="ListBullet"/>
      </w:pPr>
      <w:r>
        <w:t>Reverse causation: depressione che modifica appetito, energia, shopping e cucina.</w:t>
      </w:r>
    </w:p>
    <w:p>
      <w:pPr>
        <w:pStyle w:val="ListBullet"/>
      </w:pPr>
      <w:r>
        <w:t>Perché la biodiversità alimentare richiede misure più fini dei gruppi alimentari.</w:t>
      </w:r>
    </w:p>
    <w:p>
      <w:r>
        <w:t>Evidenza e fonti da mobilitare:</w:t>
      </w:r>
    </w:p>
    <w:p>
      <w:pPr>
        <w:pStyle w:val="ListBullet"/>
      </w:pPr>
      <w:r>
        <w:t>Struttura metodologica proposta nella fonte sul libro in lingua inglese: separare coorti, RCT, supplementi e meccanismi.</w:t>
      </w:r>
    </w:p>
    <w:p>
      <w:pPr>
        <w:pStyle w:val="ListBullet"/>
      </w:pPr>
      <w:r>
        <w:t>Discussione della fonte biodiversità: studi sulla dietary diversity spesso cross-sectional e con misure grossolane.</w:t>
      </w:r>
    </w:p>
    <w:p>
      <w:pPr>
        <w:pStyle w:val="ListBullet"/>
      </w:pPr>
      <w:r>
        <w:t>Esempio PREDIMED-Plus: associazione cross-sectional tra dietary diversity e depressione, ma nessuna previsione longitudinale robusta a due anni.</w:t>
      </w:r>
    </w:p>
    <w:p>
      <w:r>
        <w:t>Lavoro di ricerca/scrittura da fare prima della stesura:</w:t>
      </w:r>
    </w:p>
    <w:p>
      <w:pPr>
        <w:pStyle w:val="ListBullet"/>
      </w:pPr>
      <w:r>
        <w:t>Scrivere un box didattico sulla differenza fra “risk factor”, “marker”, “mediator” e “treatment target”.</w:t>
      </w:r>
    </w:p>
    <w:p>
      <w:pPr>
        <w:pStyle w:val="ListBullet"/>
      </w:pPr>
      <w:r>
        <w:t>Definire una gerarchia interna delle evidenze da usare in tutto il libro.</w:t>
      </w:r>
    </w:p>
    <w:p>
      <w:pPr>
        <w:pStyle w:val="ListBullet"/>
      </w:pPr>
      <w:r>
        <w:t>Preparare un glossario minimo: PHQ-9, MADRS, HDRS, RCT, coorte, confondimento, mediation analysis.</w:t>
      </w:r>
    </w:p>
    <w:p>
      <w:r>
        <w:t>Figure, box o tabelle da prevedere:</w:t>
      </w:r>
    </w:p>
    <w:p>
      <w:pPr>
        <w:pStyle w:val="ListBullet"/>
      </w:pPr>
      <w:r>
        <w:t>Figura: scala delle evidenze da cross-sectional a linee guida.</w:t>
      </w:r>
    </w:p>
    <w:p>
      <w:pPr>
        <w:pStyle w:val="ListBullet"/>
      </w:pPr>
      <w:r>
        <w:t>Box: “Come leggere un hazard ratio senza farsi ingannare”.</w:t>
      </w:r>
    </w:p>
    <w:p>
      <w:r>
        <w:t>Cautela scientifica da mantenere:</w:t>
      </w:r>
    </w:p>
    <w:p>
      <w:pPr>
        <w:pStyle w:val="ListBullet"/>
      </w:pPr>
      <w:r>
        <w:t>Non trasformare il capitolo in un manuale di epidemiologia pesante: ogni concetto deve servire ai capitoli successivi.</w:t>
      </w:r>
    </w:p>
    <w:p>
      <w:pPr>
        <w:pStyle w:val="ListBullet"/>
      </w:pPr>
      <w:r>
        <w:t>Rendere esplicito che la prudenza metodologica rafforza, non indebolisce, la tesi.</w:t>
      </w:r>
    </w:p>
    <w:p>
      <w:r>
        <w:rPr>
          <w:b/>
        </w:rPr>
        <w:t>Collegamento al capitolo successivo:</w:t>
      </w:r>
      <w:r>
        <w:t xml:space="preserve"> Una volta stabilito come giudicare l’evidenza, serve chiarire che la depressione non è un unico bersaglio biologico: alcuni sottotipi potrebbero essere più sensibili alla dieta di altri.</w:t>
      </w:r>
    </w:p>
    <w:p>
      <w:pPr>
        <w:pStyle w:val="Heading2"/>
      </w:pPr>
      <w:r>
        <w:t>Capitolo 3. La depressione non è una sola malattia</w:t>
      </w:r>
    </w:p>
    <w:p>
      <w:pPr>
        <w:pStyle w:val="CapMeta"/>
      </w:pPr>
      <w:r>
        <w:t>Parole previste: 5.500-6.500.</w:t>
      </w:r>
    </w:p>
    <w:p>
      <w:pPr>
        <w:pStyle w:val="BodyText"/>
      </w:pPr>
      <w:r>
        <w:t xml:space="preserve">Tesi operativa: </w:t>
      </w:r>
      <w:r>
        <w:rPr>
          <w:i/>
        </w:rPr>
        <w:t>“Depressione” è un’etichetta clinica eterogenea; la nutrizione probabilmente non agisce allo stesso modo in tutti i fenotipi depressivi.</w:t>
      </w:r>
    </w:p>
    <w:p>
      <w:r>
        <w:rPr>
          <w:b/>
        </w:rPr>
        <w:t>Obiettivo del capitolo:</w:t>
      </w:r>
      <w:r>
        <w:t xml:space="preserve"> Evitare la falsa universalità e preparare il lettore a una medicina stratificata, non a una dieta valida per tutti.</w:t>
      </w:r>
    </w:p>
    <w:p>
      <w:r>
        <w:rPr>
          <w:b/>
        </w:rPr>
        <w:t>Caso composito o apertura narrativa:</w:t>
      </w:r>
      <w:r>
        <w:t xml:space="preserve"> Due pazienti con uguale punteggio depressivo: uno insonne, magro, ansioso; l’altro con fatigue, obesità, insulino-resistenza, sonno frammentato e dieta UPF-dominante.</w:t>
      </w:r>
    </w:p>
    <w:p>
      <w:r>
        <w:t>Sezioni principali:</w:t>
      </w:r>
    </w:p>
    <w:p>
      <w:pPr>
        <w:pStyle w:val="ListBullet"/>
      </w:pPr>
      <w:r>
        <w:t>Depressione maggiore, sintomi subclinici, depressione ricorrente, depressione con ansia, depressione con dolore cronico.</w:t>
      </w:r>
    </w:p>
    <w:p>
      <w:pPr>
        <w:pStyle w:val="ListBullet"/>
      </w:pPr>
      <w:r>
        <w:t>Fenotipi appetitivi: perdita di appetito, comfort eating, binge-like patterns, irregolarità dei pasti.</w:t>
      </w:r>
    </w:p>
    <w:p>
      <w:pPr>
        <w:pStyle w:val="ListBullet"/>
      </w:pPr>
      <w:r>
        <w:t>Depressione immuno-metabolica: obesità, insulino-resistenza, infiammazione, fatigue, rallentamento.</w:t>
      </w:r>
    </w:p>
    <w:p>
      <w:pPr>
        <w:pStyle w:val="ListBullet"/>
      </w:pPr>
      <w:r>
        <w:t>Depressione con sintomi gastrointestinali: IBS, disbiosi, sensibilità alimentare non necessariamente allergica.</w:t>
      </w:r>
    </w:p>
    <w:p>
      <w:pPr>
        <w:pStyle w:val="ListBullet"/>
      </w:pPr>
      <w:r>
        <w:t>Implicazioni cliniche: dieta come parte di un piano, non come diagnosi.</w:t>
      </w:r>
    </w:p>
    <w:p>
      <w:r>
        <w:t>Evidenza e fonti da mobilitare:</w:t>
      </w:r>
    </w:p>
    <w:p>
      <w:pPr>
        <w:pStyle w:val="ListBullet"/>
      </w:pPr>
      <w:r>
        <w:t>Revisioni su infiammazione e immuno-metabolic depression sintetizzate nella fonte sul libro.</w:t>
      </w:r>
    </w:p>
    <w:p>
      <w:pPr>
        <w:pStyle w:val="ListBullet"/>
      </w:pPr>
      <w:r>
        <w:t>Meta-analisi di interventi dietetici in adulti con condizioni metaboliche: effetto piccolo ma rilevante su sintomi depressivi.</w:t>
      </w:r>
    </w:p>
    <w:p>
      <w:pPr>
        <w:pStyle w:val="ListBullet"/>
      </w:pPr>
      <w:r>
        <w:t>Letteratura su microbiota e depressione: segnali su taxa e funzioni più che su diversity globale.</w:t>
      </w:r>
    </w:p>
    <w:p>
      <w:r>
        <w:t>Lavoro di ricerca/scrittura da fare prima della stesura:</w:t>
      </w:r>
    </w:p>
    <w:p>
      <w:pPr>
        <w:pStyle w:val="ListBullet"/>
      </w:pPr>
      <w:r>
        <w:t>Preparare una mappa dei sottotipi da usare poi nei capitoli clinici.</w:t>
      </w:r>
    </w:p>
    <w:p>
      <w:pPr>
        <w:pStyle w:val="ListBullet"/>
      </w:pPr>
      <w:r>
        <w:t>Raccogliere interviste o vignette composite su appetite change, fatigue e food avoidance.</w:t>
      </w:r>
    </w:p>
    <w:p>
      <w:pPr>
        <w:pStyle w:val="ListBullet"/>
      </w:pPr>
      <w:r>
        <w:t>Definire criteri di esclusione etici: rischio suicidario, disturbi alimentari, depressione severa non trattata.</w:t>
      </w:r>
    </w:p>
    <w:p>
      <w:r>
        <w:t>Figure, box o tabelle da prevedere:</w:t>
      </w:r>
    </w:p>
    <w:p>
      <w:pPr>
        <w:pStyle w:val="ListBullet"/>
      </w:pPr>
      <w:r>
        <w:t>Figura: mappa dei fenotipi depressivi e delle possibili leve nutrizionali.</w:t>
      </w:r>
    </w:p>
    <w:p>
      <w:pPr>
        <w:pStyle w:val="ListBullet"/>
      </w:pPr>
      <w:r>
        <w:t>Box: “Quando la dieta non è la prima domanda clinica”.</w:t>
      </w:r>
    </w:p>
    <w:p>
      <w:r>
        <w:t>Cautela scientifica da mantenere:</w:t>
      </w:r>
    </w:p>
    <w:p>
      <w:pPr>
        <w:pStyle w:val="ListBullet"/>
      </w:pPr>
      <w:r>
        <w:t>Non classificare sottotipi come categorie rigide: presentarli come profili sovrapposti.</w:t>
      </w:r>
    </w:p>
    <w:p>
      <w:pPr>
        <w:pStyle w:val="ListBullet"/>
      </w:pPr>
      <w:r>
        <w:t>Non suggerire autodiagnosi biologiche da parte del lettore.</w:t>
      </w:r>
    </w:p>
    <w:p>
      <w:r>
        <w:rPr>
          <w:b/>
        </w:rPr>
        <w:t>Collegamento al capitolo successivo:</w:t>
      </w:r>
      <w:r>
        <w:t xml:space="preserve"> Con i limiti clinici chiariti, il libro può passare al primo corpus positivo: i trial e le coorti sulla dieta mediterranea.</w:t>
      </w:r>
    </w:p>
    <w:p>
      <w:pPr>
        <w:pStyle w:val="Heading2"/>
      </w:pPr>
      <w:r>
        <w:t>Capitolo 4. La dieta mediterranea come prova di concetto</w:t>
      </w:r>
    </w:p>
    <w:p>
      <w:pPr>
        <w:pStyle w:val="CapMeta"/>
      </w:pPr>
      <w:r>
        <w:t>Parole previste: 7.000-8.000.</w:t>
      </w:r>
    </w:p>
    <w:p>
      <w:pPr>
        <w:pStyle w:val="BodyText"/>
      </w:pPr>
      <w:r>
        <w:t xml:space="preserve">Tesi operativa: </w:t>
      </w:r>
      <w:r>
        <w:rPr>
          <w:i/>
        </w:rPr>
        <w:t>La dieta mediterranea è la prova narrativa più solida che un pattern alimentare complessivo possa agire sulla depressione come intervento aggiuntivo.</w:t>
      </w:r>
    </w:p>
    <w:p>
      <w:r>
        <w:rPr>
          <w:b/>
        </w:rPr>
        <w:t>Obiettivo del capitolo:</w:t>
      </w:r>
      <w:r>
        <w:t xml:space="preserve"> Presentare la migliore evidenza interventistica senza trasformarla in prescrizione universale.</w:t>
      </w:r>
    </w:p>
    <w:p>
      <w:r>
        <w:rPr>
          <w:b/>
        </w:rPr>
        <w:t>Caso composito o apertura narrativa:</w:t>
      </w:r>
      <w:r>
        <w:t xml:space="preserve"> Un paziente che non “fa una dieta”, ma riceve counselling, supporto alimentare e una riorganizzazione realistica del repertorio quotidiano per 12 settimane.</w:t>
      </w:r>
    </w:p>
    <w:p>
      <w:r>
        <w:t>Sezioni principali:</w:t>
      </w:r>
    </w:p>
    <w:p>
      <w:pPr>
        <w:pStyle w:val="ListBullet"/>
      </w:pPr>
      <w:r>
        <w:t>Che cosa intendiamo per dieta mediterranea: non un elenco di superfood, ma un pattern di cibi minimamente processati, fibra, legumi, cereali integrali, pesce, olio d’oliva, frutta secca e convivialità.</w:t>
      </w:r>
    </w:p>
    <w:p>
      <w:pPr>
        <w:pStyle w:val="ListBullet"/>
      </w:pPr>
      <w:r>
        <w:t>SMILES come turning point: disegno, risultati, remissione, limiti.</w:t>
      </w:r>
    </w:p>
    <w:p>
      <w:pPr>
        <w:pStyle w:val="ListBullet"/>
      </w:pPr>
      <w:r>
        <w:t>HELFIMED: intervento complesso con food hampers, cooking workshops e fish oil.</w:t>
      </w:r>
    </w:p>
    <w:p>
      <w:pPr>
        <w:pStyle w:val="ListBullet"/>
      </w:pPr>
      <w:r>
        <w:t>AMMEND: giovani uomini e depressione clinica.</w:t>
      </w:r>
    </w:p>
    <w:p>
      <w:pPr>
        <w:pStyle w:val="ListBullet"/>
      </w:pPr>
      <w:r>
        <w:t>PREDIDEP: sintomi subclinici, qualità di vita e prevenzione secondaria.</w:t>
      </w:r>
    </w:p>
    <w:p>
      <w:pPr>
        <w:pStyle w:val="ListBullet"/>
      </w:pPr>
      <w:r>
        <w:t>Perché il pattern conta più del nutriente singolo: simultaneità di fibre, grassi, polifenoli, micronutrienti, UPF displacement e ritualità.</w:t>
      </w:r>
    </w:p>
    <w:p>
      <w:r>
        <w:t>Evidenza e fonti da mobilitare:</w:t>
      </w:r>
    </w:p>
    <w:p>
      <w:pPr>
        <w:pStyle w:val="ListBullet"/>
      </w:pPr>
      <w:r>
        <w:t>SMILES: miglioramento MADRS e remissione 32,3% versus 8,0% nella fonte fornita.</w:t>
      </w:r>
    </w:p>
    <w:p>
      <w:pPr>
        <w:pStyle w:val="ListBullet"/>
      </w:pPr>
      <w:r>
        <w:t>HELFIMED: miglioramento della qualità dietetica e degli outcome mentali, con caveat su fish oil.</w:t>
      </w:r>
    </w:p>
    <w:p>
      <w:pPr>
        <w:pStyle w:val="ListBullet"/>
      </w:pPr>
      <w:r>
        <w:t>AMMEND: segnale favorevole in giovani uomini, ma open-label e campione ristretto.</w:t>
      </w:r>
    </w:p>
    <w:p>
      <w:pPr>
        <w:pStyle w:val="ListBullet"/>
      </w:pPr>
      <w:r>
        <w:t>Meta-analisi RCT su dieta mediterranea e sintomi depressivi in adulti con depressione.</w:t>
      </w:r>
    </w:p>
    <w:p>
      <w:pPr>
        <w:pStyle w:val="ListBullet"/>
      </w:pPr>
      <w:r>
        <w:t>Sintesi osservazionale: maggiore aderenza mediterranea associata a minore rischio incidente.</w:t>
      </w:r>
    </w:p>
    <w:p>
      <w:r>
        <w:t>Lavoro di ricerca/scrittura da fare prima della stesura:</w:t>
      </w:r>
    </w:p>
    <w:p>
      <w:pPr>
        <w:pStyle w:val="ListBullet"/>
      </w:pPr>
      <w:r>
        <w:t>Costruire una tabella narrativa dei trial: popolazione, intervento, comparator, outcome, limiti.</w:t>
      </w:r>
    </w:p>
    <w:p>
      <w:pPr>
        <w:pStyle w:val="ListBullet"/>
      </w:pPr>
      <w:r>
        <w:t>Scrivere un paragrafo su expectancy effects e blinding nei trial dietetici.</w:t>
      </w:r>
    </w:p>
    <w:p>
      <w:pPr>
        <w:pStyle w:val="ListBullet"/>
      </w:pPr>
      <w:r>
        <w:t>Separare “Mediterranean diet” come construct scientifico da tradizioni mediterranee reali e diverse.</w:t>
      </w:r>
    </w:p>
    <w:p>
      <w:r>
        <w:t>Figure, box o tabelle da prevedere:</w:t>
      </w:r>
    </w:p>
    <w:p>
      <w:pPr>
        <w:pStyle w:val="ListBullet"/>
      </w:pPr>
      <w:r>
        <w:t>Figura: che cosa cambia davvero in un intervento mediterraneo.</w:t>
      </w:r>
    </w:p>
    <w:p>
      <w:pPr>
        <w:pStyle w:val="ListBullet"/>
      </w:pPr>
      <w:r>
        <w:t>Box: “Non è una dieta dimagrante: è una riorganizzazione del pattern alimentare”.</w:t>
      </w:r>
    </w:p>
    <w:p>
      <w:r>
        <w:t>Cautela scientifica da mantenere:</w:t>
      </w:r>
    </w:p>
    <w:p>
      <w:pPr>
        <w:pStyle w:val="ListBullet"/>
      </w:pPr>
      <w:r>
        <w:t>Non sovrastimare la dimensione dei trial.</w:t>
      </w:r>
    </w:p>
    <w:p>
      <w:pPr>
        <w:pStyle w:val="ListBullet"/>
      </w:pPr>
      <w:r>
        <w:t>Non presentare la dieta mediterranea come culturalmente neutra o unica forma di dieta sana.</w:t>
      </w:r>
    </w:p>
    <w:p>
      <w:r>
        <w:rPr>
          <w:b/>
        </w:rPr>
        <w:t>Collegamento al capitolo successivo:</w:t>
      </w:r>
      <w:r>
        <w:t xml:space="preserve"> Se il pattern mediterraneo aiuta, bisogna chiedersi che cosa stia sostituendo: il capitolo successivo analizza ultra-processati, zuccheri e semplificazione industriale.</w:t>
      </w:r>
    </w:p>
    <w:p>
      <w:pPr>
        <w:pStyle w:val="Heading2"/>
      </w:pPr>
      <w:r>
        <w:t>Capitolo 5. Ultra-processati, zuccheri e dieta industriale</w:t>
      </w:r>
    </w:p>
    <w:p>
      <w:pPr>
        <w:pStyle w:val="CapMeta"/>
      </w:pPr>
      <w:r>
        <w:t>Parole previste: 6.500-7.500.</w:t>
      </w:r>
    </w:p>
    <w:p>
      <w:pPr>
        <w:pStyle w:val="BodyText"/>
      </w:pPr>
      <w:r>
        <w:t xml:space="preserve">Tesi operativa: </w:t>
      </w:r>
      <w:r>
        <w:rPr>
          <w:i/>
        </w:rPr>
        <w:t>La dieta industriale non è solo “troppo zucchero” o “troppe calorie”: è un sistema che rende normale una varietà apparente costruita su poche specie, alta palatabilità e bassa complessità biologica.</w:t>
      </w:r>
    </w:p>
    <w:p>
      <w:r>
        <w:rPr>
          <w:b/>
        </w:rPr>
        <w:t>Obiettivo del capitolo:</w:t>
      </w:r>
      <w:r>
        <w:t xml:space="preserve"> Spiegare le esposizioni negative senza moralismo e preparare il terreno per la biodiversità come perdita, non come semplice aggiunta.</w:t>
      </w:r>
    </w:p>
    <w:p>
      <w:r>
        <w:rPr>
          <w:b/>
        </w:rPr>
        <w:t>Caso composito o apertura narrativa:</w:t>
      </w:r>
      <w:r>
        <w:t xml:space="preserve"> Un lavoratore a turni che mangia soprattutto cibi pronti, snack, bevande dolci e delivery non per ignoranza, ma per tempo scarso, stress, fatica e costo percepito.</w:t>
      </w:r>
    </w:p>
    <w:p>
      <w:r>
        <w:t>Sezioni principali:</w:t>
      </w:r>
    </w:p>
    <w:p>
      <w:pPr>
        <w:pStyle w:val="ListBullet"/>
      </w:pPr>
      <w:r>
        <w:t>Definizione operativa di ultra-processed foods e perché la categoria è imperfetta ma utile.</w:t>
      </w:r>
    </w:p>
    <w:p>
      <w:pPr>
        <w:pStyle w:val="ListBullet"/>
      </w:pPr>
      <w:r>
        <w:t>Evidenza prospettica su UPF e rischio depressivo.</w:t>
      </w:r>
    </w:p>
    <w:p>
      <w:pPr>
        <w:pStyle w:val="ListBullet"/>
      </w:pPr>
      <w:r>
        <w:t>Zucchero, glycaemic volatility, reward loops e bidirezionalità con stress e umore.</w:t>
      </w:r>
    </w:p>
    <w:p>
      <w:pPr>
        <w:pStyle w:val="ListBullet"/>
      </w:pPr>
      <w:r>
        <w:t>Varietà apparente: molti prodotti, pochi ingredienti-base e poche specie.</w:t>
      </w:r>
    </w:p>
    <w:p>
      <w:pPr>
        <w:pStyle w:val="ListBullet"/>
      </w:pPr>
      <w:r>
        <w:t>Displacement: come UPF spiazza legumi, fibre, frutta, verdure, cereali integrali, fermentati e cottura domestica.</w:t>
      </w:r>
    </w:p>
    <w:p>
      <w:pPr>
        <w:pStyle w:val="ListBullet"/>
      </w:pPr>
      <w:r>
        <w:t>Il problema del food environment: prezzo, accessibilità, marketing, tempo, turni.</w:t>
      </w:r>
    </w:p>
    <w:p>
      <w:r>
        <w:t>Evidenza e fonti da mobilitare:</w:t>
      </w:r>
    </w:p>
    <w:p>
      <w:pPr>
        <w:pStyle w:val="ListBullet"/>
      </w:pPr>
      <w:r>
        <w:t>Nurses’ Health Study II / coorte UPF: associazione tra quintili elevati di UPF e maggiore depressione incidente.</w:t>
      </w:r>
    </w:p>
    <w:p>
      <w:pPr>
        <w:pStyle w:val="ListBullet"/>
      </w:pPr>
      <w:r>
        <w:t>Meta-analisi 2024 su consumo totale di zucchero e depressione con elevata eterogeneità.</w:t>
      </w:r>
    </w:p>
    <w:p>
      <w:pPr>
        <w:pStyle w:val="ListBullet"/>
      </w:pPr>
      <w:r>
        <w:t>Umbrella review su UPF e common mental disorder outcomes.</w:t>
      </w:r>
    </w:p>
    <w:p>
      <w:pPr>
        <w:pStyle w:val="ListBullet"/>
      </w:pPr>
      <w:r>
        <w:t>Materiale fonte biodiversità: UPF come potenziale meccanismo di sostituzione dei cibi biodiversi.</w:t>
      </w:r>
    </w:p>
    <w:p>
      <w:r>
        <w:t>Lavoro di ricerca/scrittura da fare prima della stesura:</w:t>
      </w:r>
    </w:p>
    <w:p>
      <w:pPr>
        <w:pStyle w:val="ListBullet"/>
      </w:pPr>
      <w:r>
        <w:t>Preparare una distinzione tra processing, formulation e food system.</w:t>
      </w:r>
    </w:p>
    <w:p>
      <w:pPr>
        <w:pStyle w:val="ListBullet"/>
      </w:pPr>
      <w:r>
        <w:t>Evitare fotografie o esempi che umiliano scelte alimentari di persone con basso reddito.</w:t>
      </w:r>
    </w:p>
    <w:p>
      <w:pPr>
        <w:pStyle w:val="ListBullet"/>
      </w:pPr>
      <w:r>
        <w:t>Raccogliere dati su costi e tempi di preparazione per evitare raccomandazioni irrealistiche.</w:t>
      </w:r>
    </w:p>
    <w:p>
      <w:r>
        <w:t>Figure, box o tabelle da prevedere:</w:t>
      </w:r>
    </w:p>
    <w:p>
      <w:pPr>
        <w:pStyle w:val="ListBullet"/>
      </w:pPr>
      <w:r>
        <w:t>Figura: falsa varietà industriale versus biodiversità reale.</w:t>
      </w:r>
    </w:p>
    <w:p>
      <w:pPr>
        <w:pStyle w:val="ListBullet"/>
      </w:pPr>
      <w:r>
        <w:t>Box: “Il problema non è la volontà: è l’architettura della scelta”.</w:t>
      </w:r>
    </w:p>
    <w:p>
      <w:r>
        <w:t>Cautela scientifica da mantenere:</w:t>
      </w:r>
    </w:p>
    <w:p>
      <w:pPr>
        <w:pStyle w:val="ListBullet"/>
      </w:pPr>
      <w:r>
        <w:t>UPF e biodiversità non sono sinonimi; alcuni cibi processati possono essere nutrizionalmente utili e accessibili.</w:t>
      </w:r>
    </w:p>
    <w:p>
      <w:pPr>
        <w:pStyle w:val="ListBullet"/>
      </w:pPr>
      <w:r>
        <w:t>La causalità inversa è forte: depressione può aumentare il ricorso a convenience foods.</w:t>
      </w:r>
    </w:p>
    <w:p>
      <w:r>
        <w:rPr>
          <w:b/>
        </w:rPr>
        <w:t>Collegamento al capitolo successivo:</w:t>
      </w:r>
      <w:r>
        <w:t xml:space="preserve"> Il passaggio dagli alimenti industriali alla depressione richiede meccanismi biologici: il capitolo seguente introduce infiammazione e metabolismo.</w:t>
      </w:r>
    </w:p>
    <w:p>
      <w:pPr>
        <w:pStyle w:val="Heading2"/>
      </w:pPr>
      <w:r>
        <w:t>Capitolo 6. Infiammazione, metabolismo e depressione immuno-metabolica</w:t>
      </w:r>
    </w:p>
    <w:p>
      <w:pPr>
        <w:pStyle w:val="CapMeta"/>
      </w:pPr>
      <w:r>
        <w:t>Parole previste: 6.000-7.000.</w:t>
      </w:r>
    </w:p>
    <w:p>
      <w:pPr>
        <w:pStyle w:val="BodyText"/>
      </w:pPr>
      <w:r>
        <w:t xml:space="preserve">Tesi operativa: </w:t>
      </w:r>
      <w:r>
        <w:rPr>
          <w:i/>
        </w:rPr>
        <w:t>In una parte dei pazienti, depressione, infiammazione, sonno, adiposità e metabolismo formano un sistema interdipendente su cui la dieta può incidere.</w:t>
      </w:r>
    </w:p>
    <w:p>
      <w:r>
        <w:rPr>
          <w:b/>
        </w:rPr>
        <w:t>Obiettivo del capitolo:</w:t>
      </w:r>
      <w:r>
        <w:t xml:space="preserve"> Fornire un meccanismo biologico robusto che colleghi pattern alimentari, UPF, obesità/insulino-resistenza e sintomi depressivi.</w:t>
      </w:r>
    </w:p>
    <w:p>
      <w:r>
        <w:rPr>
          <w:b/>
        </w:rPr>
        <w:t>Caso composito o apertura narrativa:</w:t>
      </w:r>
      <w:r>
        <w:t xml:space="preserve"> Un paziente con fatigue, sonno non ristoratore, aumento ponderale, dolore diffuso e riduzione dell’attività fisica, nel quale il linguaggio “serotonina” è insufficiente.</w:t>
      </w:r>
    </w:p>
    <w:p>
      <w:r>
        <w:t>Sezioni principali:</w:t>
      </w:r>
    </w:p>
    <w:p>
      <w:pPr>
        <w:pStyle w:val="ListBullet"/>
      </w:pPr>
      <w:r>
        <w:t>Depressione come possibile condizione immuno-metabolica in sottogruppi specifici.</w:t>
      </w:r>
    </w:p>
    <w:p>
      <w:pPr>
        <w:pStyle w:val="ListBullet"/>
      </w:pPr>
      <w:r>
        <w:t>Citochine, stress ossidativo, HPA axis, sonno e regolazione energetica.</w:t>
      </w:r>
    </w:p>
    <w:p>
      <w:pPr>
        <w:pStyle w:val="ListBullet"/>
      </w:pPr>
      <w:r>
        <w:t>Obesità e depressione: relazione bidirezionale e stigmatizzazione da evitare.</w:t>
      </w:r>
    </w:p>
    <w:p>
      <w:pPr>
        <w:pStyle w:val="ListBullet"/>
      </w:pPr>
      <w:r>
        <w:t>Insulino-resistenza, glycaemic load, dieta anti-infiammatoria.</w:t>
      </w:r>
    </w:p>
    <w:p>
      <w:pPr>
        <w:pStyle w:val="ListBullet"/>
      </w:pPr>
      <w:r>
        <w:t>Perché i pattern alimentari cambiano molte vie contemporaneamente.</w:t>
      </w:r>
    </w:p>
    <w:p>
      <w:pPr>
        <w:pStyle w:val="ListBullet"/>
      </w:pPr>
      <w:r>
        <w:t>Interventi ipocalorici/metabolici: benefici e limiti nei trial.</w:t>
      </w:r>
    </w:p>
    <w:p>
      <w:r>
        <w:t>Evidenza e fonti da mobilitare:</w:t>
      </w:r>
    </w:p>
    <w:p>
      <w:pPr>
        <w:pStyle w:val="ListBullet"/>
      </w:pPr>
      <w:r>
        <w:t>Revisioni recenti su infiammazione e depressione citate nella fonte.</w:t>
      </w:r>
    </w:p>
    <w:p>
      <w:pPr>
        <w:pStyle w:val="ListBullet"/>
      </w:pPr>
      <w:r>
        <w:t>Meta-analisi di interventi dietetici in adulti con condizioni metaboliche: miglioramento dei sintomi depressivi con effetti piccoli.</w:t>
      </w:r>
    </w:p>
    <w:p>
      <w:pPr>
        <w:pStyle w:val="ListBullet"/>
      </w:pPr>
      <w:r>
        <w:t>Risultati su Mediterranean e anti-inflammatory dietary patterns come segnali convergenti.</w:t>
      </w:r>
    </w:p>
    <w:p>
      <w:r>
        <w:t>Lavoro di ricerca/scrittura da fare prima della stesura:</w:t>
      </w:r>
    </w:p>
    <w:p>
      <w:pPr>
        <w:pStyle w:val="ListBullet"/>
      </w:pPr>
      <w:r>
        <w:t>Scrivere con attenzione per non confondere salute metabolica con peso o responsabilità morale.</w:t>
      </w:r>
    </w:p>
    <w:p>
      <w:pPr>
        <w:pStyle w:val="ListBullet"/>
      </w:pPr>
      <w:r>
        <w:t>Richiedere revisione da uno psichiatra o immunologo/metabolista.</w:t>
      </w:r>
    </w:p>
    <w:p>
      <w:pPr>
        <w:pStyle w:val="ListBullet"/>
      </w:pPr>
      <w:r>
        <w:t>Preparare un box sulle misure cliniche che richiedono medico: CRP, glicemia, vitamina D, B12, ferritina, farmaci.</w:t>
      </w:r>
    </w:p>
    <w:p>
      <w:r>
        <w:t>Figure, box o tabelle da prevedere:</w:t>
      </w:r>
    </w:p>
    <w:p>
      <w:pPr>
        <w:pStyle w:val="ListBullet"/>
      </w:pPr>
      <w:r>
        <w:t>Figura: dieta, adiposità, sonno, infiammazione e umore.</w:t>
      </w:r>
    </w:p>
    <w:p>
      <w:pPr>
        <w:pStyle w:val="ListBullet"/>
      </w:pPr>
      <w:r>
        <w:t>Box: “Perché un sintomo come la fatigue può essere biologicamente informativo”.</w:t>
      </w:r>
    </w:p>
    <w:p>
      <w:r>
        <w:t>Cautela scientifica da mantenere:</w:t>
      </w:r>
    </w:p>
    <w:p>
      <w:pPr>
        <w:pStyle w:val="ListBullet"/>
      </w:pPr>
      <w:r>
        <w:t>Non dire che ogni depressione è infiammatoria.</w:t>
      </w:r>
    </w:p>
    <w:p>
      <w:pPr>
        <w:pStyle w:val="ListBullet"/>
      </w:pPr>
      <w:r>
        <w:t>Non trasformare CRP o altri marker in test fai-da-te per scegliere una dieta.</w:t>
      </w:r>
    </w:p>
    <w:p>
      <w:r>
        <w:rPr>
          <w:b/>
        </w:rPr>
        <w:t>Collegamento al capitolo successivo:</w:t>
      </w:r>
      <w:r>
        <w:t xml:space="preserve"> Dall’infiammazione si entra naturalmente nel comparto intestinale, dove microbiota e metaboliti possono mediare parte dell’effetto dieta-umore.</w:t>
      </w:r>
    </w:p>
    <w:p>
      <w:pPr>
        <w:pStyle w:val="Heading2"/>
      </w:pPr>
      <w:r>
        <w:t>Capitolo 7. L’asse intestino-cervello senza hype</w:t>
      </w:r>
    </w:p>
    <w:p>
      <w:pPr>
        <w:pStyle w:val="CapMeta"/>
      </w:pPr>
      <w:r>
        <w:t>Parole previste: 6.500-7.500.</w:t>
      </w:r>
    </w:p>
    <w:p>
      <w:pPr>
        <w:pStyle w:val="BodyText"/>
      </w:pPr>
      <w:r>
        <w:t xml:space="preserve">Tesi operativa: </w:t>
      </w:r>
      <w:r>
        <w:rPr>
          <w:i/>
        </w:rPr>
        <w:t>Il microbiota è un ponte biologico plausibile tra dieta e depressione, ma la sua traduzione clinica è ancora parziale e va raccontata senza slogan.</w:t>
      </w:r>
    </w:p>
    <w:p>
      <w:r>
        <w:rPr>
          <w:b/>
        </w:rPr>
        <w:t>Obiettivo del capitolo:</w:t>
      </w:r>
      <w:r>
        <w:t xml:space="preserve"> Spiegare gut-brain axis in modo rigoroso e preparare il lettore alla domanda biodiversità: che cosa accade quando il microbiota riceve pochi substrati e poca esposizione alimentare?</w:t>
      </w:r>
    </w:p>
    <w:p>
      <w:r>
        <w:rPr>
          <w:b/>
        </w:rPr>
        <w:t>Caso composito o apertura narrativa:</w:t>
      </w:r>
      <w:r>
        <w:t xml:space="preserve"> Una persona con IBS e depressione che nota peggioramento con stress e dieta ripetitiva, ma è confusa da messaggi commerciali su probiotici e “gut reset”.</w:t>
      </w:r>
    </w:p>
    <w:p>
      <w:r>
        <w:t>Sezioni principali:</w:t>
      </w:r>
    </w:p>
    <w:p>
      <w:pPr>
        <w:pStyle w:val="ListBullet"/>
      </w:pPr>
      <w:r>
        <w:t>Comunicazione intestino-cervello: immune signalling, SCFA, vagal pathways, endocrine signalling, permeabilità intestinale.</w:t>
      </w:r>
    </w:p>
    <w:p>
      <w:pPr>
        <w:pStyle w:val="ListBullet"/>
      </w:pPr>
      <w:r>
        <w:t>Tryptophan-kynurenine pathway: perché “mangiare serotonina” è una semplificazione sbagliata.</w:t>
      </w:r>
    </w:p>
    <w:p>
      <w:pPr>
        <w:pStyle w:val="ListBullet"/>
      </w:pPr>
      <w:r>
        <w:t>Butirrato e taxa butirrato-produttori: perché la funzione conta più del numero totale di specie microbiche.</w:t>
      </w:r>
    </w:p>
    <w:p>
      <w:pPr>
        <w:pStyle w:val="ListBullet"/>
      </w:pPr>
      <w:r>
        <w:t>Fermentati, fibre, polifenoli e amidi resistenti come substrati diversi.</w:t>
      </w:r>
    </w:p>
    <w:p>
      <w:pPr>
        <w:pStyle w:val="ListBullet"/>
      </w:pPr>
      <w:r>
        <w:t>Probiotici e psychobiotics: ceppo-specificità, trial brevi, eterogeneità.</w:t>
      </w:r>
    </w:p>
    <w:p>
      <w:pPr>
        <w:pStyle w:val="ListBullet"/>
      </w:pPr>
      <w:r>
        <w:t>Perché la food biodiversity è una domanda più ampia del probiotic supplement.</w:t>
      </w:r>
    </w:p>
    <w:p>
      <w:r>
        <w:t>Evidenza e fonti da mobilitare:</w:t>
      </w:r>
    </w:p>
    <w:p>
      <w:pPr>
        <w:pStyle w:val="ListBullet"/>
      </w:pPr>
      <w:r>
        <w:t>Meta-analisi su gut microbiota composition in depressive disorder: segnali su Faecalibacterium, Coprococcus, Butyricicoccus e taxa pro-infiammatori.</w:t>
      </w:r>
    </w:p>
    <w:p>
      <w:pPr>
        <w:pStyle w:val="ListBullet"/>
      </w:pPr>
      <w:r>
        <w:t>Trial psychobiotic con Bifidobacterium breve CCFM1025 citato nella fonte.</w:t>
      </w:r>
    </w:p>
    <w:p>
      <w:pPr>
        <w:pStyle w:val="ListBullet"/>
      </w:pPr>
      <w:r>
        <w:t>Meta-analisi su probiotici in campioni clinici: potenziale beneficio con eterogeneità e ceppo-specificità.</w:t>
      </w:r>
    </w:p>
    <w:p>
      <w:pPr>
        <w:pStyle w:val="ListBullet"/>
      </w:pPr>
      <w:r>
        <w:t>Fonte biodiversità: substrate diversity ed exposure diversity come possibili vie.</w:t>
      </w:r>
    </w:p>
    <w:p>
      <w:r>
        <w:t>Lavoro di ricerca/scrittura da fare prima della stesura:</w:t>
      </w:r>
    </w:p>
    <w:p>
      <w:pPr>
        <w:pStyle w:val="ListBullet"/>
      </w:pPr>
      <w:r>
        <w:t>Evitare la parola “disbiosi” come diagnosi generica se non definita.</w:t>
      </w:r>
    </w:p>
    <w:p>
      <w:pPr>
        <w:pStyle w:val="ListBullet"/>
      </w:pPr>
      <w:r>
        <w:t>Preparare un glossario dei metaboliti: SCFA, butirrato, bile acids, kynurenine, tryptophan.</w:t>
      </w:r>
    </w:p>
    <w:p>
      <w:pPr>
        <w:pStyle w:val="ListBullet"/>
      </w:pPr>
      <w:r>
        <w:t>Intervistare un ricercatore microbioma critico verso l’hype commerciale.</w:t>
      </w:r>
    </w:p>
    <w:p>
      <w:r>
        <w:t>Figure, box o tabelle da prevedere:</w:t>
      </w:r>
    </w:p>
    <w:p>
      <w:pPr>
        <w:pStyle w:val="ListBullet"/>
      </w:pPr>
      <w:r>
        <w:t>Figura: asse intestino-cervello con vie immunitarie, metaboliche, nervose ed endocrine.</w:t>
      </w:r>
    </w:p>
    <w:p>
      <w:pPr>
        <w:pStyle w:val="ListBullet"/>
      </w:pPr>
      <w:r>
        <w:t>Box: “Un probiotico non è una categoria: è un ceppo, una dose, una durata, una popolazione”.</w:t>
      </w:r>
    </w:p>
    <w:p>
      <w:r>
        <w:t>Cautela scientifica da mantenere:</w:t>
      </w:r>
    </w:p>
    <w:p>
      <w:pPr>
        <w:pStyle w:val="ListBullet"/>
      </w:pPr>
      <w:r>
        <w:t>Non equiparare aumento di alpha diversity a miglioramento clinico.</w:t>
      </w:r>
    </w:p>
    <w:p>
      <w:pPr>
        <w:pStyle w:val="ListBullet"/>
      </w:pPr>
      <w:r>
        <w:t>Non promettere che modificare il microbiota curi la depressione.</w:t>
      </w:r>
    </w:p>
    <w:p>
      <w:r>
        <w:rPr>
          <w:b/>
        </w:rPr>
        <w:t>Collegamento al capitolo successivo:</w:t>
      </w:r>
      <w:r>
        <w:t xml:space="preserve"> Dopo aver mostrato il ruolo dei sistemi biologici, il libro deve affrontare l’attrazione dei singoli nutrienti e degli integratori, separando strumenti utili da marketing.</w:t>
      </w:r>
    </w:p>
    <w:p>
      <w:pPr>
        <w:pStyle w:val="Heading2"/>
      </w:pPr>
      <w:r>
        <w:t>Capitolo 8. Nutrienti e supplementi: ciò che può aiutare e ciò che viene venduto troppo</w:t>
      </w:r>
    </w:p>
    <w:p>
      <w:pPr>
        <w:pStyle w:val="CapMeta"/>
      </w:pPr>
      <w:r>
        <w:t>Parole previste: 6.000-7.000.</w:t>
      </w:r>
    </w:p>
    <w:p>
      <w:pPr>
        <w:pStyle w:val="BodyText"/>
      </w:pPr>
      <w:r>
        <w:t xml:space="preserve">Tesi operativa: </w:t>
      </w:r>
      <w:r>
        <w:rPr>
          <w:i/>
        </w:rPr>
        <w:t>Alcuni nutraceutici possono avere un ruolo aggiuntivo e mirato, ma il paradigma del libro deve restare food-first e pattern-first.</w:t>
      </w:r>
    </w:p>
    <w:p>
      <w:r>
        <w:rPr>
          <w:b/>
        </w:rPr>
        <w:t>Obiettivo del capitolo:</w:t>
      </w:r>
      <w:r>
        <w:t xml:space="preserve"> Creare un capitolo utile, clinicamente prudente e anti-hype su omega-3, vitamina D, metilfolato, B12, zinco e probiotici.</w:t>
      </w:r>
    </w:p>
    <w:p>
      <w:r>
        <w:rPr>
          <w:b/>
        </w:rPr>
        <w:t>Caso composito o apertura narrativa:</w:t>
      </w:r>
      <w:r>
        <w:t xml:space="preserve"> Un lettore con un cassetto pieno di integratori che cerca controllo, ma non ha un pattern alimentare coerente né una valutazione medica delle carenze.</w:t>
      </w:r>
    </w:p>
    <w:p>
      <w:r>
        <w:t>Sezioni principali:</w:t>
      </w:r>
    </w:p>
    <w:p>
      <w:pPr>
        <w:pStyle w:val="ListBullet"/>
      </w:pPr>
      <w:r>
        <w:t>Perché il mercato ama nutrienti isolati: semplicità, dose, vendita, promessa.</w:t>
      </w:r>
    </w:p>
    <w:p>
      <w:pPr>
        <w:pStyle w:val="ListBullet"/>
      </w:pPr>
      <w:r>
        <w:t>Omega-3: migliore evidenza come adjunct in depressione unipolare, soprattutto EPA-predominante, non prevenzione universale.</w:t>
      </w:r>
    </w:p>
    <w:p>
      <w:pPr>
        <w:pStyle w:val="ListBullet"/>
      </w:pPr>
      <w:r>
        <w:t>Vitamina D: test, don’t guess; correggere carenza, non megadosi indiscriminate.</w:t>
      </w:r>
    </w:p>
    <w:p>
      <w:pPr>
        <w:pStyle w:val="ListBullet"/>
      </w:pPr>
      <w:r>
        <w:t>Folate, L-metilfolato, B12 e one-carbon metabolism: augmentation mirata, non panacea.</w:t>
      </w:r>
    </w:p>
    <w:p>
      <w:pPr>
        <w:pStyle w:val="ListBullet"/>
      </w:pPr>
      <w:r>
        <w:t>Zinco, magnesio e altri micronutrienti: plausibilità, carenze, limiti dell’evidenza.</w:t>
      </w:r>
    </w:p>
    <w:p>
      <w:pPr>
        <w:pStyle w:val="ListBullet"/>
      </w:pPr>
      <w:r>
        <w:t>Probiotici come ritorno al capitolo precedente: product-specific, strain-specific.</w:t>
      </w:r>
    </w:p>
    <w:p>
      <w:pPr>
        <w:pStyle w:val="ListBullet"/>
      </w:pPr>
      <w:r>
        <w:t>Perché le capsule non ricostruiscono automaticamente la complessità di una dieta biodiversa.</w:t>
      </w:r>
    </w:p>
    <w:p>
      <w:r>
        <w:t>Evidenza e fonti da mobilitare:</w:t>
      </w:r>
    </w:p>
    <w:p>
      <w:pPr>
        <w:pStyle w:val="ListBullet"/>
      </w:pPr>
      <w:r>
        <w:t>Linee guida CANMAT/WFSBP citate nella fonte: omega-3 raccomandato adjunctivamente per depressione unipolare; cautela su altri nutraceutici.</w:t>
      </w:r>
    </w:p>
    <w:p>
      <w:pPr>
        <w:pStyle w:val="ListBullet"/>
      </w:pPr>
      <w:r>
        <w:t>Meta-analisi omega-3 dose-response: beneficio in persone con depressione esistente, non prevenzione generale.</w:t>
      </w:r>
    </w:p>
    <w:p>
      <w:pPr>
        <w:pStyle w:val="ListBullet"/>
      </w:pPr>
      <w:r>
        <w:t>Meta-analisi vitamina D: risultati positivi complessivi ma prevenzione di popolazione debole/nulla in trial sufficienti.</w:t>
      </w:r>
    </w:p>
    <w:p>
      <w:pPr>
        <w:pStyle w:val="ListBullet"/>
      </w:pPr>
      <w:r>
        <w:t>RCT/metanalisi su L-metilfolato in SSRI-resistant depression.</w:t>
      </w:r>
    </w:p>
    <w:p>
      <w:pPr>
        <w:pStyle w:val="ListBullet"/>
      </w:pPr>
      <w:r>
        <w:t>Meta-analisi probiotici in campioni clinici con eterogeneità.</w:t>
      </w:r>
    </w:p>
    <w:p>
      <w:r>
        <w:t>Lavoro di ricerca/scrittura da fare prima della stesura:</w:t>
      </w:r>
    </w:p>
    <w:p>
      <w:pPr>
        <w:pStyle w:val="ListBullet"/>
      </w:pPr>
      <w:r>
        <w:t>Costruire una matrice: “supportato”, “promettente”, “insufficiente”, “rischio overclaim”.</w:t>
      </w:r>
    </w:p>
    <w:p>
      <w:pPr>
        <w:pStyle w:val="ListBullet"/>
      </w:pPr>
      <w:r>
        <w:t>Inserire avvertenze su interazioni farmacologiche, gravidanza, comorbidità e disturbi alimentari.</w:t>
      </w:r>
    </w:p>
    <w:p>
      <w:pPr>
        <w:pStyle w:val="ListBullet"/>
      </w:pPr>
      <w:r>
        <w:t>Far revisionare il capitolo da un clinico.</w:t>
      </w:r>
    </w:p>
    <w:p>
      <w:r>
        <w:t>Figure, box o tabelle da prevedere:</w:t>
      </w:r>
    </w:p>
    <w:p>
      <w:pPr>
        <w:pStyle w:val="ListBullet"/>
      </w:pPr>
      <w:r>
        <w:t>Tabella: nutrienti/supplementi, evidenza, popolazione, cautela.</w:t>
      </w:r>
    </w:p>
    <w:p>
      <w:pPr>
        <w:pStyle w:val="ListBullet"/>
      </w:pPr>
      <w:r>
        <w:t>Box: “Food-first, pattern-first, adjunctive-first”.</w:t>
      </w:r>
    </w:p>
    <w:p>
      <w:r>
        <w:t>Cautela scientifica da mantenere:</w:t>
      </w:r>
    </w:p>
    <w:p>
      <w:pPr>
        <w:pStyle w:val="ListBullet"/>
      </w:pPr>
      <w:r>
        <w:t>Non usare linguaggio da prescrizione medica personalizzata.</w:t>
      </w:r>
    </w:p>
    <w:p>
      <w:pPr>
        <w:pStyle w:val="ListBullet"/>
      </w:pPr>
      <w:r>
        <w:t>Non presentare integratori come scorciatoia per risolvere food insecurity o dieta povera.</w:t>
      </w:r>
    </w:p>
    <w:p>
      <w:r>
        <w:rPr>
          <w:b/>
        </w:rPr>
        <w:t>Collegamento al capitolo successivo:</w:t>
      </w:r>
      <w:r>
        <w:t xml:space="preserve"> La limitazione del paradigma a nutrienti isolati apre il cuore originale del libro: ciò che viene perso quando il repertorio alimentare si restringe a poche specie.</w:t>
      </w:r>
    </w:p>
    <w:p>
      <w:pPr>
        <w:pStyle w:val="Heading2"/>
      </w:pPr>
      <w:r>
        <w:t>Capitolo 9. Dalla varietà alla biodiversità alimentare</w:t>
      </w:r>
    </w:p>
    <w:p>
      <w:pPr>
        <w:pStyle w:val="CapMeta"/>
      </w:pPr>
      <w:r>
        <w:t>Parole previste: 7.000-8.000.</w:t>
      </w:r>
    </w:p>
    <w:p>
      <w:pPr>
        <w:pStyle w:val="BodyText"/>
      </w:pPr>
      <w:r>
        <w:t xml:space="preserve">Tesi operativa: </w:t>
      </w:r>
      <w:r>
        <w:rPr>
          <w:i/>
        </w:rPr>
        <w:t>La biodiversità alimentare è più specifica e più radicale della varietà commerciale: riguarda quante specie reali, quanti substrati e quanta cultura alimentare entrano nella dieta.</w:t>
      </w:r>
    </w:p>
    <w:p>
      <w:r>
        <w:rPr>
          <w:b/>
        </w:rPr>
        <w:t>Obiettivo del capitolo:</w:t>
      </w:r>
      <w:r>
        <w:t xml:space="preserve"> Definire con precisione il concetto originale del libro e differenziarlo da Mediterranean score, UPF exposure e food-group diversity.</w:t>
      </w:r>
    </w:p>
    <w:p>
      <w:r>
        <w:rPr>
          <w:b/>
        </w:rPr>
        <w:t>Caso composito o apertura narrativa:</w:t>
      </w:r>
      <w:r>
        <w:t xml:space="preserve"> Due carrelli alimentari entrambi “vari”: uno con molti prodotti industriali basati su grano/mais/soia/zucchero/oli; l’altro con legumi, cereali, semi, verdure, frutta, erbe, spezie, pesce, funghi e fermentati.</w:t>
      </w:r>
    </w:p>
    <w:p>
      <w:r>
        <w:t>Sezioni principali:</w:t>
      </w:r>
    </w:p>
    <w:p>
      <w:pPr>
        <w:pStyle w:val="ListBullet"/>
      </w:pPr>
      <w:r>
        <w:t>Definizione FAO/WHO: biodiversità come diversità di piante, animali e altri organismi usati come cibo.</w:t>
      </w:r>
    </w:p>
    <w:p>
      <w:pPr>
        <w:pStyle w:val="ListBullet"/>
      </w:pPr>
      <w:r>
        <w:t>Dietary species richness: conteggio delle specie consumate in un periodo definito.</w:t>
      </w:r>
    </w:p>
    <w:p>
      <w:pPr>
        <w:pStyle w:val="ListBullet"/>
      </w:pPr>
      <w:r>
        <w:t>Within-group diversity: perché “verdure” non è una categoria sufficiente se si mangiano sempre le stesse due.</w:t>
      </w:r>
    </w:p>
    <w:p>
      <w:pPr>
        <w:pStyle w:val="ListBullet"/>
      </w:pPr>
      <w:r>
        <w:t>Falsa varietà: molti SKU, poche specie, alta ripetizione sensoriale e industriale.</w:t>
      </w:r>
    </w:p>
    <w:p>
      <w:pPr>
        <w:pStyle w:val="ListBullet"/>
      </w:pPr>
      <w:r>
        <w:t>Dietary biodiversity gap: distanza tra disponibilità realistica e consumo effettivo.</w:t>
      </w:r>
    </w:p>
    <w:p>
      <w:pPr>
        <w:pStyle w:val="ListBullet"/>
      </w:pPr>
      <w:r>
        <w:t>Novità scientifica: non esistono ancora prove depression-specific robuste su food biodiversity come species richness.</w:t>
      </w:r>
    </w:p>
    <w:p>
      <w:r>
        <w:t>Evidenza e fonti da mobilitare:</w:t>
      </w:r>
    </w:p>
    <w:p>
      <w:pPr>
        <w:pStyle w:val="ListBullet"/>
      </w:pPr>
      <w:r>
        <w:t>Lachat et al. 2018: dietary species richness come misura di food biodiversity e qualità nutrizionale.</w:t>
      </w:r>
    </w:p>
    <w:p>
      <w:pPr>
        <w:pStyle w:val="ListBullet"/>
      </w:pPr>
      <w:r>
        <w:t>Scoping review 2025 su food biodiversity: poche ricerche su health outcomes e added value ancora incerto.</w:t>
      </w:r>
    </w:p>
    <w:p>
      <w:pPr>
        <w:pStyle w:val="ListBullet"/>
      </w:pPr>
      <w:r>
        <w:t>Studi su DSR in Europa/UK: food biodiversity misurabile e socialmente stratificata.</w:t>
      </w:r>
    </w:p>
    <w:p>
      <w:pPr>
        <w:pStyle w:val="ListBullet"/>
      </w:pPr>
      <w:r>
        <w:t>Meta-analisi 2025 su dietary diversity e depressione: segnale promettente ma soprattutto cross-sectional e non species-level.</w:t>
      </w:r>
    </w:p>
    <w:p>
      <w:r>
        <w:t>Lavoro di ricerca/scrittura da fare prima della stesura:</w:t>
      </w:r>
    </w:p>
    <w:p>
      <w:pPr>
        <w:pStyle w:val="ListBullet"/>
      </w:pPr>
      <w:r>
        <w:t>Creare un glossario stabile: biodiversity, dietary species richness, evenness, within-group diversity, biodiversity gap.</w:t>
      </w:r>
    </w:p>
    <w:p>
      <w:pPr>
        <w:pStyle w:val="ListBullet"/>
      </w:pPr>
      <w:r>
        <w:t>Preparare esempi concreti di species counting senza renderli ossessivi.</w:t>
      </w:r>
    </w:p>
    <w:p>
      <w:pPr>
        <w:pStyle w:val="ListBullet"/>
      </w:pPr>
      <w:r>
        <w:t>Includere un paragrafo di falsificabilità già qui: la biodiversità potrebbe essere solo proxy di qualità dietetica o reddito.</w:t>
      </w:r>
    </w:p>
    <w:p>
      <w:r>
        <w:t>Figure, box o tabelle da prevedere:</w:t>
      </w:r>
    </w:p>
    <w:p>
      <w:pPr>
        <w:pStyle w:val="ListBullet"/>
      </w:pPr>
      <w:r>
        <w:t>Figura: quattro cerchi sovrapposti ma distinti: Mediterranean score, UPF %, dietary diversity, dietary species richness.</w:t>
      </w:r>
    </w:p>
    <w:p>
      <w:pPr>
        <w:pStyle w:val="ListBullet"/>
      </w:pPr>
      <w:r>
        <w:t>Box: “Quando venti prodotti non fanno venti cibi”.</w:t>
      </w:r>
    </w:p>
    <w:p>
      <w:r>
        <w:t>Cautela scientifica da mantenere:</w:t>
      </w:r>
    </w:p>
    <w:p>
      <w:pPr>
        <w:pStyle w:val="ListBullet"/>
      </w:pPr>
      <w:r>
        <w:t>Non romantizzare diete tradizionali o preindustriali senza evidenza.</w:t>
      </w:r>
    </w:p>
    <w:p>
      <w:pPr>
        <w:pStyle w:val="ListBullet"/>
      </w:pPr>
      <w:r>
        <w:t>Non imporre una versione eurocentrica della biodiversità: molte cucine non mediterranee sono altamente biodiversificate.</w:t>
      </w:r>
    </w:p>
    <w:p>
      <w:r>
        <w:rPr>
          <w:b/>
        </w:rPr>
        <w:t>Collegamento al capitolo successivo:</w:t>
      </w:r>
      <w:r>
        <w:t xml:space="preserve"> Definita la variabile, il libro deve mostrarne la plausibilità biologica: perché una dieta povera di specie potrebbe modificare microbiota, metaboliti, micronutrienti e infiammazione.</w:t>
      </w:r>
    </w:p>
    <w:p>
      <w:pPr>
        <w:pStyle w:val="Heading2"/>
      </w:pPr>
      <w:r>
        <w:t>Capitolo 10. La biologia di una dieta stretta</w:t>
      </w:r>
    </w:p>
    <w:p>
      <w:pPr>
        <w:pStyle w:val="CapMeta"/>
      </w:pPr>
      <w:r>
        <w:t>Parole previste: 7.000-8.000.</w:t>
      </w:r>
    </w:p>
    <w:p>
      <w:pPr>
        <w:pStyle w:val="BodyText"/>
      </w:pPr>
      <w:r>
        <w:t xml:space="preserve">Tesi operativa: </w:t>
      </w:r>
      <w:r>
        <w:rPr>
          <w:i/>
        </w:rPr>
        <w:t>Una dieta povera di specie può restringere il repertorio metabolico e microbico disponibile all’organismo, riducendo ridondanza nutrizionale e diversità di substrati.</w:t>
      </w:r>
    </w:p>
    <w:p>
      <w:r>
        <w:rPr>
          <w:b/>
        </w:rPr>
        <w:t>Obiettivo del capitolo:</w:t>
      </w:r>
      <w:r>
        <w:t xml:space="preserve"> Costruire la plausibilità meccanicistica della food biodiversity depletion senza affermare una causalità clinica non ancora dimostrata.</w:t>
      </w:r>
    </w:p>
    <w:p>
      <w:r>
        <w:rPr>
          <w:b/>
        </w:rPr>
        <w:t>Caso composito o apertura narrativa:</w:t>
      </w:r>
      <w:r>
        <w:t xml:space="preserve"> Una persona che mangia “abbastanza calorie” ma sempre gli stessi sette alimenti, con fibra monotona, pochi fitocomposti, nessun fermentato e scarsa variabilità settimanale.</w:t>
      </w:r>
    </w:p>
    <w:p>
      <w:r>
        <w:t>Sezioni principali:</w:t>
      </w:r>
    </w:p>
    <w:p>
      <w:pPr>
        <w:pStyle w:val="ListBullet"/>
      </w:pPr>
      <w:r>
        <w:t>Substrate diversity: fibre diverse, amidi resistenti, polifenoli, grassi, proteine, erbe e spezie come nicchie metaboliche differenti.</w:t>
      </w:r>
    </w:p>
    <w:p>
      <w:pPr>
        <w:pStyle w:val="ListBullet"/>
      </w:pPr>
      <w:r>
        <w:t>Exposure diversity: microbi associati a frutta e verdura come potenziale contributo al microbioma umano.</w:t>
      </w:r>
    </w:p>
    <w:p>
      <w:pPr>
        <w:pStyle w:val="ListBullet"/>
      </w:pPr>
      <w:r>
        <w:t>Butirrato, SCFA e functional redundancy del microbiota.</w:t>
      </w:r>
    </w:p>
    <w:p>
      <w:pPr>
        <w:pStyle w:val="ListBullet"/>
      </w:pPr>
      <w:r>
        <w:t>Diversità fitochimica: il caso della diversità dei flavonoidi come analogia strategica.</w:t>
      </w:r>
    </w:p>
    <w:p>
      <w:pPr>
        <w:pStyle w:val="ListBullet"/>
      </w:pPr>
      <w:r>
        <w:t>Micronutrient redundancy: folati, magnesio, zinco, omega-3, B12 e altri cofattori come rete, non come pillole isolate.</w:t>
      </w:r>
    </w:p>
    <w:p>
      <w:pPr>
        <w:pStyle w:val="ListBullet"/>
      </w:pPr>
      <w:r>
        <w:t>Fermentati e cibi minimamente processati: più che una moda, un repertorio di substrati e culture.</w:t>
      </w:r>
    </w:p>
    <w:p>
      <w:pPr>
        <w:pStyle w:val="ListBullet"/>
      </w:pPr>
      <w:r>
        <w:t>Perché quantity non equivale a diversity: mangiare molta verdura di un solo tipo non coincide con un ecosistema alimentare ricco.</w:t>
      </w:r>
    </w:p>
    <w:p>
      <w:r>
        <w:t>Evidenza e fonti da mobilitare:</w:t>
      </w:r>
    </w:p>
    <w:p>
      <w:pPr>
        <w:pStyle w:val="ListBullet"/>
      </w:pPr>
      <w:r>
        <w:t>Fonte biodiversità: deplezione di taxa butirrato-produttori in depressione e ruolo di substrate/exposure diversity.</w:t>
      </w:r>
    </w:p>
    <w:p>
      <w:pPr>
        <w:pStyle w:val="ListBullet"/>
      </w:pPr>
      <w:r>
        <w:t>UK Biobank/flavonoid diversity: diversità dei bioattivi come informazione oltre la quantità totale, non depression-specific ma biologicamente rilevante.</w:t>
      </w:r>
    </w:p>
    <w:p>
      <w:pPr>
        <w:pStyle w:val="ListBullet"/>
      </w:pPr>
      <w:r>
        <w:t>Studi su food biodiversity e mortalità: DSR solo moderatamente correlata a Mediterranean adherence, quindi potenziale informazione aggiuntiva.</w:t>
      </w:r>
    </w:p>
    <w:p>
      <w:pPr>
        <w:pStyle w:val="ListBullet"/>
      </w:pPr>
      <w:r>
        <w:t>Evidence gut-brain dalle fonti: immunità, tryptophan metabolism, vagal signalling, gut permeability.</w:t>
      </w:r>
    </w:p>
    <w:p>
      <w:r>
        <w:t>Lavoro di ricerca/scrittura da fare prima della stesura:</w:t>
      </w:r>
    </w:p>
    <w:p>
      <w:pPr>
        <w:pStyle w:val="ListBullet"/>
      </w:pPr>
      <w:r>
        <w:t>Costruire una tabella di “classi di diversità”: fibre, polifenoli, fermentati, proteine, grassi, micronutrienti.</w:t>
      </w:r>
    </w:p>
    <w:p>
      <w:pPr>
        <w:pStyle w:val="ListBullet"/>
      </w:pPr>
      <w:r>
        <w:t>Richiedere fact-check su microbioma e metabolomica.</w:t>
      </w:r>
    </w:p>
    <w:p>
      <w:pPr>
        <w:pStyle w:val="ListBullet"/>
      </w:pPr>
      <w:r>
        <w:t>Evitare di far sembrare che più specie sia sempre meglio in modo lineare; introdurre tolleranza individuale e IBS.</w:t>
      </w:r>
    </w:p>
    <w:p>
      <w:r>
        <w:t>Figure, box o tabelle da prevedere:</w:t>
      </w:r>
    </w:p>
    <w:p>
      <w:pPr>
        <w:pStyle w:val="ListBullet"/>
      </w:pPr>
      <w:r>
        <w:t>Figura: dieta stretta -&gt; substrati ridotti -&gt; funzioni microbiche ridotte -&gt; infiammazione/metaboliti -&gt; sintomi.</w:t>
      </w:r>
    </w:p>
    <w:p>
      <w:pPr>
        <w:pStyle w:val="ListBullet"/>
      </w:pPr>
      <w:r>
        <w:t>Box: “Diversità non significa esotismo: cipolla, lenticchie, avena, cavolo e semi contano”.</w:t>
      </w:r>
    </w:p>
    <w:p>
      <w:r>
        <w:t>Cautela scientifica da mantenere:</w:t>
      </w:r>
    </w:p>
    <w:p>
      <w:pPr>
        <w:pStyle w:val="ListBullet"/>
      </w:pPr>
      <w:r>
        <w:t>Non promettere benefici da un target numerico non validato per depressione.</w:t>
      </w:r>
    </w:p>
    <w:p>
      <w:pPr>
        <w:pStyle w:val="ListBullet"/>
      </w:pPr>
      <w:r>
        <w:t>Non aumentare fibre rapidamente in lettori con IBS, IBD o tolleranza gastrointestinale bassa.</w:t>
      </w:r>
    </w:p>
    <w:p>
      <w:r>
        <w:rPr>
          <w:b/>
        </w:rPr>
        <w:t>Collegamento al capitolo successivo:</w:t>
      </w:r>
      <w:r>
        <w:t xml:space="preserve"> La biologia non basta: la depressione stessa modifica appetito, iniziativa, orari e varietà. Il capitolo successivo entra nel circuito comportamentale.</w:t>
      </w:r>
    </w:p>
    <w:p>
      <w:pPr>
        <w:pStyle w:val="Heading2"/>
      </w:pPr>
      <w:r>
        <w:t>Capitolo 11. Il menu depresso: quando l’umore restringe il cibo</w:t>
      </w:r>
    </w:p>
    <w:p>
      <w:pPr>
        <w:pStyle w:val="CapMeta"/>
      </w:pPr>
      <w:r>
        <w:t>Parole previste: 6.500-7.500.</w:t>
      </w:r>
    </w:p>
    <w:p>
      <w:pPr>
        <w:pStyle w:val="BodyText"/>
      </w:pPr>
      <w:r>
        <w:t xml:space="preserve">Tesi operativa: </w:t>
      </w:r>
      <w:r>
        <w:rPr>
          <w:i/>
        </w:rPr>
        <w:t>La depressione non è soltanto un possibile effetto di una dieta povera; spesso è anche la causa immediata del restringimento alimentare.</w:t>
      </w:r>
    </w:p>
    <w:p>
      <w:r>
        <w:rPr>
          <w:b/>
        </w:rPr>
        <w:t>Obiettivo del capitolo:</w:t>
      </w:r>
      <w:r>
        <w:t xml:space="preserve"> Rendere umano e clinicamente realistico il circuito depressione-dieta, evitando la colpa individuale e spiegando la causalità bidirezionale.</w:t>
      </w:r>
    </w:p>
    <w:p>
      <w:r>
        <w:rPr>
          <w:b/>
        </w:rPr>
        <w:t>Caso composito o apertura narrativa:</w:t>
      </w:r>
      <w:r>
        <w:t xml:space="preserve"> Una persona che per settimane alterna tre o quattro cibi sempre uguali, salta la colazione, perde il ritmo dei pasti e non riesce più a cucinare, nonostante conosca le regole nutrizionali di base.</w:t>
      </w:r>
    </w:p>
    <w:p>
      <w:r>
        <w:t>Sezioni principali:</w:t>
      </w:r>
    </w:p>
    <w:p>
      <w:pPr>
        <w:pStyle w:val="ListBullet"/>
      </w:pPr>
      <w:r>
        <w:t>Anedonia alimentare: perdita di piacere, anticipazione, novità e ricompensa.</w:t>
      </w:r>
    </w:p>
    <w:p>
      <w:pPr>
        <w:pStyle w:val="ListBullet"/>
      </w:pPr>
      <w:r>
        <w:t>Fatigue e rallentamento psicomotorio: il costo cognitivo di scegliere, fare la spesa, cucinare e lavare.</w:t>
      </w:r>
    </w:p>
    <w:p>
      <w:pPr>
        <w:pStyle w:val="ListBullet"/>
      </w:pPr>
      <w:r>
        <w:t>Irregolarità dei pasti: breakfast skipping, orari fluttuanti, grazing, notti insonni e comfort eating.</w:t>
      </w:r>
    </w:p>
    <w:p>
      <w:pPr>
        <w:pStyle w:val="ListBullet"/>
      </w:pPr>
      <w:r>
        <w:t>Cibo come sollievo breve e trappola lunga: cicli stress-UPF-colpa-fatigue.</w:t>
      </w:r>
    </w:p>
    <w:p>
      <w:pPr>
        <w:pStyle w:val="ListBullet"/>
      </w:pPr>
      <w:r>
        <w:t>Digital monitoring: depressione più severa associata a scelte meno diverse e pattern alimentari più irregolari.</w:t>
      </w:r>
    </w:p>
    <w:p>
      <w:pPr>
        <w:pStyle w:val="ListBullet"/>
      </w:pPr>
      <w:r>
        <w:t>Il loop: depressione -&gt; dieta ristretta -&gt; meno risorse biologiche/sociali -&gt; recupero più difficile -&gt; ulteriore restrizione.</w:t>
      </w:r>
    </w:p>
    <w:p>
      <w:r>
        <w:t>Evidenza e fonti da mobilitare:</w:t>
      </w:r>
    </w:p>
    <w:p>
      <w:pPr>
        <w:pStyle w:val="ListBullet"/>
      </w:pPr>
      <w:r>
        <w:t>Studio digitale 2024 citato nella fonte biodiversità: depressione severa, minore varietà, irregolarità, meno colazioni.</w:t>
      </w:r>
    </w:p>
    <w:p>
      <w:pPr>
        <w:pStyle w:val="ListBullet"/>
      </w:pPr>
      <w:r>
        <w:t>Dati su eating alone, qualità dietetica e sintomi depressivi come cluster sociale.</w:t>
      </w:r>
    </w:p>
    <w:p>
      <w:pPr>
        <w:pStyle w:val="ListBullet"/>
      </w:pPr>
      <w:r>
        <w:t>Letteratura su reverse causality discussa nelle fonti e necessità di disegni within-person.</w:t>
      </w:r>
    </w:p>
    <w:p>
      <w:r>
        <w:t>Lavoro di ricerca/scrittura da fare prima della stesura:</w:t>
      </w:r>
    </w:p>
    <w:p>
      <w:pPr>
        <w:pStyle w:val="ListBullet"/>
      </w:pPr>
      <w:r>
        <w:t>Creare interviste composite su “food effort” e anedonia.</w:t>
      </w:r>
    </w:p>
    <w:p>
      <w:pPr>
        <w:pStyle w:val="ListBullet"/>
      </w:pPr>
      <w:r>
        <w:t>Inserire una sezione pratica su micro-interventi a bassissimo carico: verdure surgelate, legumi pronti, frutta, yogurt/fermentati se tollerati.</w:t>
      </w:r>
    </w:p>
    <w:p>
      <w:pPr>
        <w:pStyle w:val="ListBullet"/>
      </w:pPr>
      <w:r>
        <w:t>Far revisionare da psicologo/psichiatra per evitare toni prescrittivi in depressione severa.</w:t>
      </w:r>
    </w:p>
    <w:p>
      <w:r>
        <w:t>Figure, box o tabelle da prevedere:</w:t>
      </w:r>
    </w:p>
    <w:p>
      <w:pPr>
        <w:pStyle w:val="ListBullet"/>
      </w:pPr>
      <w:r>
        <w:t>Figura: loop depressione-dieta ristretta.</w:t>
      </w:r>
    </w:p>
    <w:p>
      <w:pPr>
        <w:pStyle w:val="ListBullet"/>
      </w:pPr>
      <w:r>
        <w:t>Box: “Quando cucinare è troppo: cosa significa ridurre il carico, non alzare l’asticella”.</w:t>
      </w:r>
    </w:p>
    <w:p>
      <w:r>
        <w:t>Cautela scientifica da mantenere:</w:t>
      </w:r>
    </w:p>
    <w:p>
      <w:pPr>
        <w:pStyle w:val="ListBullet"/>
      </w:pPr>
      <w:r>
        <w:t>Non trasformare il capitolo in consigli terapeutici per crisi depressive gravi.</w:t>
      </w:r>
    </w:p>
    <w:p>
      <w:pPr>
        <w:pStyle w:val="ListBullet"/>
      </w:pPr>
      <w:r>
        <w:t>Riconoscere che in alcuni pazienti la priorità è sicurezza, farmaci, sonno o supporto sociale prima del cibo.</w:t>
      </w:r>
    </w:p>
    <w:p>
      <w:r>
        <w:rPr>
          <w:b/>
        </w:rPr>
        <w:t>Collegamento al capitolo successivo:</w:t>
      </w:r>
      <w:r>
        <w:t xml:space="preserve"> Il restringimento alimentare non avviene soltanto nella mente del paziente: è prodotto da reddito, tempo, negozi, stigma, cultura e infrastrutture. Il capitolo seguente allarga il quadro.</w:t>
      </w:r>
    </w:p>
    <w:p>
      <w:pPr>
        <w:pStyle w:val="Heading2"/>
      </w:pPr>
      <w:r>
        <w:t>Capitolo 12. Povertà, food insecurity e biodiversity gap</w:t>
      </w:r>
    </w:p>
    <w:p>
      <w:pPr>
        <w:pStyle w:val="CapMeta"/>
      </w:pPr>
      <w:r>
        <w:t>Parole previste: 7.000-8.000.</w:t>
      </w:r>
    </w:p>
    <w:p>
      <w:pPr>
        <w:pStyle w:val="BodyText"/>
      </w:pPr>
      <w:r>
        <w:t xml:space="preserve">Tesi operativa: </w:t>
      </w:r>
      <w:r>
        <w:rPr>
          <w:i/>
        </w:rPr>
        <w:t>La bassa biodiversità alimentare è spesso un’esposizione strutturale: il risultato di disuguaglianze economiche, ambientali e culturali, non di ignoranza individuale.</w:t>
      </w:r>
    </w:p>
    <w:p>
      <w:r>
        <w:rPr>
          <w:b/>
        </w:rPr>
        <w:t>Obiettivo del capitolo:</w:t>
      </w:r>
      <w:r>
        <w:t xml:space="preserve"> Trasformare la biodiversità alimentare da consiglio personale a variabile di social psychiatry e salute pubblica.</w:t>
      </w:r>
    </w:p>
    <w:p>
      <w:r>
        <w:rPr>
          <w:b/>
        </w:rPr>
        <w:t>Caso composito o apertura narrativa:</w:t>
      </w:r>
      <w:r>
        <w:t xml:space="preserve"> Una persona in quartiere deprivato, con lavoro instabile e caregiving, per la quale “mangiare più varietà” implica costi, trasporti, tempo, competenze e rischio di spreco.</w:t>
      </w:r>
    </w:p>
    <w:p>
      <w:r>
        <w:t>Sezioni principali:</w:t>
      </w:r>
    </w:p>
    <w:p>
      <w:pPr>
        <w:pStyle w:val="ListBullet"/>
      </w:pPr>
      <w:r>
        <w:t>Dietary biodiversity gap: il costrutto operativo del libro.</w:t>
      </w:r>
    </w:p>
    <w:p>
      <w:pPr>
        <w:pStyle w:val="ListBullet"/>
      </w:pPr>
      <w:r>
        <w:t>Reddito, deprivation index, accesso a cibi freschi e DSR.</w:t>
      </w:r>
    </w:p>
    <w:p>
      <w:pPr>
        <w:pStyle w:val="ListBullet"/>
      </w:pPr>
      <w:r>
        <w:t>Food insecurity come riduzione di quantità, qualità e varietà.</w:t>
      </w:r>
    </w:p>
    <w:p>
      <w:pPr>
        <w:pStyle w:val="ListBullet"/>
      </w:pPr>
      <w:r>
        <w:t>Microbioma e status socioeconomico: possibili ponti tra disuguaglianza e biologia.</w:t>
      </w:r>
    </w:p>
    <w:p>
      <w:pPr>
        <w:pStyle w:val="ListBullet"/>
      </w:pPr>
      <w:r>
        <w:t>Cultura alimentare, migrazione, perdita di tradizioni e retail concentration.</w:t>
      </w:r>
    </w:p>
    <w:p>
      <w:pPr>
        <w:pStyle w:val="ListBullet"/>
      </w:pPr>
      <w:r>
        <w:t>Mangiare da soli: isolamento, single-person households, qualità della dieta e depressione.</w:t>
      </w:r>
    </w:p>
    <w:p>
      <w:pPr>
        <w:pStyle w:val="ListBullet"/>
      </w:pPr>
      <w:r>
        <w:t>Etica: la raccomandazione nutrizionale non deve aumentare vergogna o burden.</w:t>
      </w:r>
    </w:p>
    <w:p>
      <w:r>
        <w:t>Evidenza e fonti da mobilitare:</w:t>
      </w:r>
    </w:p>
    <w:p>
      <w:pPr>
        <w:pStyle w:val="ListBullet"/>
      </w:pPr>
      <w:r>
        <w:t>Studio UK 2025: maggiore DSR in giovani, redditi più alti e aree meno deprivate.</w:t>
      </w:r>
    </w:p>
    <w:p>
      <w:pPr>
        <w:pStyle w:val="ListBullet"/>
      </w:pPr>
      <w:r>
        <w:t>Studi su quartieri low-SES e microbiome diversity, inclusa mediazione da food insecurity.</w:t>
      </w:r>
    </w:p>
    <w:p>
      <w:pPr>
        <w:pStyle w:val="ListBullet"/>
      </w:pPr>
      <w:r>
        <w:t>WHO/FAO su biodiversità, salute, nutrizione e sistemi agroalimentari.</w:t>
      </w:r>
    </w:p>
    <w:p>
      <w:pPr>
        <w:pStyle w:val="ListBullet"/>
      </w:pPr>
      <w:r>
        <w:t>Fonte biodiversità: food biodiversity come ponte tra personal choice, agricoltura, retail, food insecurity e cultura.</w:t>
      </w:r>
    </w:p>
    <w:p>
      <w:r>
        <w:t>Lavoro di ricerca/scrittura da fare prima della stesura:</w:t>
      </w:r>
    </w:p>
    <w:p>
      <w:pPr>
        <w:pStyle w:val="ListBullet"/>
      </w:pPr>
      <w:r>
        <w:t>Creare una metrica narrativa del biodiversity gap: disponibilità, accessibilità economica, competenza culinaria, tempo, consumo reale.</w:t>
      </w:r>
    </w:p>
    <w:p>
      <w:pPr>
        <w:pStyle w:val="ListBullet"/>
      </w:pPr>
      <w:r>
        <w:t>Intervistare un esperto di food policy o food insecurity.</w:t>
      </w:r>
    </w:p>
    <w:p>
      <w:pPr>
        <w:pStyle w:val="ListBullet"/>
      </w:pPr>
      <w:r>
        <w:t>Usare esempi culturalmente diversi: non solo modello mediterraneo.</w:t>
      </w:r>
    </w:p>
    <w:p>
      <w:r>
        <w:t>Figure, box o tabelle da prevedere:</w:t>
      </w:r>
    </w:p>
    <w:p>
      <w:pPr>
        <w:pStyle w:val="ListBullet"/>
      </w:pPr>
      <w:r>
        <w:t>Figura: biodiversity gap in cinque livelli.</w:t>
      </w:r>
    </w:p>
    <w:p>
      <w:pPr>
        <w:pStyle w:val="ListBullet"/>
      </w:pPr>
      <w:r>
        <w:t>Box: “Il tempo è una risorsa nutrizionale”.</w:t>
      </w:r>
    </w:p>
    <w:p>
      <w:r>
        <w:t>Cautela scientifica da mantenere:</w:t>
      </w:r>
    </w:p>
    <w:p>
      <w:pPr>
        <w:pStyle w:val="ListBullet"/>
      </w:pPr>
      <w:r>
        <w:t>Non presentare la biodiversità come acquisto di cibi costosi o esotici.</w:t>
      </w:r>
    </w:p>
    <w:p>
      <w:pPr>
        <w:pStyle w:val="ListBullet"/>
      </w:pPr>
      <w:r>
        <w:t>Non ignorare che alcuni alimenti economici e stabili, come legumi e cereali integrali, possono aumentare biodiversità a basso costo.</w:t>
      </w:r>
    </w:p>
    <w:p>
      <w:r>
        <w:rPr>
          <w:b/>
        </w:rPr>
        <w:t>Collegamento al capitolo successivo:</w:t>
      </w:r>
      <w:r>
        <w:t xml:space="preserve"> Dopo aver riconosciuto le barriere strutturali, il libro può proporre un modello di intervento che parta da aggiunte realistiche, non da perfezionismo.</w:t>
      </w:r>
    </w:p>
    <w:p>
      <w:pPr>
        <w:pStyle w:val="Heading2"/>
      </w:pPr>
      <w:r>
        <w:t>Capitolo 13. La prescrizione di biodiversità alimentare</w:t>
      </w:r>
    </w:p>
    <w:p>
      <w:pPr>
        <w:pStyle w:val="CapMeta"/>
      </w:pPr>
      <w:r>
        <w:t>Parole previste: 7.000-8.000.</w:t>
      </w:r>
    </w:p>
    <w:p>
      <w:pPr>
        <w:pStyle w:val="BodyText"/>
      </w:pPr>
      <w:r>
        <w:t xml:space="preserve">Tesi operativa: </w:t>
      </w:r>
      <w:r>
        <w:rPr>
          <w:i/>
        </w:rPr>
        <w:t>L’intervento pratico non è “mangia perfetto”, ma aumentare gradualmente la ricchezza di specie minimamente processate in modo culturalmente adatto, economico e clinicamente sicuro.</w:t>
      </w:r>
    </w:p>
    <w:p>
      <w:r>
        <w:rPr>
          <w:b/>
        </w:rPr>
        <w:t>Obiettivo del capitolo:</w:t>
      </w:r>
      <w:r>
        <w:t xml:space="preserve"> Tradurre l’ipotesi in una strategia clinico-comportamentale prudente, senza trasformarla in dieta rigida o in tracking ossessivo.</w:t>
      </w:r>
    </w:p>
    <w:p>
      <w:r>
        <w:rPr>
          <w:b/>
        </w:rPr>
        <w:t>Caso composito o apertura narrativa:</w:t>
      </w:r>
      <w:r>
        <w:t xml:space="preserve"> Una persona con depressione lieve-moderata che parte da un repertorio ristretto e costruisce un piano di aggiunta: un legume, una verdura surgelata, una spezia, un cereale integrale, una frutta secca, un fermentato tollerato.</w:t>
      </w:r>
    </w:p>
    <w:p>
      <w:r>
        <w:t>Sezioni principali:</w:t>
      </w:r>
    </w:p>
    <w:p>
      <w:pPr>
        <w:pStyle w:val="ListBullet"/>
      </w:pPr>
      <w:r>
        <w:t>Principio operativo: add, do not punish. Aggiungere specie prima di vietare.</w:t>
      </w:r>
    </w:p>
    <w:p>
      <w:pPr>
        <w:pStyle w:val="ListBullet"/>
      </w:pPr>
      <w:r>
        <w:t>Categorizzazione: legumi, cereali integrali, verdure, frutta, frutta secca, semi, erbe, spezie, pesce, funghi, fermentati.</w:t>
      </w:r>
    </w:p>
    <w:p>
      <w:pPr>
        <w:pStyle w:val="ListBullet"/>
      </w:pPr>
      <w:r>
        <w:t>Incrementi minimi: una specie nuova a settimana o aumento da baseline, non target universale.</w:t>
      </w:r>
    </w:p>
    <w:p>
      <w:pPr>
        <w:pStyle w:val="ListBullet"/>
      </w:pPr>
      <w:r>
        <w:t>Il target “30 plants per week”: utile come scaffold comportamentale, non soglia psichiatrica validata.</w:t>
      </w:r>
    </w:p>
    <w:p>
      <w:pPr>
        <w:pStyle w:val="ListBullet"/>
      </w:pPr>
      <w:r>
        <w:t>Piani per bassa energia: alimenti pronti sani, surgelati, conserve, batch cooking minimo, no-cook meals.</w:t>
      </w:r>
    </w:p>
    <w:p>
      <w:pPr>
        <w:pStyle w:val="ListBullet"/>
      </w:pPr>
      <w:r>
        <w:t>Tolleranza gastrointestinale: aumentare fibra gradualmente.</w:t>
      </w:r>
    </w:p>
    <w:p>
      <w:pPr>
        <w:pStyle w:val="ListBullet"/>
      </w:pPr>
      <w:r>
        <w:t>Disturbi alimentari, ortoressia e health anxiety: quando non usare conteggi di biodiversità.</w:t>
      </w:r>
    </w:p>
    <w:p>
      <w:r>
        <w:t>Evidenza e fonti da mobilitare:</w:t>
      </w:r>
    </w:p>
    <w:p>
      <w:pPr>
        <w:pStyle w:val="ListBullet"/>
      </w:pPr>
      <w:r>
        <w:t>Fonte biodiversità: biodiversity prescription come famiglia plausibile di interventi.</w:t>
      </w:r>
    </w:p>
    <w:p>
      <w:pPr>
        <w:pStyle w:val="ListBullet"/>
      </w:pPr>
      <w:r>
        <w:t>Evidenza microbioma su numero di piante settimanali come scaffold, non specifica per depressione.</w:t>
      </w:r>
    </w:p>
    <w:p>
      <w:pPr>
        <w:pStyle w:val="ListBullet"/>
      </w:pPr>
      <w:r>
        <w:t>Letteratura clinica su pattern mediterraneo come base più dimostrata per l’intervento.</w:t>
      </w:r>
    </w:p>
    <w:p>
      <w:pPr>
        <w:pStyle w:val="ListBullet"/>
      </w:pPr>
      <w:r>
        <w:t>Linee guida nutraceutiche e cautele etiche delle fonti.</w:t>
      </w:r>
    </w:p>
    <w:p>
      <w:r>
        <w:t>Lavoro di ricerca/scrittura da fare prima della stesura:</w:t>
      </w:r>
    </w:p>
    <w:p>
      <w:pPr>
        <w:pStyle w:val="ListBullet"/>
      </w:pPr>
      <w:r>
        <w:t>Creare protocolli a tre livelli: depressione lieve, moderata, severa/instabile.</w:t>
      </w:r>
    </w:p>
    <w:p>
      <w:pPr>
        <w:pStyle w:val="ListBullet"/>
      </w:pPr>
      <w:r>
        <w:t>Preparare esempi di settimana biodiversa a basso costo in più culture alimentari.</w:t>
      </w:r>
    </w:p>
    <w:p>
      <w:pPr>
        <w:pStyle w:val="ListBullet"/>
      </w:pPr>
      <w:r>
        <w:t>Far revisionare da dietista con esperienza in salute mentale e disturbi alimentari.</w:t>
      </w:r>
    </w:p>
    <w:p>
      <w:r>
        <w:t>Figure, box o tabelle da prevedere:</w:t>
      </w:r>
    </w:p>
    <w:p>
      <w:pPr>
        <w:pStyle w:val="ListBullet"/>
      </w:pPr>
      <w:r>
        <w:t>Box: “Aumentare biodiversità senza cucinare molto”.</w:t>
      </w:r>
    </w:p>
    <w:p>
      <w:pPr>
        <w:pStyle w:val="ListBullet"/>
      </w:pPr>
      <w:r>
        <w:t>Box: “Biodiversità a basso costo”.</w:t>
      </w:r>
    </w:p>
    <w:p>
      <w:pPr>
        <w:pStyle w:val="ListBullet"/>
      </w:pPr>
      <w:r>
        <w:t>Tabella: segnali di cautela e quando rivolgersi a un professionista.</w:t>
      </w:r>
    </w:p>
    <w:p>
      <w:r>
        <w:t>Cautela scientifica da mantenere:</w:t>
      </w:r>
    </w:p>
    <w:p>
      <w:pPr>
        <w:pStyle w:val="ListBullet"/>
      </w:pPr>
      <w:r>
        <w:t>Non presentare il conteggio delle specie come obbligo quotidiano.</w:t>
      </w:r>
    </w:p>
    <w:p>
      <w:pPr>
        <w:pStyle w:val="ListBullet"/>
      </w:pPr>
      <w:r>
        <w:t>Non usare la biodiversità per giustificare restrizioni, detox o eliminazioni non necessarie.</w:t>
      </w:r>
    </w:p>
    <w:p>
      <w:r>
        <w:rPr>
          <w:b/>
        </w:rPr>
        <w:t>Collegamento al capitolo successivo:</w:t>
      </w:r>
      <w:r>
        <w:t xml:space="preserve"> Una prescrizione individuale resta fragile se l’ambiente alimentare è ostile. Il capitolo successivo sposta l’intervento da persona a istituzioni e policy.</w:t>
      </w:r>
    </w:p>
    <w:p>
      <w:pPr>
        <w:pStyle w:val="Heading2"/>
      </w:pPr>
      <w:r>
        <w:t>Capitolo 14. Cambiare l’ambiente alimentare, non solo il paziente</w:t>
      </w:r>
    </w:p>
    <w:p>
      <w:pPr>
        <w:pStyle w:val="CapMeta"/>
      </w:pPr>
      <w:r>
        <w:t>Parole previste: 6.500-7.500.</w:t>
      </w:r>
    </w:p>
    <w:p>
      <w:pPr>
        <w:pStyle w:val="BodyText"/>
      </w:pPr>
      <w:r>
        <w:t xml:space="preserve">Tesi operativa: </w:t>
      </w:r>
      <w:r>
        <w:rPr>
          <w:i/>
        </w:rPr>
        <w:t>Se la biodiversità alimentare conta, la salute mentale diventa anche una questione di mense, negozi, voucher, procurement, agricoltura e cultura.</w:t>
      </w:r>
    </w:p>
    <w:p>
      <w:r>
        <w:rPr>
          <w:b/>
        </w:rPr>
        <w:t>Obiettivo del capitolo:</w:t>
      </w:r>
      <w:r>
        <w:t xml:space="preserve"> Mostrare le implicazioni pubbliche della tesi e impedire che il libro finisca in raccomandazioni individualiste.</w:t>
      </w:r>
    </w:p>
    <w:p>
      <w:r>
        <w:rPr>
          <w:b/>
        </w:rPr>
        <w:t>Caso composito o apertura narrativa:</w:t>
      </w:r>
      <w:r>
        <w:t xml:space="preserve"> Una mensa scolastica, universitaria o aziendale che aumenta specie vegetali, legumi, cereali e fermentati senza aumentare stigma, costo o complessità per il singolo.</w:t>
      </w:r>
    </w:p>
    <w:p>
      <w:r>
        <w:t>Sezioni principali:</w:t>
      </w:r>
    </w:p>
    <w:p>
      <w:pPr>
        <w:pStyle w:val="ListBullet"/>
      </w:pPr>
      <w:r>
        <w:t>Food environment come infrastruttura di salute mentale.</w:t>
      </w:r>
    </w:p>
    <w:p>
      <w:pPr>
        <w:pStyle w:val="ListBullet"/>
      </w:pPr>
      <w:r>
        <w:t>Mense e procurement: aumentare diversità reale, non solo opzioni.</w:t>
      </w:r>
    </w:p>
    <w:p>
      <w:pPr>
        <w:pStyle w:val="ListBullet"/>
      </w:pPr>
      <w:r>
        <w:t>Voucher e food assistance: misurare non solo calorie e quantità, ma varietà accessibile.</w:t>
      </w:r>
    </w:p>
    <w:p>
      <w:pPr>
        <w:pStyle w:val="ListBullet"/>
      </w:pPr>
      <w:r>
        <w:t>Scuole e workplace: normalizzare legumi, cereali diversi, verdure, erbe e fermentati.</w:t>
      </w:r>
    </w:p>
    <w:p>
      <w:pPr>
        <w:pStyle w:val="ListBullet"/>
      </w:pPr>
      <w:r>
        <w:t>Retail e quartieri: accessibilità, prezzo, trasporto, cooking infrastructure.</w:t>
      </w:r>
    </w:p>
    <w:p>
      <w:pPr>
        <w:pStyle w:val="ListBullet"/>
      </w:pPr>
      <w:r>
        <w:t>Agrifood policy: biodiversità come ponte tra salute mentale e sostenibilità.</w:t>
      </w:r>
    </w:p>
    <w:p>
      <w:pPr>
        <w:pStyle w:val="ListBullet"/>
      </w:pPr>
      <w:r>
        <w:t>Misurare l’impatto: DSR, sintomi, assenteismo, qualità di vita, costi.</w:t>
      </w:r>
    </w:p>
    <w:p>
      <w:r>
        <w:t>Evidenza e fonti da mobilitare:</w:t>
      </w:r>
    </w:p>
    <w:p>
      <w:pPr>
        <w:pStyle w:val="ListBullet"/>
      </w:pPr>
      <w:r>
        <w:t>WHO guidance on mainstreaming biodiversity for nutrition and health.</w:t>
      </w:r>
    </w:p>
    <w:p>
      <w:pPr>
        <w:pStyle w:val="ListBullet"/>
      </w:pPr>
      <w:r>
        <w:t>FAO su biodiversità nei sistemi agroalimentari.</w:t>
      </w:r>
    </w:p>
    <w:p>
      <w:pPr>
        <w:pStyle w:val="ListBullet"/>
      </w:pPr>
      <w:r>
        <w:t>Fonte biodiversità: policy leverage che collega salute mentale, agricoltura, retail, food insecurity e cultura.</w:t>
      </w:r>
    </w:p>
    <w:p>
      <w:pPr>
        <w:pStyle w:val="ListBullet"/>
      </w:pPr>
      <w:r>
        <w:t>Natural experiments proposti nella fonte: voucher, school meals, worksite canteens, procurement reforms.</w:t>
      </w:r>
    </w:p>
    <w:p>
      <w:r>
        <w:t>Lavoro di ricerca/scrittura da fare prima della stesura:</w:t>
      </w:r>
    </w:p>
    <w:p>
      <w:pPr>
        <w:pStyle w:val="ListBullet"/>
      </w:pPr>
      <w:r>
        <w:t>Intervistare esperti di salute pubblica, mense e food procurement.</w:t>
      </w:r>
    </w:p>
    <w:p>
      <w:pPr>
        <w:pStyle w:val="ListBullet"/>
      </w:pPr>
      <w:r>
        <w:t>Costruire esempi concreti di policy pilot con outcome misurabili.</w:t>
      </w:r>
    </w:p>
    <w:p>
      <w:pPr>
        <w:pStyle w:val="ListBullet"/>
      </w:pPr>
      <w:r>
        <w:t>Mantenere un linguaggio politicamente preciso ma non ideologico: l’obiettivo è infrastruttura, non moralismo.</w:t>
      </w:r>
    </w:p>
    <w:p>
      <w:r>
        <w:t>Figure, box o tabelle da prevedere:</w:t>
      </w:r>
    </w:p>
    <w:p>
      <w:pPr>
        <w:pStyle w:val="ListBullet"/>
      </w:pPr>
      <w:r>
        <w:t>Figura: livelli di intervento dalla persona al sistema alimentare.</w:t>
      </w:r>
    </w:p>
    <w:p>
      <w:pPr>
        <w:pStyle w:val="ListBullet"/>
      </w:pPr>
      <w:r>
        <w:t>Box: “Una mensa biodiversa: criteri operativi”.</w:t>
      </w:r>
    </w:p>
    <w:p>
      <w:r>
        <w:t>Cautela scientifica da mantenere:</w:t>
      </w:r>
    </w:p>
    <w:p>
      <w:pPr>
        <w:pStyle w:val="ListBullet"/>
      </w:pPr>
      <w:r>
        <w:t>Non sostenere che policy alimentari sostituiscano servizi di salute mentale.</w:t>
      </w:r>
    </w:p>
    <w:p>
      <w:pPr>
        <w:pStyle w:val="ListBullet"/>
      </w:pPr>
      <w:r>
        <w:t>Non ignorare trade-off: costi, spreco, preferenze culturali, allergeni e accessibilità.</w:t>
      </w:r>
    </w:p>
    <w:p>
      <w:r>
        <w:rPr>
          <w:b/>
        </w:rPr>
        <w:t>Collegamento al capitolo successivo:</w:t>
      </w:r>
      <w:r>
        <w:t xml:space="preserve"> Il libro può chiudere solo con una domanda rigorosa: che cosa servirebbe per dimostrare davvero che la biodiversità alimentare aggiunge qualcosa alla nutrizione psichiatrica?</w:t>
      </w:r>
    </w:p>
    <w:p>
      <w:pPr>
        <w:pStyle w:val="Heading2"/>
      </w:pPr>
      <w:r>
        <w:t>Capitolo 15. Che cosa servirebbe per dimostrarlo</w:t>
      </w:r>
    </w:p>
    <w:p>
      <w:pPr>
        <w:pStyle w:val="CapMeta"/>
      </w:pPr>
      <w:r>
        <w:t>Parole previste: 6.000-7.000.</w:t>
      </w:r>
    </w:p>
    <w:p>
      <w:pPr>
        <w:pStyle w:val="BodyText"/>
      </w:pPr>
      <w:r>
        <w:t xml:space="preserve">Tesi operativa: </w:t>
      </w:r>
      <w:r>
        <w:rPr>
          <w:i/>
        </w:rPr>
        <w:t>La food biodiversity depletion è una buona ipotesi solo se può essere misurata, testata, mediata e falsificata.</w:t>
      </w:r>
    </w:p>
    <w:p>
      <w:r>
        <w:rPr>
          <w:b/>
        </w:rPr>
        <w:t>Obiettivo del capitolo:</w:t>
      </w:r>
      <w:r>
        <w:t xml:space="preserve"> Chiudere il libro con un’agenda di ricerca credibile e con criteri espliciti per confermare o respingere la tesi.</w:t>
      </w:r>
    </w:p>
    <w:p>
      <w:r>
        <w:rPr>
          <w:b/>
        </w:rPr>
        <w:t>Caso composito o apertura narrativa:</w:t>
      </w:r>
      <w:r>
        <w:t xml:space="preserve"> Un laboratorio immaginario ma realistico in cui epidemiologi, psichiatri, dietisti, microbiome scientists e policy researchers disegnano gli studi che il campo ancora non ha.</w:t>
      </w:r>
    </w:p>
    <w:p>
      <w:r>
        <w:t>Sezioni principali:</w:t>
      </w:r>
    </w:p>
    <w:p>
      <w:pPr>
        <w:pStyle w:val="ListBullet"/>
      </w:pPr>
      <w:r>
        <w:t>Predizione 1: indipendenza prospettica rispetto a dieta mediterranea, UPF, SES e sintomi basali.</w:t>
      </w:r>
    </w:p>
    <w:p>
      <w:pPr>
        <w:pStyle w:val="ListBullet"/>
      </w:pPr>
      <w:r>
        <w:t>Predizione 2: temporalità within-person: cali di DSR precedono peggioramenti PHQ-9/MADRS più spesso del contrario.</w:t>
      </w:r>
    </w:p>
    <w:p>
      <w:pPr>
        <w:pStyle w:val="ListBullet"/>
      </w:pPr>
      <w:r>
        <w:t>Predizione 3: mediazione biologica parziale tramite microbioma funzionale, SCFA, infiammazione e vie del triptofano.</w:t>
      </w:r>
    </w:p>
    <w:p>
      <w:pPr>
        <w:pStyle w:val="ListBullet"/>
      </w:pPr>
      <w:r>
        <w:t>Predizione 4: effect modification da deprivation e food insecurity.</w:t>
      </w:r>
    </w:p>
    <w:p>
      <w:pPr>
        <w:pStyle w:val="ListBullet"/>
      </w:pPr>
      <w:r>
        <w:t>Predizione 5: trial head-to-head con due diete ugualmente sane ma diversa species richness.</w:t>
      </w:r>
    </w:p>
    <w:p>
      <w:pPr>
        <w:pStyle w:val="ListBullet"/>
      </w:pPr>
      <w:r>
        <w:t>Disegni necessari: coorte prospettica, digital panel, RCT di trattamento, crossover meccanicistico, natural experiment.</w:t>
      </w:r>
    </w:p>
    <w:p>
      <w:pPr>
        <w:pStyle w:val="ListBullet"/>
      </w:pPr>
      <w:r>
        <w:t>Criteri di falsificazione: se DSR non aggiunge valore predittivo o clinico, resta marker di qualità dietetica/reddito.</w:t>
      </w:r>
    </w:p>
    <w:p>
      <w:r>
        <w:t>Evidenza e fonti da mobilitare:</w:t>
      </w:r>
    </w:p>
    <w:p>
      <w:pPr>
        <w:pStyle w:val="ListBullet"/>
      </w:pPr>
      <w:r>
        <w:t>Disegni di ricerca proposti nella fonte biodiversità: coorte 20.000-30.000, panel digitale 2.000-3.000, RCT 300-320, crossover 60-80, natural experiment.</w:t>
      </w:r>
    </w:p>
    <w:p>
      <w:pPr>
        <w:pStyle w:val="ListBullet"/>
      </w:pPr>
      <w:r>
        <w:t>Misure prioritarie: total DSR, plant DSR, within-group DSR, UPF %, Mediterranean score, PHQ-9, CES-D, MADRS, HDRS, metagenomica e metabolomica.</w:t>
      </w:r>
    </w:p>
    <w:p>
      <w:pPr>
        <w:pStyle w:val="ListBullet"/>
      </w:pPr>
      <w:r>
        <w:t>Fonte sul libro: necessità di separare evidenza osservazionale, trial, supplementi e meccanismi.</w:t>
      </w:r>
    </w:p>
    <w:p>
      <w:r>
        <w:t>Lavoro di ricerca/scrittura da fare prima della stesura:</w:t>
      </w:r>
    </w:p>
    <w:p>
      <w:pPr>
        <w:pStyle w:val="ListBullet"/>
      </w:pPr>
      <w:r>
        <w:t>Trasformare il capitolo in una conclusione forte, non in appendice tecnica.</w:t>
      </w:r>
    </w:p>
    <w:p>
      <w:pPr>
        <w:pStyle w:val="ListBullet"/>
      </w:pPr>
      <w:r>
        <w:t>Scrivere una sezione “What would persuade a sceptic?”.</w:t>
      </w:r>
    </w:p>
    <w:p>
      <w:pPr>
        <w:pStyle w:val="ListBullet"/>
      </w:pPr>
      <w:r>
        <w:t>Preparare una lista di priorità per grant, trial e policy pilots.</w:t>
      </w:r>
    </w:p>
    <w:p>
      <w:r>
        <w:t>Figure, box o tabelle da prevedere:</w:t>
      </w:r>
    </w:p>
    <w:p>
      <w:pPr>
        <w:pStyle w:val="ListBullet"/>
      </w:pPr>
      <w:r>
        <w:t>Tabella: disegni di studio, campione, esposizioni, outcome, confondenti.</w:t>
      </w:r>
    </w:p>
    <w:p>
      <w:pPr>
        <w:pStyle w:val="ListBullet"/>
      </w:pPr>
      <w:r>
        <w:t>Figura: timeline di ricerca dal 2026 al 2030 come programma ideale.</w:t>
      </w:r>
    </w:p>
    <w:p>
      <w:r>
        <w:t>Cautela scientifica da mantenere:</w:t>
      </w:r>
    </w:p>
    <w:p>
      <w:pPr>
        <w:pStyle w:val="ListBullet"/>
      </w:pPr>
      <w:r>
        <w:t>Non chiudere con certezza: chiudere con disciplined ambition.</w:t>
      </w:r>
    </w:p>
    <w:p>
      <w:pPr>
        <w:pStyle w:val="ListBullet"/>
      </w:pPr>
      <w:r>
        <w:t>Non rendere il lettore frustrato: spiegare che ipotesi non provata non significa ipotesi inutile.</w:t>
      </w:r>
    </w:p>
    <w:p>
      <w:r>
        <w:rPr>
          <w:b/>
        </w:rPr>
        <w:t>Collegamento al capitolo successivo:</w:t>
      </w:r>
      <w:r>
        <w:t xml:space="preserve"> L’epilogo dovrà tornare dal laboratorio alla vita quotidiana: una dieta non è solo nutrienti, ma repertorio biologico, sociale e culturale di possibilità.</w:t>
      </w:r>
    </w:p>
    <w:p>
      <w:pPr>
        <w:pStyle w:val="Heading1"/>
      </w:pPr>
      <w:r>
        <w:t>6. Casi compositi e architettura narrativa</w:t>
      </w:r>
    </w:p>
    <w:p>
      <w:r>
        <w:t>Per evitare un libro puramente tecnico, servono casi compositi ricorrenti. Devono essere dichiarati come compositi, costruiti da pattern clinici e sociali plausibili, non come testimonianze miracolistiche. La funzione dei casi è rendere visibili meccanismi e vincoli, non sostituire l’evidenza.</w:t>
      </w:r>
    </w:p>
    <w:p>
      <w:pPr>
        <w:pStyle w:val="ListBullet"/>
      </w:pPr>
      <w:r>
        <w:rPr>
          <w:b/>
        </w:rPr>
        <w:t xml:space="preserve">Caso A - Depressione ricorrente e dieta mai valutata: </w:t>
      </w:r>
      <w:r>
        <w:t>Serve nei capitoli 1-4. Mostra come la nutrizione possa entrare nella cura senza negare farmaci e psicoterapia.</w:t>
      </w:r>
    </w:p>
    <w:p>
      <w:pPr>
        <w:pStyle w:val="ListBullet"/>
      </w:pPr>
      <w:r>
        <w:rPr>
          <w:b/>
        </w:rPr>
        <w:t xml:space="preserve">Caso B - Depressione immuno-metabolica: </w:t>
      </w:r>
      <w:r>
        <w:t>Serve nei capitoli 3, 5, 6 e 10. Fatigue, sonno, peso, insulino-resistenza, UPF e infiammazione.</w:t>
      </w:r>
    </w:p>
    <w:p>
      <w:pPr>
        <w:pStyle w:val="ListBullet"/>
      </w:pPr>
      <w:r>
        <w:rPr>
          <w:b/>
        </w:rPr>
        <w:t xml:space="preserve">Caso C - Menu depresso: </w:t>
      </w:r>
      <w:r>
        <w:t>Serve nei capitoli 9-11 e 13. Persona con repertorio alimentare estremamente ristretto a causa di anedonia, fatica e ridotto food effort.</w:t>
      </w:r>
    </w:p>
    <w:p>
      <w:pPr>
        <w:pStyle w:val="ListBullet"/>
      </w:pPr>
      <w:r>
        <w:rPr>
          <w:b/>
        </w:rPr>
        <w:t xml:space="preserve">Caso D - Food insecurity e biodiversity gap: </w:t>
      </w:r>
      <w:r>
        <w:t>Serve nei capitoli 12 e 14. Mostra che varietà e biodiversità sono strutturalmente distribuite.</w:t>
      </w:r>
    </w:p>
    <w:p>
      <w:pPr>
        <w:pStyle w:val="ListBullet"/>
      </w:pPr>
      <w:r>
        <w:rPr>
          <w:b/>
        </w:rPr>
        <w:t xml:space="preserve">Caso E - Integratori senza pattern: </w:t>
      </w:r>
      <w:r>
        <w:t>Serve nel capitolo 8. Lettore che cerca soluzioni in capsule ma non ha un intervento dietetico coerente né valutazione clinica.</w:t>
      </w:r>
    </w:p>
    <w:p>
      <w:pPr>
        <w:pStyle w:val="Heading3"/>
      </w:pPr>
      <w:r>
        <w:t>Regole di scrittura dei casi</w:t>
      </w:r>
    </w:p>
    <w:p>
      <w:pPr>
        <w:pStyle w:val="ListBullet"/>
      </w:pPr>
      <w:r>
        <w:t>Nessun caso deve promettere remissione grazie al cibo.</w:t>
      </w:r>
    </w:p>
    <w:p>
      <w:pPr>
        <w:pStyle w:val="ListBullet"/>
      </w:pPr>
      <w:r>
        <w:t>Ogni caso deve includere vincoli realistici: budget, tempo, appetito, competenze, accesso, farmaci, comorbidità.</w:t>
      </w:r>
    </w:p>
    <w:p>
      <w:pPr>
        <w:pStyle w:val="ListBullet"/>
      </w:pPr>
      <w:r>
        <w:t>I casi devono tornare più volte per mostrare traiettorie, non “prima e dopo” semplicistici.</w:t>
      </w:r>
    </w:p>
    <w:p>
      <w:pPr>
        <w:pStyle w:val="ListBullet"/>
      </w:pPr>
      <w:r>
        <w:t>Ogni caso deve esplicitare quando serve valutazione professionale.</w:t>
      </w:r>
    </w:p>
    <w:p>
      <w:pPr>
        <w:pStyle w:val="Heading1"/>
      </w:pPr>
      <w:r>
        <w:t>7. Piano operativo di ricerca e scrittura</w:t>
      </w:r>
    </w:p>
    <w:p>
      <w:r>
        <w:t>Il libro richiede un workflow simile a una review narrativa strutturata più un progetto editoriale. Le due fonti fornite sono sufficienti per bloccare la tesi e l’indice, ma non per chiudere il manoscritto senza ulteriore fact-checking primario.</w:t>
      </w:r>
    </w:p>
    <w:p>
      <w:pPr>
        <w:ind w:left="425" w:hanging="255"/>
      </w:pPr>
      <w:r>
        <w:rPr>
          <w:b/>
        </w:rPr>
        <w:t xml:space="preserve">1.  Fase 1 - Lock della tesi e protocollo interno: </w:t>
      </w:r>
      <w:r>
        <w:t>Definire claim, contro-claim, criteri di inclusione delle fonti e confini etici. Output: protocollo di evidenza di 5-8 pagine.</w:t>
      </w:r>
    </w:p>
    <w:p>
      <w:pPr>
        <w:ind w:left="425" w:hanging="255"/>
      </w:pPr>
      <w:r>
        <w:rPr>
          <w:b/>
        </w:rPr>
        <w:t xml:space="preserve">2.  Fase 2 - Biblioteca primaria: </w:t>
      </w:r>
      <w:r>
        <w:t>Costruire libreria Zotero/EndNote con tag: epidemiologia, RCT, UPF, sugar, microbiota, nutraceutici, biodiversity, DSR, social determinants, policy.</w:t>
      </w:r>
    </w:p>
    <w:p>
      <w:pPr>
        <w:ind w:left="425" w:hanging="255"/>
      </w:pPr>
      <w:r>
        <w:rPr>
          <w:b/>
        </w:rPr>
        <w:t xml:space="preserve">3.  Fase 3 - Evidence tables: </w:t>
      </w:r>
      <w:r>
        <w:t>Creare tabelle vive per coorti, RCT, meta-analisi, supplementi e studi biodiversity. Ogni tabella deve includere disegno, popolazione, outcome, limiti, uso nel libro.</w:t>
      </w:r>
    </w:p>
    <w:p>
      <w:pPr>
        <w:ind w:left="425" w:hanging="255"/>
      </w:pPr>
      <w:r>
        <w:rPr>
          <w:b/>
        </w:rPr>
        <w:t xml:space="preserve">4.  Fase 4 - Interviste esperte: </w:t>
      </w:r>
      <w:r>
        <w:t>Almeno cinque: psichiatra, dietista/registered dietitian, microbiome scientist, epidemiologo/metodologo scettico, food-policy researcher.</w:t>
      </w:r>
    </w:p>
    <w:p>
      <w:pPr>
        <w:ind w:left="425" w:hanging="255"/>
      </w:pPr>
      <w:r>
        <w:rPr>
          <w:b/>
        </w:rPr>
        <w:t xml:space="preserve">5.  Fase 5 - Stesura Parte I-II: </w:t>
      </w:r>
      <w:r>
        <w:t>Scrivere prima capitoli 1-8 per fissare il terreno consolidato e impedire che la tesi biodiversità sembri scollegata dalle prove.</w:t>
      </w:r>
    </w:p>
    <w:p>
      <w:pPr>
        <w:ind w:left="425" w:hanging="255"/>
      </w:pPr>
      <w:r>
        <w:rPr>
          <w:b/>
        </w:rPr>
        <w:t xml:space="preserve">6.  Fase 6 - Stesura Parte III-IV: </w:t>
      </w:r>
      <w:r>
        <w:t>Scrivere capitoli 9-14 integrando meccanismi, casi compositi e vincoli sociali.</w:t>
      </w:r>
    </w:p>
    <w:p>
      <w:pPr>
        <w:ind w:left="425" w:hanging="255"/>
      </w:pPr>
      <w:r>
        <w:rPr>
          <w:b/>
        </w:rPr>
        <w:t xml:space="preserve">7.  Fase 7 - Capitolo 15 e appendici: </w:t>
      </w:r>
      <w:r>
        <w:t>Scrivere l’agenda di ricerca, criteri di falsificazione, glossario, metodi di lettura delle evidenze e bibliografia ragionata.</w:t>
      </w:r>
    </w:p>
    <w:p>
      <w:pPr>
        <w:ind w:left="425" w:hanging="255"/>
      </w:pPr>
      <w:r>
        <w:rPr>
          <w:b/>
        </w:rPr>
        <w:t xml:space="preserve">8.  Fase 8 - Sensitivity pass: </w:t>
      </w:r>
      <w:r>
        <w:t>Rileggere il manoscritto cercando overclaim: causality, supplements, microbiome hype, class bias, eating-disorder risk, universalism culturale.</w:t>
      </w:r>
    </w:p>
    <w:p>
      <w:pPr>
        <w:ind w:left="425" w:hanging="255"/>
      </w:pPr>
      <w:r>
        <w:rPr>
          <w:b/>
        </w:rPr>
        <w:t xml:space="preserve">9.  Fase 9 - Revisione esterna: </w:t>
      </w:r>
      <w:r>
        <w:t>Inviare a due lettori scientifici e un lettore non esperto; separare commenti su accuratezza, comprensibilità e tono.</w:t>
      </w:r>
    </w:p>
    <w:p>
      <w:pPr>
        <w:pStyle w:val="Heading3"/>
      </w:pPr>
      <w:r>
        <w:t>Checklist di qualità scientifica per ogni capitolo</w:t>
      </w:r>
    </w:p>
    <w:p>
      <w:pPr>
        <w:pStyle w:val="ListBullet"/>
      </w:pPr>
      <w:r>
        <w:t>Indicare sempre il livello di evidenza: coorte, RCT, meta-analisi, meccanismo, ipotesi.</w:t>
      </w:r>
    </w:p>
    <w:p>
      <w:pPr>
        <w:pStyle w:val="ListBullet"/>
      </w:pPr>
      <w:r>
        <w:t>Separare efficacia in trattamento da prevenzione di depressione incidente.</w:t>
      </w:r>
    </w:p>
    <w:p>
      <w:pPr>
        <w:pStyle w:val="ListBullet"/>
      </w:pPr>
      <w:r>
        <w:t>Distinguere associazione, mediazione e causalità.</w:t>
      </w:r>
    </w:p>
    <w:p>
      <w:pPr>
        <w:pStyle w:val="ListBullet"/>
      </w:pPr>
      <w:r>
        <w:t>Chiedere: il capitolo aumenta colpa o riduce carico? Se aumenta colpa, riscrivere.</w:t>
      </w:r>
    </w:p>
    <w:p>
      <w:pPr>
        <w:pStyle w:val="ListBullet"/>
      </w:pPr>
      <w:r>
        <w:t>Chiedere: il lettore potrebbe interpretare questo come invito a sospendere cure? Se sì, riscrivere.</w:t>
      </w:r>
    </w:p>
    <w:p>
      <w:pPr>
        <w:pStyle w:val="ListBullet"/>
      </w:pPr>
      <w:r>
        <w:t>Chiedere: la biodiversità è presentata come ipotesi falsificabile? Se no, riscrivere.</w:t>
      </w:r>
    </w:p>
    <w:p>
      <w:pPr>
        <w:pStyle w:val="ListBullet"/>
      </w:pPr>
      <w:r>
        <w:t>Controllare ogni raccomandazione pratica per budget, cultura, accessibilità e tolleranza gastrointestinale.</w:t>
      </w:r>
    </w:p>
    <w:p>
      <w:pPr>
        <w:pStyle w:val="Heading1"/>
      </w:pPr>
      <w:r>
        <w:t>8. Agenda di ricerca da integrare nel libro</w:t>
      </w:r>
    </w:p>
    <w:p>
      <w:r>
        <w:t>L’agenda di ricerca deve essere abbastanza specifica da convincere un lettore accademico che la tesi non è solo metafora. Il libro deve proporre studi capaci di distinguere food biodiversity da qualità dietetica generale e UPF exposure.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381"/>
        <w:gridCol w:w="2381"/>
        <w:gridCol w:w="2381"/>
        <w:gridCol w:w="2381"/>
      </w:tblGrid>
      <w:tr>
        <w:trPr>
          <w:tblHeader/>
          <w:cantSplit/>
        </w:trPr>
        <w:tc>
          <w:tcPr>
            <w:tcW w:type="dxa" w:w="2381"/>
            <w:shd w:fill="1F4E79"/>
            <w:tcMar>
              <w:top w:w="80" w:type="dxa"/>
              <w:start w:w="80" w:type="dxa"/>
              <w:bottom w:w="80" w:type="dxa"/>
              <w:end w:w="80" w:type="dxa"/>
            </w:tcMar>
            <w:vAlign w:val="top"/>
          </w:tcPr>
          <w:p>
            <w:r/>
            <w:r>
              <w:rPr>
                <w:b/>
                <w:color w:val="FFFFFF"/>
                <w:sz w:val="16"/>
              </w:rPr>
              <w:t>Disegno</w:t>
            </w:r>
          </w:p>
        </w:tc>
        <w:tc>
          <w:tcPr>
            <w:tcW w:type="dxa" w:w="2381"/>
            <w:shd w:fill="1F4E79"/>
            <w:tcMar>
              <w:top w:w="80" w:type="dxa"/>
              <w:start w:w="80" w:type="dxa"/>
              <w:bottom w:w="80" w:type="dxa"/>
              <w:end w:w="80" w:type="dxa"/>
            </w:tcMar>
            <w:vAlign w:val="top"/>
          </w:tcPr>
          <w:p>
            <w:r/>
            <w:r>
              <w:rPr>
                <w:b/>
                <w:color w:val="FFFFFF"/>
                <w:sz w:val="16"/>
              </w:rPr>
              <w:t>Campione</w:t>
            </w:r>
          </w:p>
        </w:tc>
        <w:tc>
          <w:tcPr>
            <w:tcW w:type="dxa" w:w="2381"/>
            <w:shd w:fill="1F4E79"/>
            <w:tcMar>
              <w:top w:w="80" w:type="dxa"/>
              <w:start w:w="80" w:type="dxa"/>
              <w:bottom w:w="80" w:type="dxa"/>
              <w:end w:w="80" w:type="dxa"/>
            </w:tcMar>
            <w:vAlign w:val="top"/>
          </w:tcPr>
          <w:p>
            <w:r/>
            <w:r>
              <w:rPr>
                <w:b/>
                <w:color w:val="FFFFFF"/>
                <w:sz w:val="16"/>
              </w:rPr>
              <w:t>Misure centrali</w:t>
            </w:r>
          </w:p>
        </w:tc>
        <w:tc>
          <w:tcPr>
            <w:tcW w:type="dxa" w:w="2381"/>
            <w:shd w:fill="1F4E79"/>
            <w:tcMar>
              <w:top w:w="80" w:type="dxa"/>
              <w:start w:w="80" w:type="dxa"/>
              <w:bottom w:w="80" w:type="dxa"/>
              <w:end w:w="80" w:type="dxa"/>
            </w:tcMar>
            <w:vAlign w:val="top"/>
          </w:tcPr>
          <w:p>
            <w:r/>
            <w:r>
              <w:rPr>
                <w:b/>
                <w:color w:val="FFFFFF"/>
                <w:sz w:val="16"/>
              </w:rPr>
              <w:t>Perché serve</w:t>
            </w:r>
          </w:p>
        </w:tc>
      </w:tr>
      <w:tr>
        <w:trPr>
          <w:cantSplit/>
        </w:trPr>
        <w:tc>
          <w:tcPr>
            <w:tcW w:type="dxa" w:w="2381"/>
            <w:tcMar>
              <w:top w:w="55" w:type="dxa"/>
              <w:start w:w="80" w:type="dxa"/>
              <w:bottom w:w="55" w:type="dxa"/>
              <w:end w:w="80" w:type="dxa"/>
            </w:tcMar>
            <w:vAlign w:val="top"/>
          </w:tcPr>
          <w:p>
            <w:r/>
            <w:r>
              <w:rPr>
                <w:b/>
                <w:sz w:val="14"/>
              </w:rPr>
              <w:t>Coorte prospettica adulta</w:t>
            </w:r>
          </w:p>
        </w:tc>
        <w:tc>
          <w:tcPr>
            <w:tcW w:type="dxa" w:w="2381"/>
            <w:tcMar>
              <w:top w:w="55" w:type="dxa"/>
              <w:start w:w="80" w:type="dxa"/>
              <w:bottom w:w="55" w:type="dxa"/>
              <w:end w:w="80" w:type="dxa"/>
            </w:tcMar>
            <w:vAlign w:val="top"/>
          </w:tcPr>
          <w:p>
            <w:r/>
            <w:r>
              <w:rPr>
                <w:b w:val="0"/>
                <w:sz w:val="14"/>
              </w:rPr>
              <w:t>20.000-30.000 adulti, 3-5 anni</w:t>
            </w:r>
          </w:p>
        </w:tc>
        <w:tc>
          <w:tcPr>
            <w:tcW w:type="dxa" w:w="2381"/>
            <w:tcMar>
              <w:top w:w="55" w:type="dxa"/>
              <w:start w:w="80" w:type="dxa"/>
              <w:bottom w:w="55" w:type="dxa"/>
              <w:end w:w="80" w:type="dxa"/>
            </w:tcMar>
            <w:vAlign w:val="top"/>
          </w:tcPr>
          <w:p>
            <w:r/>
            <w:r>
              <w:rPr>
                <w:b w:val="0"/>
                <w:sz w:val="14"/>
              </w:rPr>
              <w:t>DSR ripetuta, UPF %, Mediterranean score, PHQ-9, diagnosi annuale, antidepressant starts, SES, sleep, activity, food insecurity</w:t>
            </w:r>
          </w:p>
        </w:tc>
        <w:tc>
          <w:tcPr>
            <w:tcW w:type="dxa" w:w="2381"/>
            <w:tcMar>
              <w:top w:w="55" w:type="dxa"/>
              <w:start w:w="80" w:type="dxa"/>
              <w:bottom w:w="55" w:type="dxa"/>
              <w:end w:w="80" w:type="dxa"/>
            </w:tcMar>
            <w:vAlign w:val="top"/>
          </w:tcPr>
          <w:p>
            <w:r/>
            <w:r>
              <w:rPr>
                <w:b w:val="0"/>
                <w:sz w:val="14"/>
              </w:rPr>
              <w:t>Testa indipendenza prospettica e riduce causalità inversa con misure ripetute.</w:t>
            </w:r>
          </w:p>
        </w:tc>
      </w:tr>
      <w:tr>
        <w:trPr>
          <w:cantSplit/>
        </w:trPr>
        <w:tc>
          <w:tcPr>
            <w:tcW w:type="dxa" w:w="2381"/>
            <w:tcMar>
              <w:top w:w="55" w:type="dxa"/>
              <w:start w:w="80" w:type="dxa"/>
              <w:bottom w:w="55" w:type="dxa"/>
              <w:end w:w="80" w:type="dxa"/>
            </w:tcMar>
            <w:vAlign w:val="top"/>
          </w:tcPr>
          <w:p>
            <w:r/>
            <w:r>
              <w:rPr>
                <w:b/>
                <w:sz w:val="14"/>
              </w:rPr>
              <w:t>Digital within-person panel</w:t>
            </w:r>
          </w:p>
        </w:tc>
        <w:tc>
          <w:tcPr>
            <w:tcW w:type="dxa" w:w="2381"/>
            <w:tcMar>
              <w:top w:w="55" w:type="dxa"/>
              <w:start w:w="80" w:type="dxa"/>
              <w:bottom w:w="55" w:type="dxa"/>
              <w:end w:w="80" w:type="dxa"/>
            </w:tcMar>
            <w:vAlign w:val="top"/>
          </w:tcPr>
          <w:p>
            <w:r/>
            <w:r>
              <w:rPr>
                <w:b w:val="0"/>
                <w:sz w:val="14"/>
              </w:rPr>
              <w:t>2.000-3.000 adulti, 12 mesi</w:t>
            </w:r>
          </w:p>
        </w:tc>
        <w:tc>
          <w:tcPr>
            <w:tcW w:type="dxa" w:w="2381"/>
            <w:tcMar>
              <w:top w:w="55" w:type="dxa"/>
              <w:start w:w="80" w:type="dxa"/>
              <w:bottom w:w="55" w:type="dxa"/>
              <w:end w:w="80" w:type="dxa"/>
            </w:tcMar>
            <w:vAlign w:val="top"/>
          </w:tcPr>
          <w:p>
            <w:r/>
            <w:r>
              <w:rPr>
                <w:b w:val="0"/>
                <w:sz w:val="14"/>
              </w:rPr>
              <w:t>Food photos/barcode, weekly DSR, EMA mood, sonno/attività passivi, stress time-varying</w:t>
            </w:r>
          </w:p>
        </w:tc>
        <w:tc>
          <w:tcPr>
            <w:tcW w:type="dxa" w:w="2381"/>
            <w:tcMar>
              <w:top w:w="55" w:type="dxa"/>
              <w:start w:w="80" w:type="dxa"/>
              <w:bottom w:w="55" w:type="dxa"/>
              <w:end w:w="80" w:type="dxa"/>
            </w:tcMar>
            <w:vAlign w:val="top"/>
          </w:tcPr>
          <w:p>
            <w:r/>
            <w:r>
              <w:rPr>
                <w:b w:val="0"/>
                <w:sz w:val="14"/>
              </w:rPr>
              <w:t>Mostra se cali individuali di biodiversità precedono peggioramento dell’umore.</w:t>
            </w:r>
          </w:p>
        </w:tc>
      </w:tr>
      <w:tr>
        <w:trPr>
          <w:cantSplit/>
        </w:trPr>
        <w:tc>
          <w:tcPr>
            <w:tcW w:type="dxa" w:w="2381"/>
            <w:tcMar>
              <w:top w:w="55" w:type="dxa"/>
              <w:start w:w="80" w:type="dxa"/>
              <w:bottom w:w="55" w:type="dxa"/>
              <w:end w:w="80" w:type="dxa"/>
            </w:tcMar>
            <w:vAlign w:val="top"/>
          </w:tcPr>
          <w:p>
            <w:r/>
            <w:r>
              <w:rPr>
                <w:b/>
                <w:sz w:val="14"/>
              </w:rPr>
              <w:t>RCT depression-treatment</w:t>
            </w:r>
          </w:p>
        </w:tc>
        <w:tc>
          <w:tcPr>
            <w:tcW w:type="dxa" w:w="2381"/>
            <w:tcMar>
              <w:top w:w="55" w:type="dxa"/>
              <w:start w:w="80" w:type="dxa"/>
              <w:bottom w:w="55" w:type="dxa"/>
              <w:end w:w="80" w:type="dxa"/>
            </w:tcMar>
            <w:vAlign w:val="top"/>
          </w:tcPr>
          <w:p>
            <w:r/>
            <w:r>
              <w:rPr>
                <w:b w:val="0"/>
                <w:sz w:val="14"/>
              </w:rPr>
              <w:t>300-320 adulti con depressione lieve-moderata</w:t>
            </w:r>
          </w:p>
        </w:tc>
        <w:tc>
          <w:tcPr>
            <w:tcW w:type="dxa" w:w="2381"/>
            <w:tcMar>
              <w:top w:w="55" w:type="dxa"/>
              <w:start w:w="80" w:type="dxa"/>
              <w:bottom w:w="55" w:type="dxa"/>
              <w:end w:w="80" w:type="dxa"/>
            </w:tcMar>
            <w:vAlign w:val="top"/>
          </w:tcPr>
          <w:p>
            <w:r/>
            <w:r>
              <w:rPr>
                <w:b w:val="0"/>
                <w:sz w:val="14"/>
              </w:rPr>
              <w:t>Due diete ugualmente sane ma diversa DSR; MADRS, PHQ-9, remissione, costi, GI tolerance</w:t>
            </w:r>
          </w:p>
        </w:tc>
        <w:tc>
          <w:tcPr>
            <w:tcW w:type="dxa" w:w="2381"/>
            <w:tcMar>
              <w:top w:w="55" w:type="dxa"/>
              <w:start w:w="80" w:type="dxa"/>
              <w:bottom w:w="55" w:type="dxa"/>
              <w:end w:w="80" w:type="dxa"/>
            </w:tcMar>
            <w:vAlign w:val="top"/>
          </w:tcPr>
          <w:p>
            <w:r/>
            <w:r>
              <w:rPr>
                <w:b w:val="0"/>
                <w:sz w:val="14"/>
              </w:rPr>
              <w:t>Isola la specificità della biodiversità oltre la qualità dietetica.</w:t>
            </w:r>
          </w:p>
        </w:tc>
      </w:tr>
      <w:tr>
        <w:trPr>
          <w:cantSplit/>
        </w:trPr>
        <w:tc>
          <w:tcPr>
            <w:tcW w:type="dxa" w:w="2381"/>
            <w:tcMar>
              <w:top w:w="55" w:type="dxa"/>
              <w:start w:w="80" w:type="dxa"/>
              <w:bottom w:w="55" w:type="dxa"/>
              <w:end w:w="80" w:type="dxa"/>
            </w:tcMar>
            <w:vAlign w:val="top"/>
          </w:tcPr>
          <w:p>
            <w:r/>
            <w:r>
              <w:rPr>
                <w:b/>
                <w:sz w:val="14"/>
              </w:rPr>
              <w:t>Crossover meccanicistico</w:t>
            </w:r>
          </w:p>
        </w:tc>
        <w:tc>
          <w:tcPr>
            <w:tcW w:type="dxa" w:w="2381"/>
            <w:tcMar>
              <w:top w:w="55" w:type="dxa"/>
              <w:start w:w="80" w:type="dxa"/>
              <w:bottom w:w="55" w:type="dxa"/>
              <w:end w:w="80" w:type="dxa"/>
            </w:tcMar>
            <w:vAlign w:val="top"/>
          </w:tcPr>
          <w:p>
            <w:r/>
            <w:r>
              <w:rPr>
                <w:b w:val="0"/>
                <w:sz w:val="14"/>
              </w:rPr>
              <w:t>60-80 adulti</w:t>
            </w:r>
          </w:p>
        </w:tc>
        <w:tc>
          <w:tcPr>
            <w:tcW w:type="dxa" w:w="2381"/>
            <w:tcMar>
              <w:top w:w="55" w:type="dxa"/>
              <w:start w:w="80" w:type="dxa"/>
              <w:bottom w:w="55" w:type="dxa"/>
              <w:end w:w="80" w:type="dxa"/>
            </w:tcMar>
            <w:vAlign w:val="top"/>
          </w:tcPr>
          <w:p>
            <w:r/>
            <w:r>
              <w:rPr>
                <w:b w:val="0"/>
                <w:sz w:val="14"/>
              </w:rPr>
              <w:t>Low-DSR vs high-DSR isoenergetiche; metagenomica, metabolomica, SCFA, kynurenine/tryptophan, CRP, IL-6</w:t>
            </w:r>
          </w:p>
        </w:tc>
        <w:tc>
          <w:tcPr>
            <w:tcW w:type="dxa" w:w="2381"/>
            <w:tcMar>
              <w:top w:w="55" w:type="dxa"/>
              <w:start w:w="80" w:type="dxa"/>
              <w:bottom w:w="55" w:type="dxa"/>
              <w:end w:w="80" w:type="dxa"/>
            </w:tcMar>
            <w:vAlign w:val="top"/>
          </w:tcPr>
          <w:p>
            <w:r/>
            <w:r>
              <w:rPr>
                <w:b w:val="0"/>
                <w:sz w:val="14"/>
              </w:rPr>
              <w:t>Verifica meccanismi biologici a breve termine.</w:t>
            </w:r>
          </w:p>
        </w:tc>
      </w:tr>
      <w:tr>
        <w:trPr>
          <w:cantSplit/>
        </w:trPr>
        <w:tc>
          <w:tcPr>
            <w:tcW w:type="dxa" w:w="2381"/>
            <w:tcMar>
              <w:top w:w="55" w:type="dxa"/>
              <w:start w:w="80" w:type="dxa"/>
              <w:bottom w:w="55" w:type="dxa"/>
              <w:end w:w="80" w:type="dxa"/>
            </w:tcMar>
            <w:vAlign w:val="top"/>
          </w:tcPr>
          <w:p>
            <w:r/>
            <w:r>
              <w:rPr>
                <w:b/>
                <w:sz w:val="14"/>
              </w:rPr>
              <w:t>Natural experiment / policy</w:t>
            </w:r>
          </w:p>
        </w:tc>
        <w:tc>
          <w:tcPr>
            <w:tcW w:type="dxa" w:w="2381"/>
            <w:tcMar>
              <w:top w:w="55" w:type="dxa"/>
              <w:start w:w="80" w:type="dxa"/>
              <w:bottom w:w="55" w:type="dxa"/>
              <w:end w:w="80" w:type="dxa"/>
            </w:tcMar>
            <w:vAlign w:val="top"/>
          </w:tcPr>
          <w:p>
            <w:r/>
            <w:r>
              <w:rPr>
                <w:b w:val="0"/>
                <w:sz w:val="14"/>
              </w:rPr>
              <w:t>5.000+ per braccio se dati amministrativi disponibili</w:t>
            </w:r>
          </w:p>
        </w:tc>
        <w:tc>
          <w:tcPr>
            <w:tcW w:type="dxa" w:w="2381"/>
            <w:tcMar>
              <w:top w:w="55" w:type="dxa"/>
              <w:start w:w="80" w:type="dxa"/>
              <w:bottom w:w="55" w:type="dxa"/>
              <w:end w:w="80" w:type="dxa"/>
            </w:tcMar>
            <w:vAlign w:val="top"/>
          </w:tcPr>
          <w:p>
            <w:r/>
            <w:r>
              <w:rPr>
                <w:b w:val="0"/>
                <w:sz w:val="14"/>
              </w:rPr>
              <w:t>Voucher, school meals, canteen reform, procurement; DSR, sintomi, prescrizioni, qualità vita</w:t>
            </w:r>
          </w:p>
        </w:tc>
        <w:tc>
          <w:tcPr>
            <w:tcW w:type="dxa" w:w="2381"/>
            <w:tcMar>
              <w:top w:w="55" w:type="dxa"/>
              <w:start w:w="80" w:type="dxa"/>
              <w:bottom w:w="55" w:type="dxa"/>
              <w:end w:w="80" w:type="dxa"/>
            </w:tcMar>
            <w:vAlign w:val="top"/>
          </w:tcPr>
          <w:p>
            <w:r/>
            <w:r>
              <w:rPr>
                <w:b w:val="0"/>
                <w:sz w:val="14"/>
              </w:rPr>
              <w:t>Misura impatto reale e equity a livello di sistema.</w:t>
            </w:r>
          </w:p>
        </w:tc>
      </w:tr>
    </w:tbl>
    <w:p>
      <w:pPr>
        <w:pStyle w:val="Heading3"/>
      </w:pPr>
      <w:r>
        <w:t>Metriche prioritarie</w:t>
      </w:r>
    </w:p>
    <w:p>
      <w:pPr>
        <w:pStyle w:val="ListBullet"/>
      </w:pPr>
      <w:r>
        <w:rPr>
          <w:b/>
        </w:rPr>
        <w:t xml:space="preserve">Esposizione alimentare: </w:t>
      </w:r>
      <w:r>
        <w:t>total dietary species richness, plant DSR, within-group richness per verdure, legumi, cereali, frutta, noci/semi, pesce, fermentati; biodiversity evenness; UPF share; Mediterranean score.</w:t>
      </w:r>
    </w:p>
    <w:p>
      <w:pPr>
        <w:pStyle w:val="ListBullet"/>
      </w:pPr>
      <w:r>
        <w:rPr>
          <w:b/>
        </w:rPr>
        <w:t xml:space="preserve">Outcome depressivi: </w:t>
      </w:r>
      <w:r>
        <w:t>PHQ-9 o CES-D per tracking frequente; MADRS o HDRS nei trial; interviste diagnostiche per incidenza; remissione, relapse, funzionamento e qualità di vita.</w:t>
      </w:r>
    </w:p>
    <w:p>
      <w:pPr>
        <w:pStyle w:val="ListBullet"/>
      </w:pPr>
      <w:r>
        <w:rPr>
          <w:b/>
        </w:rPr>
        <w:t xml:space="preserve">Meccanismi: </w:t>
      </w:r>
      <w:r>
        <w:t>metagenomica e metabolomica fecale, SCFA, bile acids, kynurenine/tryptophan, CRP, IL-6, sonno, attività fisica, stress.</w:t>
      </w:r>
    </w:p>
    <w:p>
      <w:pPr>
        <w:pStyle w:val="ListBullet"/>
      </w:pPr>
      <w:r>
        <w:rPr>
          <w:b/>
        </w:rPr>
        <w:t xml:space="preserve">Equity: </w:t>
      </w:r>
      <w:r>
        <w:t>reddito, education, deprivation index, food insecurity, social isolation, cooking infrastructure, tempo disponibile.</w:t>
      </w:r>
    </w:p>
    <w:p>
      <w:pPr>
        <w:pStyle w:val="Heading1"/>
      </w:pPr>
      <w:r>
        <w:t>9. Registro dei rischi scientifici ed editoriali</w:t>
      </w:r>
    </w:p>
    <w:p>
      <w:r>
        <w:t>Un libro credibile deve anticipare le obiezioni. Le seguenti criticità devono essere trattate in modo esplicito nel testo, non nascoste nelle note.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75"/>
        <w:gridCol w:w="3175"/>
        <w:gridCol w:w="3175"/>
      </w:tblGrid>
      <w:tr>
        <w:trPr>
          <w:tblHeader/>
          <w:cantSplit/>
        </w:trPr>
        <w:tc>
          <w:tcPr>
            <w:tcW w:type="dxa" w:w="3175"/>
            <w:shd w:fill="1F4E79"/>
            <w:tcMar>
              <w:top w:w="80" w:type="dxa"/>
              <w:start w:w="80" w:type="dxa"/>
              <w:bottom w:w="80" w:type="dxa"/>
              <w:end w:w="80" w:type="dxa"/>
            </w:tcMar>
            <w:vAlign w:val="top"/>
          </w:tcPr>
          <w:p>
            <w:r/>
            <w:r>
              <w:rPr>
                <w:b/>
                <w:color w:val="FFFFFF"/>
                <w:sz w:val="16"/>
              </w:rPr>
              <w:t>Rischio</w:t>
            </w:r>
          </w:p>
        </w:tc>
        <w:tc>
          <w:tcPr>
            <w:tcW w:type="dxa" w:w="3175"/>
            <w:shd w:fill="1F4E79"/>
            <w:tcMar>
              <w:top w:w="80" w:type="dxa"/>
              <w:start w:w="80" w:type="dxa"/>
              <w:bottom w:w="80" w:type="dxa"/>
              <w:end w:w="80" w:type="dxa"/>
            </w:tcMar>
            <w:vAlign w:val="top"/>
          </w:tcPr>
          <w:p>
            <w:r/>
            <w:r>
              <w:rPr>
                <w:b/>
                <w:color w:val="FFFFFF"/>
                <w:sz w:val="16"/>
              </w:rPr>
              <w:t>Perché è serio</w:t>
            </w:r>
          </w:p>
        </w:tc>
        <w:tc>
          <w:tcPr>
            <w:tcW w:type="dxa" w:w="3175"/>
            <w:shd w:fill="1F4E79"/>
            <w:tcMar>
              <w:top w:w="80" w:type="dxa"/>
              <w:start w:w="80" w:type="dxa"/>
              <w:bottom w:w="80" w:type="dxa"/>
              <w:end w:w="80" w:type="dxa"/>
            </w:tcMar>
            <w:vAlign w:val="top"/>
          </w:tcPr>
          <w:p>
            <w:r/>
            <w:r>
              <w:rPr>
                <w:b/>
                <w:color w:val="FFFFFF"/>
                <w:sz w:val="16"/>
              </w:rPr>
              <w:t>Come gestirlo nel libro</w:t>
            </w:r>
          </w:p>
        </w:tc>
      </w:tr>
      <w:tr>
        <w:trPr>
          <w:cantSplit/>
        </w:trPr>
        <w:tc>
          <w:tcPr>
            <w:tcW w:type="dxa" w:w="3175"/>
            <w:tcMar>
              <w:top w:w="55" w:type="dxa"/>
              <w:start w:w="80" w:type="dxa"/>
              <w:bottom w:w="55" w:type="dxa"/>
              <w:end w:w="80" w:type="dxa"/>
            </w:tcMar>
            <w:vAlign w:val="top"/>
          </w:tcPr>
          <w:p>
            <w:r/>
            <w:r>
              <w:rPr>
                <w:b/>
                <w:sz w:val="15"/>
              </w:rPr>
              <w:t>Causalità inversa</w:t>
            </w:r>
          </w:p>
        </w:tc>
        <w:tc>
          <w:tcPr>
            <w:tcW w:type="dxa" w:w="3175"/>
            <w:tcMar>
              <w:top w:w="55" w:type="dxa"/>
              <w:start w:w="80" w:type="dxa"/>
              <w:bottom w:w="55" w:type="dxa"/>
              <w:end w:w="80" w:type="dxa"/>
            </w:tcMar>
            <w:vAlign w:val="top"/>
          </w:tcPr>
          <w:p>
            <w:r/>
            <w:r>
              <w:rPr>
                <w:b w:val="0"/>
                <w:sz w:val="15"/>
              </w:rPr>
              <w:t>La depressione può ridurre varietà, cucina e regolarità dei pasti.</w:t>
            </w:r>
          </w:p>
        </w:tc>
        <w:tc>
          <w:tcPr>
            <w:tcW w:type="dxa" w:w="3175"/>
            <w:tcMar>
              <w:top w:w="55" w:type="dxa"/>
              <w:start w:w="80" w:type="dxa"/>
              <w:bottom w:w="55" w:type="dxa"/>
              <w:end w:w="80" w:type="dxa"/>
            </w:tcMar>
            <w:vAlign w:val="top"/>
          </w:tcPr>
          <w:p>
            <w:r/>
            <w:r>
              <w:rPr>
                <w:b w:val="0"/>
                <w:sz w:val="15"/>
              </w:rPr>
              <w:t>Ripeterlo nei capitoli 2, 11 e 15; privilegiare disegni longitudinali e within-person.</w:t>
            </w:r>
          </w:p>
        </w:tc>
      </w:tr>
      <w:tr>
        <w:trPr>
          <w:cantSplit/>
        </w:trPr>
        <w:tc>
          <w:tcPr>
            <w:tcW w:type="dxa" w:w="3175"/>
            <w:tcMar>
              <w:top w:w="55" w:type="dxa"/>
              <w:start w:w="80" w:type="dxa"/>
              <w:bottom w:w="55" w:type="dxa"/>
              <w:end w:w="80" w:type="dxa"/>
            </w:tcMar>
            <w:vAlign w:val="top"/>
          </w:tcPr>
          <w:p>
            <w:r/>
            <w:r>
              <w:rPr>
                <w:b/>
                <w:sz w:val="15"/>
              </w:rPr>
              <w:t>Confondimento socioeconomico</w:t>
            </w:r>
          </w:p>
        </w:tc>
        <w:tc>
          <w:tcPr>
            <w:tcW w:type="dxa" w:w="3175"/>
            <w:tcMar>
              <w:top w:w="55" w:type="dxa"/>
              <w:start w:w="80" w:type="dxa"/>
              <w:bottom w:w="55" w:type="dxa"/>
              <w:end w:w="80" w:type="dxa"/>
            </w:tcMar>
            <w:vAlign w:val="top"/>
          </w:tcPr>
          <w:p>
            <w:r/>
            <w:r>
              <w:rPr>
                <w:b w:val="0"/>
                <w:sz w:val="15"/>
              </w:rPr>
              <w:t>Reddito, istruzione, tempo e quartiere influenzano dieta e depressione.</w:t>
            </w:r>
          </w:p>
        </w:tc>
        <w:tc>
          <w:tcPr>
            <w:tcW w:type="dxa" w:w="3175"/>
            <w:tcMar>
              <w:top w:w="55" w:type="dxa"/>
              <w:start w:w="80" w:type="dxa"/>
              <w:bottom w:w="55" w:type="dxa"/>
              <w:end w:w="80" w:type="dxa"/>
            </w:tcMar>
            <w:vAlign w:val="top"/>
          </w:tcPr>
          <w:p>
            <w:r/>
            <w:r>
              <w:rPr>
                <w:b w:val="0"/>
                <w:sz w:val="15"/>
              </w:rPr>
              <w:t>Capitolo 12 centrale; non attribuire al singolo ciò che è ambiente.</w:t>
            </w:r>
          </w:p>
        </w:tc>
      </w:tr>
      <w:tr>
        <w:trPr>
          <w:cantSplit/>
        </w:trPr>
        <w:tc>
          <w:tcPr>
            <w:tcW w:type="dxa" w:w="3175"/>
            <w:tcMar>
              <w:top w:w="55" w:type="dxa"/>
              <w:start w:w="80" w:type="dxa"/>
              <w:bottom w:w="55" w:type="dxa"/>
              <w:end w:w="80" w:type="dxa"/>
            </w:tcMar>
            <w:vAlign w:val="top"/>
          </w:tcPr>
          <w:p>
            <w:r/>
            <w:r>
              <w:rPr>
                <w:b/>
                <w:sz w:val="15"/>
              </w:rPr>
              <w:t>Biodiversità come proxy</w:t>
            </w:r>
          </w:p>
        </w:tc>
        <w:tc>
          <w:tcPr>
            <w:tcW w:type="dxa" w:w="3175"/>
            <w:tcMar>
              <w:top w:w="55" w:type="dxa"/>
              <w:start w:w="80" w:type="dxa"/>
              <w:bottom w:w="55" w:type="dxa"/>
              <w:end w:w="80" w:type="dxa"/>
            </w:tcMar>
            <w:vAlign w:val="top"/>
          </w:tcPr>
          <w:p>
            <w:r/>
            <w:r>
              <w:rPr>
                <w:b w:val="0"/>
                <w:sz w:val="15"/>
              </w:rPr>
              <w:t>DSR potrebbe non aggiungere nulla a dieta mediterranea, UPF o reddito.</w:t>
            </w:r>
          </w:p>
        </w:tc>
        <w:tc>
          <w:tcPr>
            <w:tcW w:type="dxa" w:w="3175"/>
            <w:tcMar>
              <w:top w:w="55" w:type="dxa"/>
              <w:start w:w="80" w:type="dxa"/>
              <w:bottom w:w="55" w:type="dxa"/>
              <w:end w:w="80" w:type="dxa"/>
            </w:tcMar>
            <w:vAlign w:val="top"/>
          </w:tcPr>
          <w:p>
            <w:r/>
            <w:r>
              <w:rPr>
                <w:b w:val="0"/>
                <w:sz w:val="15"/>
              </w:rPr>
              <w:t>Criteri di falsificazione nel capitolo 15.</w:t>
            </w:r>
          </w:p>
        </w:tc>
      </w:tr>
      <w:tr>
        <w:trPr>
          <w:cantSplit/>
        </w:trPr>
        <w:tc>
          <w:tcPr>
            <w:tcW w:type="dxa" w:w="3175"/>
            <w:tcMar>
              <w:top w:w="55" w:type="dxa"/>
              <w:start w:w="80" w:type="dxa"/>
              <w:bottom w:w="55" w:type="dxa"/>
              <w:end w:w="80" w:type="dxa"/>
            </w:tcMar>
            <w:vAlign w:val="top"/>
          </w:tcPr>
          <w:p>
            <w:r/>
            <w:r>
              <w:rPr>
                <w:b/>
                <w:sz w:val="15"/>
              </w:rPr>
              <w:t>Misurazione DSR</w:t>
            </w:r>
          </w:p>
        </w:tc>
        <w:tc>
          <w:tcPr>
            <w:tcW w:type="dxa" w:w="3175"/>
            <w:tcMar>
              <w:top w:w="55" w:type="dxa"/>
              <w:start w:w="80" w:type="dxa"/>
              <w:bottom w:w="55" w:type="dxa"/>
              <w:end w:w="80" w:type="dxa"/>
            </w:tcMar>
            <w:vAlign w:val="top"/>
          </w:tcPr>
          <w:p>
            <w:r/>
            <w:r>
              <w:rPr>
                <w:b w:val="0"/>
                <w:sz w:val="15"/>
              </w:rPr>
              <w:t>Composite dishes, erbe, rare foods e database non standardizzati complicano scoring.</w:t>
            </w:r>
          </w:p>
        </w:tc>
        <w:tc>
          <w:tcPr>
            <w:tcW w:type="dxa" w:w="3175"/>
            <w:tcMar>
              <w:top w:w="55" w:type="dxa"/>
              <w:start w:w="80" w:type="dxa"/>
              <w:bottom w:w="55" w:type="dxa"/>
              <w:end w:w="80" w:type="dxa"/>
            </w:tcMar>
            <w:vAlign w:val="top"/>
          </w:tcPr>
          <w:p>
            <w:r/>
            <w:r>
              <w:rPr>
                <w:b w:val="0"/>
                <w:sz w:val="15"/>
              </w:rPr>
              <w:t>Spiegare metriche e limiti; proporre ontologia alimentare.</w:t>
            </w:r>
          </w:p>
        </w:tc>
      </w:tr>
      <w:tr>
        <w:trPr>
          <w:cantSplit/>
        </w:trPr>
        <w:tc>
          <w:tcPr>
            <w:tcW w:type="dxa" w:w="3175"/>
            <w:tcMar>
              <w:top w:w="55" w:type="dxa"/>
              <w:start w:w="80" w:type="dxa"/>
              <w:bottom w:w="55" w:type="dxa"/>
              <w:end w:w="80" w:type="dxa"/>
            </w:tcMar>
            <w:vAlign w:val="top"/>
          </w:tcPr>
          <w:p>
            <w:r/>
            <w:r>
              <w:rPr>
                <w:b/>
                <w:sz w:val="15"/>
              </w:rPr>
              <w:t>Microbiome hype</w:t>
            </w:r>
          </w:p>
        </w:tc>
        <w:tc>
          <w:tcPr>
            <w:tcW w:type="dxa" w:w="3175"/>
            <w:tcMar>
              <w:top w:w="55" w:type="dxa"/>
              <w:start w:w="80" w:type="dxa"/>
              <w:bottom w:w="55" w:type="dxa"/>
              <w:end w:w="80" w:type="dxa"/>
            </w:tcMar>
            <w:vAlign w:val="top"/>
          </w:tcPr>
          <w:p>
            <w:r/>
            <w:r>
              <w:rPr>
                <w:b w:val="0"/>
                <w:sz w:val="15"/>
              </w:rPr>
              <w:t>Il pubblico sovrainterpreta gut health e probiotici.</w:t>
            </w:r>
          </w:p>
        </w:tc>
        <w:tc>
          <w:tcPr>
            <w:tcW w:type="dxa" w:w="3175"/>
            <w:tcMar>
              <w:top w:w="55" w:type="dxa"/>
              <w:start w:w="80" w:type="dxa"/>
              <w:bottom w:w="55" w:type="dxa"/>
              <w:end w:w="80" w:type="dxa"/>
            </w:tcMar>
            <w:vAlign w:val="top"/>
          </w:tcPr>
          <w:p>
            <w:r/>
            <w:r>
              <w:rPr>
                <w:b w:val="0"/>
                <w:sz w:val="15"/>
              </w:rPr>
              <w:t>Capitolo 7 sobrio; funzione &gt; alpha diversity; ceppo-specificità.</w:t>
            </w:r>
          </w:p>
        </w:tc>
      </w:tr>
      <w:tr>
        <w:trPr>
          <w:cantSplit/>
        </w:trPr>
        <w:tc>
          <w:tcPr>
            <w:tcW w:type="dxa" w:w="3175"/>
            <w:tcMar>
              <w:top w:w="55" w:type="dxa"/>
              <w:start w:w="80" w:type="dxa"/>
              <w:bottom w:w="55" w:type="dxa"/>
              <w:end w:w="80" w:type="dxa"/>
            </w:tcMar>
            <w:vAlign w:val="top"/>
          </w:tcPr>
          <w:p>
            <w:r/>
            <w:r>
              <w:rPr>
                <w:b/>
                <w:sz w:val="15"/>
              </w:rPr>
              <w:t>Supplement hype</w:t>
            </w:r>
          </w:p>
        </w:tc>
        <w:tc>
          <w:tcPr>
            <w:tcW w:type="dxa" w:w="3175"/>
            <w:tcMar>
              <w:top w:w="55" w:type="dxa"/>
              <w:start w:w="80" w:type="dxa"/>
              <w:bottom w:w="55" w:type="dxa"/>
              <w:end w:w="80" w:type="dxa"/>
            </w:tcMar>
            <w:vAlign w:val="top"/>
          </w:tcPr>
          <w:p>
            <w:r/>
            <w:r>
              <w:rPr>
                <w:b w:val="0"/>
                <w:sz w:val="15"/>
              </w:rPr>
              <w:t>Il mercato vende capsule come soluzioni semplici.</w:t>
            </w:r>
          </w:p>
        </w:tc>
        <w:tc>
          <w:tcPr>
            <w:tcW w:type="dxa" w:w="3175"/>
            <w:tcMar>
              <w:top w:w="55" w:type="dxa"/>
              <w:start w:w="80" w:type="dxa"/>
              <w:bottom w:w="55" w:type="dxa"/>
              <w:end w:w="80" w:type="dxa"/>
            </w:tcMar>
            <w:vAlign w:val="top"/>
          </w:tcPr>
          <w:p>
            <w:r/>
            <w:r>
              <w:rPr>
                <w:b w:val="0"/>
                <w:sz w:val="15"/>
              </w:rPr>
              <w:t>Capitolo 8 subordinato al pattern; linguaggio clinico e supervisionato.</w:t>
            </w:r>
          </w:p>
        </w:tc>
      </w:tr>
      <w:tr>
        <w:trPr>
          <w:cantSplit/>
        </w:trPr>
        <w:tc>
          <w:tcPr>
            <w:tcW w:type="dxa" w:w="3175"/>
            <w:tcMar>
              <w:top w:w="55" w:type="dxa"/>
              <w:start w:w="80" w:type="dxa"/>
              <w:bottom w:w="55" w:type="dxa"/>
              <w:end w:w="80" w:type="dxa"/>
            </w:tcMar>
            <w:vAlign w:val="top"/>
          </w:tcPr>
          <w:p>
            <w:r/>
            <w:r>
              <w:rPr>
                <w:b/>
                <w:sz w:val="15"/>
              </w:rPr>
              <w:t>Eating disorders / ortoressia</w:t>
            </w:r>
          </w:p>
        </w:tc>
        <w:tc>
          <w:tcPr>
            <w:tcW w:type="dxa" w:w="3175"/>
            <w:tcMar>
              <w:top w:w="55" w:type="dxa"/>
              <w:start w:w="80" w:type="dxa"/>
              <w:bottom w:w="55" w:type="dxa"/>
              <w:end w:w="80" w:type="dxa"/>
            </w:tcMar>
            <w:vAlign w:val="top"/>
          </w:tcPr>
          <w:p>
            <w:r/>
            <w:r>
              <w:rPr>
                <w:b w:val="0"/>
                <w:sz w:val="15"/>
              </w:rPr>
              <w:t>Conteggi e target possono aumentare rigidità o ansia.</w:t>
            </w:r>
          </w:p>
        </w:tc>
        <w:tc>
          <w:tcPr>
            <w:tcW w:type="dxa" w:w="3175"/>
            <w:tcMar>
              <w:top w:w="55" w:type="dxa"/>
              <w:start w:w="80" w:type="dxa"/>
              <w:bottom w:w="55" w:type="dxa"/>
              <w:end w:w="80" w:type="dxa"/>
            </w:tcMar>
            <w:vAlign w:val="top"/>
          </w:tcPr>
          <w:p>
            <w:r/>
            <w:r>
              <w:rPr>
                <w:b w:val="0"/>
                <w:sz w:val="15"/>
              </w:rPr>
              <w:t>Avvertenze in capitolo 13; evitare tracking obbligatorio.</w:t>
            </w:r>
          </w:p>
        </w:tc>
      </w:tr>
      <w:tr>
        <w:trPr>
          <w:cantSplit/>
        </w:trPr>
        <w:tc>
          <w:tcPr>
            <w:tcW w:type="dxa" w:w="3175"/>
            <w:tcMar>
              <w:top w:w="55" w:type="dxa"/>
              <w:start w:w="80" w:type="dxa"/>
              <w:bottom w:w="55" w:type="dxa"/>
              <w:end w:w="80" w:type="dxa"/>
            </w:tcMar>
            <w:vAlign w:val="top"/>
          </w:tcPr>
          <w:p>
            <w:r/>
            <w:r>
              <w:rPr>
                <w:b/>
                <w:sz w:val="15"/>
              </w:rPr>
              <w:t>Eurocentrismo</w:t>
            </w:r>
          </w:p>
        </w:tc>
        <w:tc>
          <w:tcPr>
            <w:tcW w:type="dxa" w:w="3175"/>
            <w:tcMar>
              <w:top w:w="55" w:type="dxa"/>
              <w:start w:w="80" w:type="dxa"/>
              <w:bottom w:w="55" w:type="dxa"/>
              <w:end w:w="80" w:type="dxa"/>
            </w:tcMar>
            <w:vAlign w:val="top"/>
          </w:tcPr>
          <w:p>
            <w:r/>
            <w:r>
              <w:rPr>
                <w:b w:val="0"/>
                <w:sz w:val="15"/>
              </w:rPr>
              <w:t>Mediterranean diet può sembrare unica dieta sana.</w:t>
            </w:r>
          </w:p>
        </w:tc>
        <w:tc>
          <w:tcPr>
            <w:tcW w:type="dxa" w:w="3175"/>
            <w:tcMar>
              <w:top w:w="55" w:type="dxa"/>
              <w:start w:w="80" w:type="dxa"/>
              <w:bottom w:w="55" w:type="dxa"/>
              <w:end w:w="80" w:type="dxa"/>
            </w:tcMar>
            <w:vAlign w:val="top"/>
          </w:tcPr>
          <w:p>
            <w:r/>
            <w:r>
              <w:rPr>
                <w:b w:val="0"/>
                <w:sz w:val="15"/>
              </w:rPr>
              <w:t>Mostrare biodiversità in molte cucine; separare principio da cultura specifica.</w:t>
            </w:r>
          </w:p>
        </w:tc>
      </w:tr>
      <w:tr>
        <w:trPr>
          <w:cantSplit/>
        </w:trPr>
        <w:tc>
          <w:tcPr>
            <w:tcW w:type="dxa" w:w="3175"/>
            <w:tcMar>
              <w:top w:w="55" w:type="dxa"/>
              <w:start w:w="80" w:type="dxa"/>
              <w:bottom w:w="55" w:type="dxa"/>
              <w:end w:w="80" w:type="dxa"/>
            </w:tcMar>
            <w:vAlign w:val="top"/>
          </w:tcPr>
          <w:p>
            <w:r/>
            <w:r>
              <w:rPr>
                <w:b/>
                <w:sz w:val="15"/>
              </w:rPr>
              <w:t>Colpa e moralismo</w:t>
            </w:r>
          </w:p>
        </w:tc>
        <w:tc>
          <w:tcPr>
            <w:tcW w:type="dxa" w:w="3175"/>
            <w:tcMar>
              <w:top w:w="55" w:type="dxa"/>
              <w:start w:w="80" w:type="dxa"/>
              <w:bottom w:w="55" w:type="dxa"/>
              <w:end w:w="80" w:type="dxa"/>
            </w:tcMar>
            <w:vAlign w:val="top"/>
          </w:tcPr>
          <w:p>
            <w:r/>
            <w:r>
              <w:rPr>
                <w:b w:val="0"/>
                <w:sz w:val="15"/>
              </w:rPr>
              <w:t>Il lettore depresso può sentirsi accusato.</w:t>
            </w:r>
          </w:p>
        </w:tc>
        <w:tc>
          <w:tcPr>
            <w:tcW w:type="dxa" w:w="3175"/>
            <w:tcMar>
              <w:top w:w="55" w:type="dxa"/>
              <w:start w:w="80" w:type="dxa"/>
              <w:bottom w:w="55" w:type="dxa"/>
              <w:end w:w="80" w:type="dxa"/>
            </w:tcMar>
            <w:vAlign w:val="top"/>
          </w:tcPr>
          <w:p>
            <w:r/>
            <w:r>
              <w:rPr>
                <w:b w:val="0"/>
                <w:sz w:val="15"/>
              </w:rPr>
              <w:t>Tono compassionevole; food environment e low-burden interventions.</w:t>
            </w:r>
          </w:p>
        </w:tc>
      </w:tr>
    </w:tbl>
    <w:p>
      <w:pPr>
        <w:pStyle w:val="Heading1"/>
      </w:pPr>
      <w:r>
        <w:t>10. Figure, box e appendici da progettare</w:t>
      </w:r>
    </w:p>
    <w:p>
      <w:r>
        <w:t>Le figure devono chiarire relazioni causali, livelli di evidenza e differenze concettuali. Evitare grafici decorativi; ogni visual deve risolvere un problema di comprensione.</w:t>
      </w:r>
    </w:p>
    <w:p>
      <w:pPr>
        <w:pStyle w:val="ListBullet"/>
      </w:pPr>
      <w:r>
        <w:rPr>
          <w:b/>
        </w:rPr>
        <w:t xml:space="preserve">Figura 1 - Evidence ladder: </w:t>
      </w:r>
      <w:r>
        <w:t>Cross-sectional, coorte, RCT, meta-analisi, linee guida; serve nel capitolo 2.</w:t>
      </w:r>
    </w:p>
    <w:p>
      <w:pPr>
        <w:pStyle w:val="ListBullet"/>
      </w:pPr>
      <w:r>
        <w:rPr>
          <w:b/>
        </w:rPr>
        <w:t xml:space="preserve">Figura 2 - Dieta mediterranea come intervento multi-target: </w:t>
      </w:r>
      <w:r>
        <w:t>Fibre, grassi, polifenoli, micronutrienti, UPF displacement, convivialità; capitolo 4.</w:t>
      </w:r>
    </w:p>
    <w:p>
      <w:pPr>
        <w:pStyle w:val="ListBullet"/>
      </w:pPr>
      <w:r>
        <w:rPr>
          <w:b/>
        </w:rPr>
        <w:t xml:space="preserve">Figura 3 - Falsa varietà vs biodiversità reale: </w:t>
      </w:r>
      <w:r>
        <w:t>Molti prodotti industriali/poche specie versus pochi prodotti/minimamente processati/molte specie; capitolo 9.</w:t>
      </w:r>
    </w:p>
    <w:p>
      <w:pPr>
        <w:pStyle w:val="ListBullet"/>
      </w:pPr>
      <w:r>
        <w:rPr>
          <w:b/>
        </w:rPr>
        <w:t xml:space="preserve">Figura 4 - Dieta stretta e microbiota funzionale: </w:t>
      </w:r>
      <w:r>
        <w:t>Substrati -&gt; taxa/funzioni -&gt; SCFA/metaboliti -&gt; infiammazione/umore; capitolo 10.</w:t>
      </w:r>
    </w:p>
    <w:p>
      <w:pPr>
        <w:pStyle w:val="ListBullet"/>
      </w:pPr>
      <w:r>
        <w:rPr>
          <w:b/>
        </w:rPr>
        <w:t xml:space="preserve">Figura 5 - Loop depressione-dieta: </w:t>
      </w:r>
      <w:r>
        <w:t>Depressione -&gt; food effort ridotto -&gt; dieta ripetitiva -&gt; risorse biologiche/sociali ridotte -&gt; recupero più difficile; capitolo 11.</w:t>
      </w:r>
    </w:p>
    <w:p>
      <w:pPr>
        <w:pStyle w:val="ListBullet"/>
      </w:pPr>
      <w:r>
        <w:rPr>
          <w:b/>
        </w:rPr>
        <w:t xml:space="preserve">Figura 6 - Biodiversity gap: </w:t>
      </w:r>
      <w:r>
        <w:t>Disponibilità teorica, accessibilità economica, tempo, competenza, consumo reale; capitolo 12.</w:t>
      </w:r>
    </w:p>
    <w:p>
      <w:pPr>
        <w:pStyle w:val="ListBullet"/>
      </w:pPr>
      <w:r>
        <w:rPr>
          <w:b/>
        </w:rPr>
        <w:t xml:space="preserve">Figura 7 - Livelli di intervento: </w:t>
      </w:r>
      <w:r>
        <w:t>Individuo, famiglia, clinica, mensa, quartiere, policy agricola; capitolo 14.</w:t>
      </w:r>
    </w:p>
    <w:p>
      <w:pPr>
        <w:pStyle w:val="ListBullet"/>
      </w:pPr>
      <w:r>
        <w:rPr>
          <w:b/>
        </w:rPr>
        <w:t xml:space="preserve">Figura 8 - Research programme: </w:t>
      </w:r>
      <w:r>
        <w:t>Coorti, digital panels, RCT, crossover, natural experiments; capitolo 15.</w:t>
      </w:r>
    </w:p>
    <w:p>
      <w:pPr>
        <w:pStyle w:val="Heading3"/>
      </w:pPr>
      <w:r>
        <w:t>Appendici consigliate</w:t>
      </w:r>
    </w:p>
    <w:p>
      <w:pPr>
        <w:pStyle w:val="ListBullet"/>
      </w:pPr>
      <w:r>
        <w:t>Appendice A - Come è stata letta la letteratura: criteri di inclusione, gerarchia delle evidenze e aggiornamento bibliografico.</w:t>
      </w:r>
    </w:p>
    <w:p>
      <w:pPr>
        <w:pStyle w:val="ListBullet"/>
      </w:pPr>
      <w:r>
        <w:t>Appendice B - Glossario: DSR, UPF, Dietary Inflammatory Index, PHQ-9, MADRS, SCFA, kynurenine, mediation analysis.</w:t>
      </w:r>
    </w:p>
    <w:p>
      <w:pPr>
        <w:pStyle w:val="ListBullet"/>
      </w:pPr>
      <w:r>
        <w:t>Appendice C - Matrice dei supplementi: evidenza, dose studiata, popolazione, limiti, cautela clinica.</w:t>
      </w:r>
    </w:p>
    <w:p>
      <w:pPr>
        <w:pStyle w:val="ListBullet"/>
      </w:pPr>
      <w:r>
        <w:t>Appendice D - Biodiversità alimentare a basso carico: esempi culturali e a basso costo, senza target prescrittivi.</w:t>
      </w:r>
    </w:p>
    <w:p>
      <w:pPr>
        <w:pStyle w:val="ListBullet"/>
      </w:pPr>
      <w:r>
        <w:t>Appendice E - Red flags: quando rivolgersi a medico, psichiatra, dietista o servizio di emergenza.</w:t>
      </w:r>
    </w:p>
    <w:p>
      <w:pPr>
        <w:pStyle w:val="Heading1"/>
      </w:pPr>
      <w:r>
        <w:t>11. Bibliografia ragionata minima da cui partire</w:t>
      </w:r>
    </w:p>
    <w:p>
      <w:r>
        <w:t>La bibliografia finale dovrà essere verificata su database primari. Qui si elencano le fonti-cardine richiamate nei due dossier e il loro uso editoriale. I riferimenti sotto vanno trattati come base di partenza, non come bibliografia completa.</w:t>
      </w:r>
    </w:p>
    <w:p>
      <w:pPr>
        <w:pStyle w:val="ListBullet"/>
      </w:pPr>
      <w:r>
        <w:rPr>
          <w:b/>
        </w:rPr>
        <w:t xml:space="preserve">WHO depression fact sheet: </w:t>
      </w:r>
      <w:r>
        <w:t>Ancoraggio epidemiologico su burden, sintomi e trattamento.</w:t>
      </w:r>
    </w:p>
    <w:p>
      <w:pPr>
        <w:pStyle w:val="ListBullet"/>
      </w:pPr>
      <w:r>
        <w:rPr>
          <w:b/>
        </w:rPr>
        <w:t xml:space="preserve">WHO guidance on mainstreaming biodiversity for nutrition and health: </w:t>
      </w:r>
      <w:r>
        <w:t>Ponte ufficiale tra biodiversità, nutrizione, salute e policy.</w:t>
      </w:r>
    </w:p>
    <w:p>
      <w:pPr>
        <w:pStyle w:val="ListBullet"/>
      </w:pPr>
      <w:r>
        <w:rPr>
          <w:b/>
        </w:rPr>
        <w:t xml:space="preserve">FAO biodiversity overview / dietary diversity guidance: </w:t>
      </w:r>
      <w:r>
        <w:t>Definizioni di biodiversità nei sistemi alimentari.</w:t>
      </w:r>
    </w:p>
    <w:p>
      <w:pPr>
        <w:pStyle w:val="ListBullet"/>
      </w:pPr>
      <w:r>
        <w:rPr>
          <w:b/>
        </w:rPr>
        <w:t xml:space="preserve">Lassale et al. 2019, healthy dietary indices and depressive outcomes: </w:t>
      </w:r>
      <w:r>
        <w:t>Anchor principale per coorti e dieta mediterranea/Dietary Inflammatory Index.</w:t>
      </w:r>
    </w:p>
    <w:p>
      <w:pPr>
        <w:pStyle w:val="ListBullet"/>
      </w:pPr>
      <w:r>
        <w:rPr>
          <w:b/>
        </w:rPr>
        <w:t xml:space="preserve">Jacka et al. 2017, SMILES trial: </w:t>
      </w:r>
      <w:r>
        <w:t>RCT simbolo per dieta mediterranea modificata come intervento aggiuntivo in MDD.</w:t>
      </w:r>
    </w:p>
    <w:p>
      <w:pPr>
        <w:pStyle w:val="ListBullet"/>
      </w:pPr>
      <w:r>
        <w:rPr>
          <w:b/>
        </w:rPr>
        <w:t xml:space="preserve">HELFIMED trial: </w:t>
      </w:r>
      <w:r>
        <w:t>Intervento mediterraneo con supporto alimentare e fish oil; utile per implementazione.</w:t>
      </w:r>
    </w:p>
    <w:p>
      <w:pPr>
        <w:pStyle w:val="ListBullet"/>
      </w:pPr>
      <w:r>
        <w:rPr>
          <w:b/>
        </w:rPr>
        <w:t xml:space="preserve">MooDFOOD trial: </w:t>
      </w:r>
      <w:r>
        <w:t>Null prevention trial; fonte critica essenziale contro hype da supplementi/prevenzione.</w:t>
      </w:r>
    </w:p>
    <w:p>
      <w:pPr>
        <w:pStyle w:val="ListBullet"/>
      </w:pPr>
      <w:r>
        <w:rPr>
          <w:b/>
        </w:rPr>
        <w:t xml:space="preserve">AMMEND trial: </w:t>
      </w:r>
      <w:r>
        <w:t>Trial in giovani uomini con depressione clinica; utile per popolazioni specifiche.</w:t>
      </w:r>
    </w:p>
    <w:p>
      <w:pPr>
        <w:pStyle w:val="ListBullet"/>
      </w:pPr>
      <w:r>
        <w:rPr>
          <w:b/>
        </w:rPr>
        <w:t xml:space="preserve">PREDIDEP / PREDIMED-Plus related work: </w:t>
      </w:r>
      <w:r>
        <w:t>Prevenzione secondaria, qualità di vita e complessità delle associazioni longitudinali.</w:t>
      </w:r>
    </w:p>
    <w:p>
      <w:pPr>
        <w:pStyle w:val="ListBullet"/>
      </w:pPr>
      <w:r>
        <w:rPr>
          <w:b/>
        </w:rPr>
        <w:t xml:space="preserve">Samuthpongtorn et al. 2023, UPF and depression risk: </w:t>
      </w:r>
      <w:r>
        <w:t>Cohort forte su ultra-processed foods e depressione incidente.</w:t>
      </w:r>
    </w:p>
    <w:p>
      <w:pPr>
        <w:pStyle w:val="ListBullet"/>
      </w:pPr>
      <w:r>
        <w:rPr>
          <w:b/>
        </w:rPr>
        <w:t xml:space="preserve">Firth et al. 2019, dietary interventions meta-analysis: </w:t>
      </w:r>
      <w:r>
        <w:t>Sintesi RCT ampia per effetti su sintomi depressivi.</w:t>
      </w:r>
    </w:p>
    <w:p>
      <w:pPr>
        <w:pStyle w:val="ListBullet"/>
      </w:pPr>
      <w:r>
        <w:rPr>
          <w:b/>
        </w:rPr>
        <w:t xml:space="preserve">CANMAT/WFSBP nutraceutical guidance: </w:t>
      </w:r>
      <w:r>
        <w:t>Orientamento clinico su omega-3 e cautela su altri nutraceutici.</w:t>
      </w:r>
    </w:p>
    <w:p>
      <w:pPr>
        <w:pStyle w:val="ListBullet"/>
      </w:pPr>
      <w:r>
        <w:rPr>
          <w:b/>
        </w:rPr>
        <w:t xml:space="preserve">Omega-3 dose-response meta-analysis: </w:t>
      </w:r>
      <w:r>
        <w:t>Base per capitolo sugli adjunct, in particolare EPA-predominant.</w:t>
      </w:r>
    </w:p>
    <w:p>
      <w:pPr>
        <w:pStyle w:val="ListBullet"/>
      </w:pPr>
      <w:r>
        <w:rPr>
          <w:b/>
        </w:rPr>
        <w:t xml:space="preserve">Vitamin D RCT meta-analyses: </w:t>
      </w:r>
      <w:r>
        <w:t>Base per framing “test, don’t guess”.</w:t>
      </w:r>
    </w:p>
    <w:p>
      <w:pPr>
        <w:pStyle w:val="ListBullet"/>
      </w:pPr>
      <w:r>
        <w:rPr>
          <w:b/>
        </w:rPr>
        <w:t xml:space="preserve">Probiotic meta-analyses in clinical samples: </w:t>
      </w:r>
      <w:r>
        <w:t>Base per potenziale psychobiotic con avvertenze su eterogeneità e ceppi.</w:t>
      </w:r>
    </w:p>
    <w:p>
      <w:pPr>
        <w:pStyle w:val="ListBullet"/>
      </w:pPr>
      <w:r>
        <w:rPr>
          <w:b/>
        </w:rPr>
        <w:t xml:space="preserve">Gao et al. 2023, gut microbiota composition in depressive disorder: </w:t>
      </w:r>
      <w:r>
        <w:t>Sintesi meccanicistica su taxa, butirrato e infiammazione.</w:t>
      </w:r>
    </w:p>
    <w:p>
      <w:pPr>
        <w:pStyle w:val="ListBullet"/>
      </w:pPr>
      <w:r>
        <w:rPr>
          <w:b/>
        </w:rPr>
        <w:t xml:space="preserve">Lachat et al. 2018, dietary species richness: </w:t>
      </w:r>
      <w:r>
        <w:t>Fondazione metodologica del costrutto DSR.</w:t>
      </w:r>
    </w:p>
    <w:p>
      <w:pPr>
        <w:pStyle w:val="ListBullet"/>
      </w:pPr>
      <w:r>
        <w:rPr>
          <w:b/>
        </w:rPr>
        <w:t xml:space="preserve">Hofman et al. 2025, food biodiversity scoping review: </w:t>
      </w:r>
      <w:r>
        <w:t>Fonte chiave per novelty/gap: pochi health outcomes e nessun corpus depression-specific.</w:t>
      </w:r>
    </w:p>
    <w:p>
      <w:pPr>
        <w:pStyle w:val="ListBullet"/>
      </w:pPr>
      <w:r>
        <w:rPr>
          <w:b/>
        </w:rPr>
        <w:t xml:space="preserve">Hanley-Cook et al. 2021, food biodiversity and mortality: </w:t>
      </w:r>
      <w:r>
        <w:t>Evidenza prospettica su DSR e outcome sanitari generali.</w:t>
      </w:r>
    </w:p>
    <w:p>
      <w:pPr>
        <w:pStyle w:val="ListBullet"/>
      </w:pPr>
      <w:r>
        <w:rPr>
          <w:b/>
        </w:rPr>
        <w:t xml:space="preserve">Aceves-Martins et al. 2025, DSR in UK diets: </w:t>
      </w:r>
      <w:r>
        <w:t>Operationalizzazione DSR e stratificazione sociale.</w:t>
      </w:r>
    </w:p>
    <w:p>
      <w:pPr>
        <w:pStyle w:val="ListBullet"/>
      </w:pPr>
      <w:r>
        <w:rPr>
          <w:b/>
        </w:rPr>
        <w:t xml:space="preserve">Nazarian et al. 2025, dietary diversity and depression meta-analysis: </w:t>
      </w:r>
      <w:r>
        <w:t>Predecessore concettuale; evidenza prevalentemente cross-sectional.</w:t>
      </w:r>
    </w:p>
    <w:p>
      <w:pPr>
        <w:pStyle w:val="ListBullet"/>
      </w:pPr>
      <w:r>
        <w:rPr>
          <w:b/>
        </w:rPr>
        <w:t xml:space="preserve">Cano-Ibáñez et al. 2023, PREDIMED-Plus diversity and depression: </w:t>
      </w:r>
      <w:r>
        <w:t>Esempio critico: segnale trasversale ma non predittivo a due anni.</w:t>
      </w:r>
    </w:p>
    <w:p>
      <w:pPr>
        <w:pStyle w:val="ListBullet"/>
      </w:pPr>
      <w:r>
        <w:rPr>
          <w:b/>
        </w:rPr>
        <w:t xml:space="preserve">Zuniga-Chaves et al. 2023, SES and gut microbiomes: </w:t>
      </w:r>
      <w:r>
        <w:t>Ponte tra deprivation, food insecurity e microbioma.</w:t>
      </w:r>
    </w:p>
    <w:p>
      <w:pPr>
        <w:pStyle w:val="ListBullet"/>
      </w:pPr>
      <w:r>
        <w:rPr>
          <w:b/>
        </w:rPr>
        <w:t xml:space="preserve">Parmenter et al. 2025, flavonoid diversity: </w:t>
      </w:r>
      <w:r>
        <w:t>Analogia forte: diversità dei bioattivi oltre quantità totale.</w:t>
      </w:r>
    </w:p>
    <w:p>
      <w:pPr>
        <w:pStyle w:val="ListBullet"/>
      </w:pPr>
      <w:r>
        <w:rPr>
          <w:b/>
        </w:rPr>
        <w:t xml:space="preserve">Molero et al. 2025, diet quality and depression risk: </w:t>
      </w:r>
      <w:r>
        <w:t>Fonte scettica essenziale per limiti di causalità e validità interna.</w:t>
      </w:r>
    </w:p>
    <w:p>
      <w:pPr>
        <w:pStyle w:val="Heading1"/>
      </w:pPr>
      <w:r>
        <w:t>12. Posizionamento conclusivo del manoscritto</w:t>
      </w:r>
    </w:p>
    <w:p>
      <w:r>
        <w:t>Il libro deve chiudere non con una dieta, ma con una nuova domanda di ricerca e di salute pubblica. La nutrizione psichiatrica ha già mostrato che i pattern alimentari contano; la food biodiversity depletion propone che il livello di analisi successivo sia la ricchezza reale del repertorio alimentare: specie, substrati, funzioni microbiche, rituali, accessibilità e cultura.</w:t>
      </w:r>
    </w:p>
    <w:p>
      <w:pPr>
        <w:pStyle w:val="Heading3"/>
      </w:pPr>
      <w:r>
        <w:t>La frase conclusiva da tenere come bussola è la seguente:</w:t>
      </w:r>
    </w:p>
    <w:p>
      <w:pPr>
        <w:pStyle w:val="QuoteBox"/>
        <w:jc w:val="center"/>
      </w:pPr>
      <w:r>
        <w:rPr>
          <w:b/>
        </w:rPr>
        <w:t>Una dieta depressa non è soltanto una dieta povera di nutrienti: può essere una dieta povera di possibilità.</w:t>
      </w:r>
    </w:p>
    <w:p>
      <w:r>
        <w:t>Il libro sarà forte se manterrà insieme tre elementi: rigore metodologico, compassione clinica e ambizione teorica. Il rischio maggiore è overclaim; il rischio opposto è ridurre la tesi a “mangiare più verdure”. La via corretta è presentare la biodiversità alimentare come ipotesi unificante e falsificabile, capace di collegare biologia, comportamento, disuguaglianza e sistemi alimentari.</w:t>
      </w:r>
    </w:p>
    <w:sectPr w:rsidR="00FC693F" w:rsidRPr="0006063C" w:rsidSect="00034616">
      <w:headerReference w:type="default" r:id="rId9"/>
      <w:footerReference w:type="default" r:id="rId10"/>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di lavoro per sviluppo manoscritto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Scaletta operativa accademica | Food biodiversity depletion and depression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Liberation Sans" w:hAnsi="Liberation Sans"/>
      <w:b/>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Meta">
    <w:name w:val="CapMeta"/>
    <w:basedOn w:val="Normal"/>
    <w:pPr>
      <w:spacing w:after="80"/>
    </w:pPr>
    <w:rPr>
      <w:rFonts w:ascii="Liberation Serif" w:hAnsi="Liberation Serif"/>
      <w:i/>
      <w:color w:val="666666"/>
      <w:sz w:val="18"/>
    </w:rPr>
  </w:style>
  <w:style w:type="paragraph" w:customStyle="1" w:styleId="Nota">
    <w:name w:val="Nota"/>
    <w:basedOn w:val="Normal"/>
    <w:pPr>
      <w:spacing w:after="80"/>
    </w:pPr>
    <w:rPr>
      <w:rFonts w:ascii="Liberation Serif" w:hAnsi="Liberation Serif"/>
      <w:i w:val="0"/>
      <w:color w:val="595959"/>
      <w:sz w:val="18"/>
    </w:rPr>
  </w:style>
  <w:style w:type="paragraph" w:customStyle="1" w:styleId="Fonte">
    <w:name w:val="Fonte"/>
    <w:basedOn w:val="Normal"/>
    <w:pPr>
      <w:spacing w:after="80"/>
    </w:pPr>
    <w:rPr>
      <w:rFonts w:ascii="Liberation Serif" w:hAnsi="Liberation Serif"/>
      <w:i w:val="0"/>
      <w:color w:val="666666"/>
      <w:sz w:val="17"/>
    </w:rPr>
  </w:style>
  <w:style w:type="paragraph" w:customStyle="1" w:styleId="QuoteBox">
    <w:name w:val="QuoteBox"/>
    <w:basedOn w:val="Normal"/>
    <w:pPr>
      <w:spacing w:after="80"/>
    </w:pPr>
    <w:rPr>
      <w:rFonts w:ascii="Liberation Serif" w:hAnsi="Liberation Serif"/>
      <w:i w:val="0"/>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Scaletta operativa libro biodiversità alimentare e depressione</dc:title>
  <dc:subject>Food biodiversity depletion, depression, nutritional psychiatry</dc:subject>
  <dc:creator>OpenAI</dc:creator>
  <cp:keywords>depression, diet, food biodiversity, dietary species richness, nutritional psychiatry</cp:keywords>
  <dc:description>Documento creato da ChatGPT su istruzioni utente, basato sulle due fonti fornite.</dc:description>
  <cp:lastModifiedBy/>
  <cp:revision>1</cp:revision>
  <dcterms:created xsi:type="dcterms:W3CDTF">2013-12-23T23:15:00Z</dcterms:created>
  <dcterms:modified xsi:type="dcterms:W3CDTF">2013-12-23T23:15:00Z</dcterms:modified>
  <cp:category/>
</cp:coreProperties>
</file>