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F6FB0"/>
          <w:sz w:val="28"/>
          <w:szCs w:val="28"/>
        </w:rPr>
        <w:t xml:space="preserve">LAB 5</w:t>
      </w:r>
    </w:p>
    <w:p>
      <w:pPr>
        <w:spacing w:after="60" w:before="60"/>
      </w:pPr>
      <w:r>
        <w:rPr>
          <w:b/>
          <w:bCs/>
          <w:color w:val="B11116"/>
          <w:sz w:val="56"/>
          <w:szCs w:val="56"/>
        </w:rPr>
        <w:t xml:space="preserve">Nessus Vulnerability Scanning</w:t>
      </w:r>
    </w:p>
    <w:p>
      <w:pPr>
        <w:pBdr>
          <w:bottom w:val="single" w:color="B11116" w:sz="12"/>
        </w:pBdr>
        <w:spacing w:after="200"/>
      </w:pPr>
    </w:p>
    <w:p>
      <w:pPr>
        <w:spacing w:after="400"/>
      </w:pPr>
      <w:r>
        <w:rPr>
          <w:i/>
          <w:iCs/>
          <w:color w:val="5F6B7A"/>
          <w:sz w:val="24"/>
          <w:szCs w:val="24"/>
        </w:rPr>
        <w:t xml:space="preserve">Deploying, running, and interpreting authenticated and unauthenticated vulnerability scans against Azure lab virtual machines using Nessus Essentials.</w:t>
      </w: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3000"/>
        <w:gridCol w:w="6360"/>
      </w:tblGrid>
      <w:tr>
        <w:trPr>
          <w:tblHeader/>
        </w:trPr>
        <w:tc>
          <w:tcPr>
            <w:tcW w:type="dxa" w:w="3000"/>
            <w:shd w:fill="2F6FB0" w:val="clear"/>
            <w:tcMar>
              <w:top w:type="dxa" w:w="80"/>
              <w:left w:type="dxa" w:w="120"/>
              <w:bottom w:type="dxa" w:w="80"/>
              <w:right w:type="dxa" w:w="120"/>
            </w:tcMar>
          </w:tcPr>
          <w:p>
            <w:r>
              <w:rPr>
                <w:b/>
                <w:bCs/>
                <w:color w:val="FFFFFF"/>
                <w:sz w:val="20"/>
                <w:szCs w:val="20"/>
              </w:rPr>
              <w:t xml:space="preserve">Field</w:t>
            </w:r>
          </w:p>
        </w:tc>
        <w:tc>
          <w:tcPr>
            <w:tcW w:type="dxa" w:w="6360"/>
            <w:shd w:fill="2F6FB0" w:val="clear"/>
            <w:tcMar>
              <w:top w:type="dxa" w:w="80"/>
              <w:left w:type="dxa" w:w="120"/>
              <w:bottom w:type="dxa" w:w="80"/>
              <w:right w:type="dxa" w:w="120"/>
            </w:tcMar>
          </w:tcPr>
          <w:p>
            <w:r>
              <w:rPr>
                <w:b/>
                <w:bCs/>
                <w:color w:val="FFFFFF"/>
                <w:sz w:val="20"/>
                <w:szCs w:val="20"/>
              </w:rPr>
              <w:t xml:space="preserve">Value</w:t>
            </w:r>
          </w:p>
        </w:tc>
      </w:tr>
      <w:tr>
        <w:tc>
          <w:tcPr>
            <w:tcW w:type="dxa" w:w="3000"/>
            <w:shd w:fill="FFFFFF" w:val="clear"/>
            <w:tcMar>
              <w:top w:type="dxa" w:w="70"/>
              <w:left w:type="dxa" w:w="120"/>
              <w:bottom w:type="dxa" w:w="70"/>
              <w:right w:type="dxa" w:w="120"/>
            </w:tcMar>
          </w:tcPr>
          <w:p>
            <w:r>
              <w:rPr>
                <w:sz w:val="20"/>
                <w:szCs w:val="20"/>
              </w:rPr>
              <w:t xml:space="preserve">Certification alignment</w:t>
            </w:r>
          </w:p>
        </w:tc>
        <w:tc>
          <w:tcPr>
            <w:tcW w:type="dxa" w:w="6360"/>
            <w:shd w:fill="FFFFFF" w:val="clear"/>
            <w:tcMar>
              <w:top w:type="dxa" w:w="70"/>
              <w:left w:type="dxa" w:w="120"/>
              <w:bottom w:type="dxa" w:w="70"/>
              <w:right w:type="dxa" w:w="120"/>
            </w:tcMar>
          </w:tcPr>
          <w:p>
            <w:r>
              <w:rPr>
                <w:sz w:val="20"/>
                <w:szCs w:val="20"/>
              </w:rPr>
              <w:t xml:space="preserve">CompTIA Security+ · CySA+ · PenTest+</w:t>
            </w:r>
          </w:p>
        </w:tc>
      </w:tr>
      <w:tr>
        <w:tc>
          <w:tcPr>
            <w:tcW w:type="dxa" w:w="3000"/>
            <w:shd w:fill="F2F8FD" w:val="clear"/>
            <w:tcMar>
              <w:top w:type="dxa" w:w="70"/>
              <w:left w:type="dxa" w:w="120"/>
              <w:bottom w:type="dxa" w:w="70"/>
              <w:right w:type="dxa" w:w="120"/>
            </w:tcMar>
          </w:tcPr>
          <w:p>
            <w:r>
              <w:rPr>
                <w:sz w:val="20"/>
                <w:szCs w:val="20"/>
              </w:rPr>
              <w:t xml:space="preserve">Tooling</w:t>
            </w:r>
          </w:p>
        </w:tc>
        <w:tc>
          <w:tcPr>
            <w:tcW w:type="dxa" w:w="6360"/>
            <w:shd w:fill="F2F8FD" w:val="clear"/>
            <w:tcMar>
              <w:top w:type="dxa" w:w="70"/>
              <w:left w:type="dxa" w:w="120"/>
              <w:bottom w:type="dxa" w:w="70"/>
              <w:right w:type="dxa" w:w="120"/>
            </w:tcMar>
          </w:tcPr>
          <w:p>
            <w:r>
              <w:rPr>
                <w:sz w:val="20"/>
                <w:szCs w:val="20"/>
              </w:rPr>
              <w:t xml:space="preserve">Nessus Essentials (free, up to 5 IPs) · Azure Free Account</w:t>
            </w:r>
          </w:p>
        </w:tc>
      </w:tr>
      <w:tr>
        <w:tc>
          <w:tcPr>
            <w:tcW w:type="dxa" w:w="3000"/>
            <w:shd w:fill="FFFFFF" w:val="clear"/>
            <w:tcMar>
              <w:top w:type="dxa" w:w="70"/>
              <w:left w:type="dxa" w:w="120"/>
              <w:bottom w:type="dxa" w:w="70"/>
              <w:right w:type="dxa" w:w="120"/>
            </w:tcMar>
          </w:tcPr>
          <w:p>
            <w:r>
              <w:rPr>
                <w:sz w:val="20"/>
                <w:szCs w:val="20"/>
              </w:rPr>
              <w:t xml:space="preserve">Time to complete</w:t>
            </w:r>
          </w:p>
        </w:tc>
        <w:tc>
          <w:tcPr>
            <w:tcW w:type="dxa" w:w="6360"/>
            <w:shd w:fill="FFFFFF" w:val="clear"/>
            <w:tcMar>
              <w:top w:type="dxa" w:w="70"/>
              <w:left w:type="dxa" w:w="120"/>
              <w:bottom w:type="dxa" w:w="70"/>
              <w:right w:type="dxa" w:w="120"/>
            </w:tcMar>
          </w:tcPr>
          <w:p>
            <w:r>
              <w:rPr>
                <w:sz w:val="20"/>
                <w:szCs w:val="20"/>
              </w:rPr>
              <w:t xml:space="preserve">3–4 hours for initial setup and first scans</w:t>
            </w:r>
          </w:p>
        </w:tc>
      </w:tr>
      <w:tr>
        <w:tc>
          <w:tcPr>
            <w:tcW w:type="dxa" w:w="3000"/>
            <w:shd w:fill="F2F8FD" w:val="clear"/>
            <w:tcMar>
              <w:top w:type="dxa" w:w="70"/>
              <w:left w:type="dxa" w:w="120"/>
              <w:bottom w:type="dxa" w:w="70"/>
              <w:right w:type="dxa" w:w="120"/>
            </w:tcMar>
          </w:tcPr>
          <w:p>
            <w:r>
              <w:rPr>
                <w:sz w:val="20"/>
                <w:szCs w:val="20"/>
              </w:rPr>
              <w:t xml:space="preserve">Estimated cost</w:t>
            </w:r>
          </w:p>
        </w:tc>
        <w:tc>
          <w:tcPr>
            <w:tcW w:type="dxa" w:w="6360"/>
            <w:shd w:fill="F2F8FD" w:val="clear"/>
            <w:tcMar>
              <w:top w:type="dxa" w:w="70"/>
              <w:left w:type="dxa" w:w="120"/>
              <w:bottom w:type="dxa" w:w="70"/>
              <w:right w:type="dxa" w:w="120"/>
            </w:tcMar>
          </w:tcPr>
          <w:p>
            <w:r>
              <w:rPr>
                <w:sz w:val="20"/>
                <w:szCs w:val="20"/>
              </w:rPr>
              <w:t xml:space="preserve">$0 — Nessus Essentials is permanently free for 5 IPs</w:t>
            </w:r>
          </w:p>
        </w:tc>
      </w:tr>
      <w:tr>
        <w:tc>
          <w:tcPr>
            <w:tcW w:type="dxa" w:w="3000"/>
            <w:shd w:fill="FFFFFF" w:val="clear"/>
            <w:tcMar>
              <w:top w:type="dxa" w:w="70"/>
              <w:left w:type="dxa" w:w="120"/>
              <w:bottom w:type="dxa" w:w="70"/>
              <w:right w:type="dxa" w:w="120"/>
            </w:tcMar>
          </w:tcPr>
          <w:p>
            <w:r>
              <w:rPr>
                <w:sz w:val="20"/>
                <w:szCs w:val="20"/>
              </w:rPr>
              <w:t xml:space="preserve">Career relevance</w:t>
            </w:r>
          </w:p>
        </w:tc>
        <w:tc>
          <w:tcPr>
            <w:tcW w:type="dxa" w:w="6360"/>
            <w:shd w:fill="FFFFFF" w:val="clear"/>
            <w:tcMar>
              <w:top w:type="dxa" w:w="70"/>
              <w:left w:type="dxa" w:w="120"/>
              <w:bottom w:type="dxa" w:w="70"/>
              <w:right w:type="dxa" w:w="120"/>
            </w:tcMar>
          </w:tcPr>
          <w:p>
            <w:r>
              <w:rPr>
                <w:sz w:val="20"/>
                <w:szCs w:val="20"/>
              </w:rPr>
              <w:t xml:space="preserve">Security Engineer · Vulnerability Analyst · SOC Analyst · Cloud Security Engineer</w:t>
            </w:r>
          </w:p>
        </w:tc>
      </w:tr>
      <w:tr>
        <w:tc>
          <w:tcPr>
            <w:tcW w:type="dxa" w:w="3000"/>
            <w:shd w:fill="F2F8FD" w:val="clear"/>
            <w:tcMar>
              <w:top w:type="dxa" w:w="70"/>
              <w:left w:type="dxa" w:w="120"/>
              <w:bottom w:type="dxa" w:w="70"/>
              <w:right w:type="dxa" w:w="120"/>
            </w:tcMar>
          </w:tcPr>
          <w:p>
            <w:r>
              <w:rPr>
                <w:sz w:val="20"/>
                <w:szCs w:val="20"/>
              </w:rPr>
              <w:t xml:space="preserve">Author</w:t>
            </w:r>
          </w:p>
        </w:tc>
        <w:tc>
          <w:tcPr>
            <w:tcW w:type="dxa" w:w="6360"/>
            <w:shd w:fill="F2F8FD" w:val="clear"/>
            <w:tcMar>
              <w:top w:type="dxa" w:w="70"/>
              <w:left w:type="dxa" w:w="120"/>
              <w:bottom w:type="dxa" w:w="70"/>
              <w:right w:type="dxa" w:w="120"/>
            </w:tcMar>
          </w:tcPr>
          <w:p>
            <w:r>
              <w:rPr>
                <w:sz w:val="20"/>
                <w:szCs w:val="20"/>
              </w:rPr>
              <w:t xml:space="preserve">McCray — Cloud Security Portfolio</w:t>
            </w:r>
          </w:p>
        </w:tc>
      </w:tr>
    </w:tbl>
    <w:p>
      <w:r>
        <w:br w:type="page"/>
      </w:r>
    </w:p>
    <w:p>
      <w:pPr>
        <w:pStyle w:val="Heading1"/>
        <w:spacing w:after="120" w:before="260"/>
      </w:pPr>
      <w:r>
        <w:rPr>
          <w:b/>
          <w:bCs/>
          <w:color w:val="B1111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B11116"/>
        </w:rPr>
        <w:t xml:space="preserve">1. Overview</w:t>
      </w:r>
    </w:p>
    <w:p>
      <w:pPr>
        <w:spacing w:after="120" w:line="276"/>
      </w:pPr>
      <w:r>
        <w:t xml:space="preserve">Every network has vulnerabilities. The real question is whether you find them before an attacker does. </w:t>
      </w:r>
      <w:r>
        <w:rPr>
          <w:b/>
          <w:bCs/>
        </w:rPr>
        <w:t xml:space="preserve">Vulnerability management</w:t>
      </w:r>
      <w:r>
        <w:t xml:space="preserve"> is the continuous, systematic process of discovering, classifying, prioritising, and remediating security weaknesses across your estate.</w:t>
      </w:r>
    </w:p>
    <w:p>
      <w:pPr>
        <w:spacing w:after="120" w:line="276"/>
      </w:pPr>
      <w:r>
        <w:t xml:space="preserve">This lab builds that muscle end to end using </w:t>
      </w:r>
      <w:r>
        <w:rPr>
          <w:b/>
          <w:bCs/>
        </w:rPr>
        <w:t xml:space="preserve">Nessus</w:t>
      </w:r>
      <w:r>
        <w:t xml:space="preserve"> — the most widely deployed vulnerability scanner in the world — against a small set of Azure lab VMs. You will stand up the scanner, run both an unauthenticated discovery scan and a credentialed scan, read CVSS scores, remediate a real finding, verify the fix, and export a stakeholder-ready report.</w:t>
      </w:r>
    </w:p>
    <w:p>
      <w:pPr>
        <w:spacing w:after="120" w:line="276"/>
      </w:pPr>
      <w:r>
        <w:t xml:space="preserve">The </w:t>
      </w:r>
      <w:r>
        <w:rPr>
          <w:b/>
          <w:bCs/>
          <w:color w:val="2F6FB0"/>
        </w:rPr>
        <w:t xml:space="preserve">scan → find → prioritise → remediate → verify</w:t>
      </w:r>
      <w:r>
        <w:t xml:space="preserve"> loop you practice here is identical to what enterprise security teams run daily — the only difference at scale is automation and volume.</w:t>
      </w:r>
    </w:p>
    <w:p>
      <w:pPr>
        <w:pStyle w:val="Heading1"/>
        <w:spacing w:after="120" w:before="260"/>
      </w:pPr>
      <w:r>
        <w:rPr>
          <w:b/>
          <w:bCs/>
          <w:color w:val="B11116"/>
        </w:rPr>
        <w:t xml:space="preserve">2. Reference Architecture</w:t>
      </w:r>
    </w:p>
    <w:p>
      <w:pPr>
        <w:spacing w:after="120" w:line="276"/>
      </w:pPr>
      <w:r>
        <w:t xml:space="preserve">The environment is deliberately simple: one scanner and a small pool of targets, all inside a single Azure resource group (or a local VirtualBox host if you prefer to keep everything offline). Keeping the scanner and targets on the same virtual network avoids NAT and firewall complications while you learn the workflow.</w:t>
      </w:r>
    </w:p>
    <w:p>
      <w:pPr>
        <w:spacing w:after="80" w:before="120"/>
        <w:jc w:val="center"/>
      </w:pPr>
      <w:r>
        <w:drawing>
          <wp:inline distT="0" distB="0" distL="0" distR="0">
            <wp:extent cx="5943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10000"/>
                    </a:xfrm>
                    <a:prstGeom prst="rect">
                      <a:avLst/>
                    </a:prstGeom>
                  </pic:spPr>
                </pic:pic>
              </a:graphicData>
            </a:graphic>
          </wp:inline>
        </w:drawing>
      </w:r>
    </w:p>
    <w:p>
      <w:pPr>
        <w:spacing w:after="160"/>
        <w:jc w:val="center"/>
      </w:pPr>
      <w:r>
        <w:rPr>
          <w:i/>
          <w:iCs/>
          <w:color w:val="5F6B7A"/>
          <w:sz w:val="18"/>
          <w:szCs w:val="18"/>
        </w:rPr>
        <w:t xml:space="preserve">Figure 1 — Nessus scanner, targets, and the scan-to-report workflow</w:t>
      </w:r>
    </w:p>
    <w:p>
      <w:pPr>
        <w:pStyle w:val="Heading2"/>
        <w:spacing w:after="120" w:before="260"/>
      </w:pPr>
      <w:r>
        <w:rPr>
          <w:b/>
          <w:bCs/>
          <w:color w:val="2F6FB0"/>
        </w:rPr>
        <w:t xml:space="preserve">Component responsibilities</w:t>
      </w: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2600"/>
        <w:gridCol w:w="6760"/>
      </w:tblGrid>
      <w:tr>
        <w:trPr>
          <w:tblHeader/>
        </w:trPr>
        <w:tc>
          <w:tcPr>
            <w:tcW w:type="dxa" w:w="2600"/>
            <w:shd w:fill="2F6FB0" w:val="clear"/>
            <w:tcMar>
              <w:top w:type="dxa" w:w="80"/>
              <w:left w:type="dxa" w:w="120"/>
              <w:bottom w:type="dxa" w:w="80"/>
              <w:right w:type="dxa" w:w="120"/>
            </w:tcMar>
          </w:tcPr>
          <w:p>
            <w:r>
              <w:rPr>
                <w:b/>
                <w:bCs/>
                <w:color w:val="FFFFFF"/>
                <w:sz w:val="20"/>
                <w:szCs w:val="20"/>
              </w:rPr>
              <w:t xml:space="preserve">Component</w:t>
            </w:r>
          </w:p>
        </w:tc>
        <w:tc>
          <w:tcPr>
            <w:tcW w:type="dxa" w:w="6760"/>
            <w:shd w:fill="2F6FB0" w:val="clear"/>
            <w:tcMar>
              <w:top w:type="dxa" w:w="80"/>
              <w:left w:type="dxa" w:w="120"/>
              <w:bottom w:type="dxa" w:w="80"/>
              <w:right w:type="dxa" w:w="120"/>
            </w:tcMar>
          </w:tcPr>
          <w:p>
            <w:r>
              <w:rPr>
                <w:b/>
                <w:bCs/>
                <w:color w:val="FFFFFF"/>
                <w:sz w:val="20"/>
                <w:szCs w:val="20"/>
              </w:rPr>
              <w:t xml:space="preserve">Role in the lab</w:t>
            </w:r>
          </w:p>
        </w:tc>
      </w:tr>
      <w:tr>
        <w:tc>
          <w:tcPr>
            <w:tcW w:type="dxa" w:w="2600"/>
            <w:shd w:fill="FFFFFF" w:val="clear"/>
            <w:tcMar>
              <w:top w:type="dxa" w:w="70"/>
              <w:left w:type="dxa" w:w="120"/>
              <w:bottom w:type="dxa" w:w="70"/>
              <w:right w:type="dxa" w:w="120"/>
            </w:tcMar>
          </w:tcPr>
          <w:p>
            <w:r>
              <w:rPr>
                <w:sz w:val="20"/>
                <w:szCs w:val="20"/>
              </w:rPr>
              <w:t xml:space="preserve">Nessus Scanner VM</w:t>
            </w:r>
          </w:p>
        </w:tc>
        <w:tc>
          <w:tcPr>
            <w:tcW w:type="dxa" w:w="6760"/>
            <w:shd w:fill="FFFFFF" w:val="clear"/>
            <w:tcMar>
              <w:top w:type="dxa" w:w="70"/>
              <w:left w:type="dxa" w:w="120"/>
              <w:bottom w:type="dxa" w:w="70"/>
              <w:right w:type="dxa" w:w="120"/>
            </w:tcMar>
          </w:tcPr>
          <w:p>
            <w:r>
              <w:rPr>
                <w:sz w:val="20"/>
                <w:szCs w:val="20"/>
              </w:rPr>
              <w:t xml:space="preserve">Hosts the Nessus Essentials engine and web UI on port 8834. Initiates all scan traffic. Needs outbound HTTPS to Tenable for activation and plugin updates.</w:t>
            </w:r>
          </w:p>
        </w:tc>
      </w:tr>
      <w:tr>
        <w:tc>
          <w:tcPr>
            <w:tcW w:type="dxa" w:w="2600"/>
            <w:shd w:fill="F2F8FD" w:val="clear"/>
            <w:tcMar>
              <w:top w:type="dxa" w:w="70"/>
              <w:left w:type="dxa" w:w="120"/>
              <w:bottom w:type="dxa" w:w="70"/>
              <w:right w:type="dxa" w:w="120"/>
            </w:tcMar>
          </w:tcPr>
          <w:p>
            <w:r>
              <w:rPr>
                <w:sz w:val="20"/>
                <w:szCs w:val="20"/>
              </w:rPr>
              <w:t xml:space="preserve">DC01 (Target)</w:t>
            </w:r>
          </w:p>
        </w:tc>
        <w:tc>
          <w:tcPr>
            <w:tcW w:type="dxa" w:w="6760"/>
            <w:shd w:fill="F2F8FD" w:val="clear"/>
            <w:tcMar>
              <w:top w:type="dxa" w:w="70"/>
              <w:left w:type="dxa" w:w="120"/>
              <w:bottom w:type="dxa" w:w="70"/>
              <w:right w:type="dxa" w:w="120"/>
            </w:tcMar>
          </w:tcPr>
          <w:p>
            <w:r>
              <w:rPr>
                <w:sz w:val="20"/>
                <w:szCs w:val="20"/>
              </w:rPr>
              <w:t xml:space="preserve">Windows Server 2025 domain controller from Lab 1. Primary scan target. Remote Registry and SMB are enabled here so credentialed scans can inspect it from the inside.</w:t>
            </w:r>
          </w:p>
        </w:tc>
      </w:tr>
      <w:tr>
        <w:tc>
          <w:tcPr>
            <w:tcW w:type="dxa" w:w="2600"/>
            <w:shd w:fill="FFFFFF" w:val="clear"/>
            <w:tcMar>
              <w:top w:type="dxa" w:w="70"/>
              <w:left w:type="dxa" w:w="120"/>
              <w:bottom w:type="dxa" w:w="70"/>
              <w:right w:type="dxa" w:w="120"/>
            </w:tcMar>
          </w:tcPr>
          <w:p>
            <w:r>
              <w:rPr>
                <w:sz w:val="20"/>
                <w:szCs w:val="20"/>
              </w:rPr>
              <w:t xml:space="preserve">Other Lab VMs</w:t>
            </w:r>
          </w:p>
        </w:tc>
        <w:tc>
          <w:tcPr>
            <w:tcW w:type="dxa" w:w="6760"/>
            <w:shd w:fill="FFFFFF" w:val="clear"/>
            <w:tcMar>
              <w:top w:type="dxa" w:w="70"/>
              <w:left w:type="dxa" w:w="120"/>
              <w:bottom w:type="dxa" w:w="70"/>
              <w:right w:type="dxa" w:w="120"/>
            </w:tcMar>
          </w:tcPr>
          <w:p>
            <w:r>
              <w:rPr>
                <w:sz w:val="20"/>
                <w:szCs w:val="20"/>
              </w:rPr>
              <w:t xml:space="preserve">Optional additional targets (workstation, Splunk) kept within the 5-IP licence limit.</w:t>
            </w:r>
          </w:p>
        </w:tc>
      </w:tr>
      <w:tr>
        <w:tc>
          <w:tcPr>
            <w:tcW w:type="dxa" w:w="2600"/>
            <w:shd w:fill="F2F8FD" w:val="clear"/>
            <w:tcMar>
              <w:top w:type="dxa" w:w="70"/>
              <w:left w:type="dxa" w:w="120"/>
              <w:bottom w:type="dxa" w:w="70"/>
              <w:right w:type="dxa" w:w="120"/>
            </w:tcMar>
          </w:tcPr>
          <w:p>
            <w:r>
              <w:rPr>
                <w:sz w:val="20"/>
                <w:szCs w:val="20"/>
              </w:rPr>
              <w:t xml:space="preserve">Tenable Plugin Feed</w:t>
            </w:r>
          </w:p>
        </w:tc>
        <w:tc>
          <w:tcPr>
            <w:tcW w:type="dxa" w:w="6760"/>
            <w:shd w:fill="F2F8FD" w:val="clear"/>
            <w:tcMar>
              <w:top w:type="dxa" w:w="70"/>
              <w:left w:type="dxa" w:w="120"/>
              <w:bottom w:type="dxa" w:w="70"/>
              <w:right w:type="dxa" w:w="120"/>
            </w:tcMar>
          </w:tcPr>
          <w:p>
            <w:r>
              <w:rPr>
                <w:sz w:val="20"/>
                <w:szCs w:val="20"/>
              </w:rPr>
              <w:t xml:space="preserve">External Tenable service reached over outbound HTTPS for the activation code and for downloading and updating scan plugins.</w:t>
            </w:r>
          </w:p>
        </w:tc>
      </w:tr>
    </w:tbl>
    <w:p>
      <w:pPr>
        <w:spacing w:after="120"/>
      </w:pPr>
    </w:p>
    <w:tbl>
      <w:tblPr>
        <w:tblW w:type="dxa" w:w="9360"/>
        <w:tblBorders>
          <w:top w:val="single" w:color="E9F2FB" w:sz="2"/>
          <w:left w:val="single" w:color="2F6FB0" w:sz="28"/>
          <w:bottom w:val="single" w:color="E9F2FB" w:sz="2"/>
          <w:right w:val="single" w:color="E9F2FB" w:sz="2"/>
          <w:insideH w:val="none"/>
          <w:insideV w:val="none"/>
        </w:tblBorders>
      </w:tblPr>
      <w:tblGrid>
        <w:gridCol w:w="9360"/>
      </w:tblGrid>
      <w:tr>
        <w:tc>
          <w:tcPr>
            <w:tcW w:type="dxa" w:w="9360"/>
            <w:shd w:fill="E9F2FB" w:val="clear"/>
            <w:tcMar>
              <w:top w:type="dxa" w:w="120"/>
              <w:left w:type="dxa" w:w="200"/>
              <w:bottom w:type="dxa" w:w="120"/>
              <w:right w:type="dxa" w:w="160"/>
            </w:tcMar>
          </w:tcPr>
          <w:p>
            <w:pPr>
              <w:spacing w:after="60"/>
            </w:pPr>
            <w:r>
              <w:rPr>
                <w:b/>
                <w:bCs/>
                <w:color w:val="2F6FB0"/>
                <w:sz w:val="20"/>
                <w:szCs w:val="20"/>
              </w:rPr>
              <w:t xml:space="preserve">Network prerequisite</w:t>
            </w:r>
          </w:p>
          <w:p>
            <w:pPr>
              <w:spacing w:after="0" w:line="272"/>
            </w:pPr>
            <w:r>
              <w:rPr>
                <w:sz w:val="20"/>
                <w:szCs w:val="20"/>
              </w:rPr>
              <w:t xml:space="preserve">The scanner VM must be able to reach the internet on outbound TCP 443. Activation via nessuscli fetch --register and the initial plugin download both fail silently if a Network Security Group or corporate proxy blocks Tenable's endpoints. If activation stalls, check outbound connectivity before anything else.</w:t>
            </w:r>
          </w:p>
        </w:tc>
      </w:tr>
    </w:tbl>
    <w:p>
      <w:pPr>
        <w:pStyle w:val="Heading1"/>
        <w:spacing w:after="120" w:before="260"/>
      </w:pPr>
      <w:r>
        <w:rPr>
          <w:b/>
          <w:bCs/>
          <w:color w:val="B11116"/>
        </w:rPr>
        <w:t xml:space="preserve">3. What You Will Learn</w:t>
      </w: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2900"/>
        <w:gridCol w:w="6460"/>
      </w:tblGrid>
      <w:tr>
        <w:trPr>
          <w:tblHeader/>
        </w:trPr>
        <w:tc>
          <w:tcPr>
            <w:tcW w:type="dxa" w:w="2900"/>
            <w:shd w:fill="2F6FB0" w:val="clear"/>
            <w:tcMar>
              <w:top w:type="dxa" w:w="80"/>
              <w:left w:type="dxa" w:w="120"/>
              <w:bottom w:type="dxa" w:w="80"/>
              <w:right w:type="dxa" w:w="120"/>
            </w:tcMar>
          </w:tcPr>
          <w:p>
            <w:r>
              <w:rPr>
                <w:b/>
                <w:bCs/>
                <w:color w:val="FFFFFF"/>
                <w:sz w:val="20"/>
                <w:szCs w:val="20"/>
              </w:rPr>
              <w:t xml:space="preserve">Skill</w:t>
            </w:r>
          </w:p>
        </w:tc>
        <w:tc>
          <w:tcPr>
            <w:tcW w:type="dxa" w:w="6460"/>
            <w:shd w:fill="2F6FB0" w:val="clear"/>
            <w:tcMar>
              <w:top w:type="dxa" w:w="80"/>
              <w:left w:type="dxa" w:w="120"/>
              <w:bottom w:type="dxa" w:w="80"/>
              <w:right w:type="dxa" w:w="120"/>
            </w:tcMar>
          </w:tcPr>
          <w:p>
            <w:r>
              <w:rPr>
                <w:b/>
                <w:bCs/>
                <w:color w:val="FFFFFF"/>
                <w:sz w:val="20"/>
                <w:szCs w:val="20"/>
              </w:rPr>
              <w:t xml:space="preserve">Real-world application</w:t>
            </w:r>
          </w:p>
        </w:tc>
      </w:tr>
      <w:tr>
        <w:tc>
          <w:tcPr>
            <w:tcW w:type="dxa" w:w="2900"/>
            <w:shd w:fill="FFFFFF" w:val="clear"/>
            <w:tcMar>
              <w:top w:type="dxa" w:w="70"/>
              <w:left w:type="dxa" w:w="120"/>
              <w:bottom w:type="dxa" w:w="70"/>
              <w:right w:type="dxa" w:w="120"/>
            </w:tcMar>
          </w:tcPr>
          <w:p>
            <w:r>
              <w:rPr>
                <w:sz w:val="20"/>
                <w:szCs w:val="20"/>
              </w:rPr>
              <w:t xml:space="preserve">Deploy and configure Nessus</w:t>
            </w:r>
          </w:p>
        </w:tc>
        <w:tc>
          <w:tcPr>
            <w:tcW w:type="dxa" w:w="6460"/>
            <w:shd w:fill="FFFFFF" w:val="clear"/>
            <w:tcMar>
              <w:top w:type="dxa" w:w="70"/>
              <w:left w:type="dxa" w:w="120"/>
              <w:bottom w:type="dxa" w:w="70"/>
              <w:right w:type="dxa" w:w="120"/>
            </w:tcMar>
          </w:tcPr>
          <w:p>
            <w:r>
              <w:rPr>
                <w:sz w:val="20"/>
                <w:szCs w:val="20"/>
              </w:rPr>
              <w:t xml:space="preserve">The scanner–policy–target architecture that every enterprise vulnerability programme is built on.</w:t>
            </w:r>
          </w:p>
        </w:tc>
      </w:tr>
      <w:tr>
        <w:tc>
          <w:tcPr>
            <w:tcW w:type="dxa" w:w="2900"/>
            <w:shd w:fill="F2F8FD" w:val="clear"/>
            <w:tcMar>
              <w:top w:type="dxa" w:w="70"/>
              <w:left w:type="dxa" w:w="120"/>
              <w:bottom w:type="dxa" w:w="70"/>
              <w:right w:type="dxa" w:w="120"/>
            </w:tcMar>
          </w:tcPr>
          <w:p>
            <w:r>
              <w:rPr>
                <w:sz w:val="20"/>
                <w:szCs w:val="20"/>
              </w:rPr>
              <w:t xml:space="preserve">Run a basic network scan</w:t>
            </w:r>
          </w:p>
        </w:tc>
        <w:tc>
          <w:tcPr>
            <w:tcW w:type="dxa" w:w="6460"/>
            <w:shd w:fill="F2F8FD" w:val="clear"/>
            <w:tcMar>
              <w:top w:type="dxa" w:w="70"/>
              <w:left w:type="dxa" w:w="120"/>
              <w:bottom w:type="dxa" w:w="70"/>
              <w:right w:type="dxa" w:w="120"/>
            </w:tcMar>
          </w:tcPr>
          <w:p>
            <w:r>
              <w:rPr>
                <w:sz w:val="20"/>
                <w:szCs w:val="20"/>
              </w:rPr>
              <w:t xml:space="preserve">Discover which services and ports are exposed on target systems — the attacker's external view.</w:t>
            </w:r>
          </w:p>
        </w:tc>
      </w:tr>
      <w:tr>
        <w:tc>
          <w:tcPr>
            <w:tcW w:type="dxa" w:w="2900"/>
            <w:shd w:fill="FFFFFF" w:val="clear"/>
            <w:tcMar>
              <w:top w:type="dxa" w:w="70"/>
              <w:left w:type="dxa" w:w="120"/>
              <w:bottom w:type="dxa" w:w="70"/>
              <w:right w:type="dxa" w:w="120"/>
            </w:tcMar>
          </w:tcPr>
          <w:p>
            <w:r>
              <w:rPr>
                <w:sz w:val="20"/>
                <w:szCs w:val="20"/>
              </w:rPr>
              <w:t xml:space="preserve">Run a credentialed scan</w:t>
            </w:r>
          </w:p>
        </w:tc>
        <w:tc>
          <w:tcPr>
            <w:tcW w:type="dxa" w:w="6460"/>
            <w:shd w:fill="FFFFFF" w:val="clear"/>
            <w:tcMar>
              <w:top w:type="dxa" w:w="70"/>
              <w:left w:type="dxa" w:w="120"/>
              <w:bottom w:type="dxa" w:w="70"/>
              <w:right w:type="dxa" w:w="120"/>
            </w:tcMar>
          </w:tcPr>
          <w:p>
            <w:r>
              <w:rPr>
                <w:sz w:val="20"/>
                <w:szCs w:val="20"/>
              </w:rPr>
              <w:t xml:space="preserve">Authenticated scans find 5–10x more vulnerabilities than unauthenticated ones — the internal-VM standard.</w:t>
            </w:r>
          </w:p>
        </w:tc>
      </w:tr>
      <w:tr>
        <w:tc>
          <w:tcPr>
            <w:tcW w:type="dxa" w:w="2900"/>
            <w:shd w:fill="F2F8FD" w:val="clear"/>
            <w:tcMar>
              <w:top w:type="dxa" w:w="70"/>
              <w:left w:type="dxa" w:w="120"/>
              <w:bottom w:type="dxa" w:w="70"/>
              <w:right w:type="dxa" w:w="120"/>
            </w:tcMar>
          </w:tcPr>
          <w:p>
            <w:r>
              <w:rPr>
                <w:sz w:val="20"/>
                <w:szCs w:val="20"/>
              </w:rPr>
              <w:t xml:space="preserve">Read and interpret CVSS</w:t>
            </w:r>
          </w:p>
        </w:tc>
        <w:tc>
          <w:tcPr>
            <w:tcW w:type="dxa" w:w="6460"/>
            <w:shd w:fill="F2F8FD" w:val="clear"/>
            <w:tcMar>
              <w:top w:type="dxa" w:w="70"/>
              <w:left w:type="dxa" w:w="120"/>
              <w:bottom w:type="dxa" w:w="70"/>
              <w:right w:type="dxa" w:w="120"/>
            </w:tcMar>
          </w:tcPr>
          <w:p>
            <w:r>
              <w:rPr>
                <w:sz w:val="20"/>
                <w:szCs w:val="20"/>
              </w:rPr>
              <w:t xml:space="preserve">The universal severity language. You must be able to explain what a 9.8 means versus a 4.3.</w:t>
            </w:r>
          </w:p>
        </w:tc>
      </w:tr>
      <w:tr>
        <w:tc>
          <w:tcPr>
            <w:tcW w:type="dxa" w:w="2900"/>
            <w:shd w:fill="FFFFFF" w:val="clear"/>
            <w:tcMar>
              <w:top w:type="dxa" w:w="70"/>
              <w:left w:type="dxa" w:w="120"/>
              <w:bottom w:type="dxa" w:w="70"/>
              <w:right w:type="dxa" w:w="120"/>
            </w:tcMar>
          </w:tcPr>
          <w:p>
            <w:r>
              <w:rPr>
                <w:sz w:val="20"/>
                <w:szCs w:val="20"/>
              </w:rPr>
              <w:t xml:space="preserve">Prioritise by severity</w:t>
            </w:r>
          </w:p>
        </w:tc>
        <w:tc>
          <w:tcPr>
            <w:tcW w:type="dxa" w:w="6460"/>
            <w:shd w:fill="FFFFFF" w:val="clear"/>
            <w:tcMar>
              <w:top w:type="dxa" w:w="70"/>
              <w:left w:type="dxa" w:w="120"/>
              <w:bottom w:type="dxa" w:w="70"/>
              <w:right w:type="dxa" w:w="120"/>
            </w:tcMar>
          </w:tcPr>
          <w:p>
            <w:r>
              <w:rPr>
                <w:sz w:val="20"/>
                <w:szCs w:val="20"/>
              </w:rPr>
              <w:t xml:space="preserve">Not everything Critical is equally urgent. Real prioritisation weighs exploitability, asset value, and exposure.</w:t>
            </w:r>
          </w:p>
        </w:tc>
      </w:tr>
      <w:tr>
        <w:tc>
          <w:tcPr>
            <w:tcW w:type="dxa" w:w="2900"/>
            <w:shd w:fill="F2F8FD" w:val="clear"/>
            <w:tcMar>
              <w:top w:type="dxa" w:w="70"/>
              <w:left w:type="dxa" w:w="120"/>
              <w:bottom w:type="dxa" w:w="70"/>
              <w:right w:type="dxa" w:w="120"/>
            </w:tcMar>
          </w:tcPr>
          <w:p>
            <w:r>
              <w:rPr>
                <w:sz w:val="20"/>
                <w:szCs w:val="20"/>
              </w:rPr>
              <w:t xml:space="preserve">Run the remediation loop</w:t>
            </w:r>
          </w:p>
        </w:tc>
        <w:tc>
          <w:tcPr>
            <w:tcW w:type="dxa" w:w="6460"/>
            <w:shd w:fill="F2F8FD" w:val="clear"/>
            <w:tcMar>
              <w:top w:type="dxa" w:w="70"/>
              <w:left w:type="dxa" w:w="120"/>
              <w:bottom w:type="dxa" w:w="70"/>
              <w:right w:type="dxa" w:w="120"/>
            </w:tcMar>
          </w:tcPr>
          <w:p>
            <w:r>
              <w:rPr>
                <w:sz w:val="20"/>
                <w:szCs w:val="20"/>
              </w:rPr>
              <w:t xml:space="preserve">Find → assign → remediate → verify — the cycle vulnerability programmes run continuously.</w:t>
            </w:r>
          </w:p>
        </w:tc>
      </w:tr>
      <w:tr>
        <w:tc>
          <w:tcPr>
            <w:tcW w:type="dxa" w:w="2900"/>
            <w:shd w:fill="FFFFFF" w:val="clear"/>
            <w:tcMar>
              <w:top w:type="dxa" w:w="70"/>
              <w:left w:type="dxa" w:w="120"/>
              <w:bottom w:type="dxa" w:w="70"/>
              <w:right w:type="dxa" w:w="120"/>
            </w:tcMar>
          </w:tcPr>
          <w:p>
            <w:r>
              <w:rPr>
                <w:sz w:val="20"/>
                <w:szCs w:val="20"/>
              </w:rPr>
              <w:t xml:space="preserve">Export and present reports</w:t>
            </w:r>
          </w:p>
        </w:tc>
        <w:tc>
          <w:tcPr>
            <w:tcW w:type="dxa" w:w="6460"/>
            <w:shd w:fill="FFFFFF" w:val="clear"/>
            <w:tcMar>
              <w:top w:type="dxa" w:w="70"/>
              <w:left w:type="dxa" w:w="120"/>
              <w:bottom w:type="dxa" w:w="70"/>
              <w:right w:type="dxa" w:w="120"/>
            </w:tcMar>
          </w:tcPr>
          <w:p>
            <w:r>
              <w:rPr>
                <w:sz w:val="20"/>
                <w:szCs w:val="20"/>
              </w:rPr>
              <w:t xml:space="preserve">Management wants business risk, not CVE IDs. Choosing executive vs. technical output is a professional skill.</w:t>
            </w:r>
          </w:p>
        </w:tc>
      </w:tr>
    </w:tbl>
    <w:p>
      <w:pPr>
        <w:pStyle w:val="Heading1"/>
        <w:spacing w:after="120" w:before="260"/>
      </w:pPr>
      <w:r>
        <w:rPr>
          <w:b/>
          <w:bCs/>
          <w:color w:val="B11116"/>
        </w:rPr>
        <w:t xml:space="preserve">4. Step 1 — Get and Install Nessus Essentials</w:t>
      </w:r>
    </w:p>
    <w:p>
      <w:pPr>
        <w:pStyle w:val="ListParagraph"/>
        <w:numPr>
          <w:ilvl w:val="0"/>
          <w:numId w:val="2"/>
        </w:numPr>
        <w:spacing w:after="60" w:line="276"/>
      </w:pPr>
      <w:r>
        <w:t xml:space="preserve">Browse to </w:t>
      </w:r>
      <w:r>
        <w:rPr>
          <w:b/>
          <w:bCs/>
        </w:rPr>
        <w:t xml:space="preserve">tenable.com/products/nessus/nessus-essentials</w:t>
      </w:r>
      <w:r>
        <w:t xml:space="preserve"> and click </w:t>
      </w:r>
      <w:r>
        <w:rPr>
          <w:i/>
          <w:iCs/>
        </w:rPr>
        <w:t xml:space="preserve">Get Started for Free</w:t>
      </w:r>
      <w:r>
        <w:t xml:space="preserve">.</w:t>
      </w:r>
    </w:p>
    <w:p>
      <w:pPr>
        <w:pStyle w:val="ListParagraph"/>
        <w:numPr>
          <w:ilvl w:val="0"/>
          <w:numId w:val="2"/>
        </w:numPr>
        <w:spacing w:after="60" w:line="276"/>
      </w:pPr>
      <w:r>
        <w:t xml:space="preserve">Enter your name and email — no credit card required.</w:t>
      </w:r>
    </w:p>
    <w:p>
      <w:pPr>
        <w:pStyle w:val="ListParagraph"/>
        <w:numPr>
          <w:ilvl w:val="0"/>
          <w:numId w:val="2"/>
        </w:numPr>
        <w:spacing w:after="60" w:line="276"/>
      </w:pPr>
      <w:r>
        <w:t xml:space="preserve">Tenable emails you an </w:t>
      </w:r>
      <w:r>
        <w:rPr>
          <w:b/>
          <w:bCs/>
        </w:rPr>
        <w:t xml:space="preserve">activation code</w:t>
      </w:r>
      <w:r>
        <w:t xml:space="preserve">. Save it somewhere safe — you will need it during setup and for re-registration.</w:t>
      </w:r>
    </w:p>
    <w:p>
      <w:pPr>
        <w:pStyle w:val="ListParagraph"/>
        <w:numPr>
          <w:ilvl w:val="0"/>
          <w:numId w:val="2"/>
        </w:numPr>
        <w:spacing w:after="60" w:line="276"/>
      </w:pPr>
      <w:r>
        <w:t xml:space="preserve">Download the installer for your operating system and install it.</w:t>
      </w:r>
    </w:p>
    <w:p>
      <w:pPr>
        <w:pStyle w:val="ListParagraph"/>
        <w:numPr>
          <w:ilvl w:val="0"/>
          <w:numId w:val="2"/>
        </w:numPr>
        <w:spacing w:after="60" w:line="276"/>
      </w:pPr>
      <w:r>
        <w:t xml:space="preserve">Browse to </w:t>
      </w:r>
      <w:r>
        <w:rPr>
          <w:b/>
          <w:bCs/>
        </w:rPr>
        <w:t xml:space="preserve">https://localhost:8834</w:t>
      </w:r>
      <w:r>
        <w:t xml:space="preserve"> (Nessus runs locally on port 8834; accept the self-signed certificate warning).</w:t>
      </w:r>
    </w:p>
    <w:p>
      <w:pPr>
        <w:pStyle w:val="ListParagraph"/>
        <w:numPr>
          <w:ilvl w:val="0"/>
          <w:numId w:val="2"/>
        </w:numPr>
        <w:spacing w:after="60" w:line="276"/>
      </w:pPr>
      <w:r>
        <w:t xml:space="preserve">Choose </w:t>
      </w:r>
      <w:r>
        <w:rPr>
          <w:b/>
          <w:bCs/>
        </w:rPr>
        <w:t xml:space="preserve">Nessus Essentials</w:t>
      </w:r>
      <w:r>
        <w:t xml:space="preserve"> and enter your activation code.</w:t>
      </w:r>
    </w:p>
    <w:p>
      <w:pPr>
        <w:pStyle w:val="ListParagraph"/>
        <w:numPr>
          <w:ilvl w:val="0"/>
          <w:numId w:val="2"/>
        </w:numPr>
        <w:spacing w:after="60" w:line="276"/>
      </w:pPr>
      <w:r>
        <w:t xml:space="preserve">Create your admin username and password.</w:t>
      </w:r>
    </w:p>
    <w:p>
      <w:pPr>
        <w:pStyle w:val="ListParagraph"/>
        <w:numPr>
          <w:ilvl w:val="0"/>
          <w:numId w:val="2"/>
        </w:numPr>
        <w:spacing w:after="60" w:line="276"/>
      </w:pPr>
      <w:r>
        <w:t xml:space="preserve">Wait for the plugin download to complete — 10–20 minutes on first install. The UI is not fully usable until this finishes.</w:t>
      </w:r>
    </w:p>
    <w:p>
      <w:pPr>
        <w:spacing w:after="120"/>
      </w:pPr>
    </w:p>
    <w:p>
      <w:pPr>
        <w:pStyle w:val="Heading2"/>
        <w:spacing w:after="120" w:before="260"/>
      </w:pPr>
      <w:r>
        <w:rPr>
          <w:b/>
          <w:bCs/>
          <w:color w:val="2F6FB0"/>
        </w:rPr>
        <w:t xml:space="preserve">Install command by platform</w:t>
      </w: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2100"/>
        <w:gridCol w:w="7260"/>
      </w:tblGrid>
      <w:tr>
        <w:trPr>
          <w:tblHeader/>
        </w:trPr>
        <w:tc>
          <w:tcPr>
            <w:tcW w:type="dxa" w:w="2100"/>
            <w:shd w:fill="2F6FB0" w:val="clear"/>
            <w:tcMar>
              <w:top w:type="dxa" w:w="80"/>
              <w:left w:type="dxa" w:w="120"/>
              <w:bottom w:type="dxa" w:w="80"/>
              <w:right w:type="dxa" w:w="120"/>
            </w:tcMar>
          </w:tcPr>
          <w:p>
            <w:r>
              <w:rPr>
                <w:b/>
                <w:bCs/>
                <w:color w:val="FFFFFF"/>
                <w:sz w:val="20"/>
                <w:szCs w:val="20"/>
              </w:rPr>
              <w:t xml:space="preserve">Platform</w:t>
            </w:r>
          </w:p>
        </w:tc>
        <w:tc>
          <w:tcPr>
            <w:tcW w:type="dxa" w:w="7260"/>
            <w:shd w:fill="2F6FB0" w:val="clear"/>
            <w:tcMar>
              <w:top w:type="dxa" w:w="80"/>
              <w:left w:type="dxa" w:w="120"/>
              <w:bottom w:type="dxa" w:w="80"/>
              <w:right w:type="dxa" w:w="120"/>
            </w:tcMar>
          </w:tcPr>
          <w:p>
            <w:r>
              <w:rPr>
                <w:b/>
                <w:bCs/>
                <w:color w:val="FFFFFF"/>
                <w:sz w:val="20"/>
                <w:szCs w:val="20"/>
              </w:rPr>
              <w:t xml:space="preserve">Method</w:t>
            </w:r>
          </w:p>
        </w:tc>
      </w:tr>
      <w:tr>
        <w:tc>
          <w:tcPr>
            <w:tcW w:type="dxa" w:w="2100"/>
            <w:shd w:fill="FFFFFF" w:val="clear"/>
            <w:tcMar>
              <w:top w:type="dxa" w:w="70"/>
              <w:left w:type="dxa" w:w="120"/>
              <w:bottom w:type="dxa" w:w="70"/>
              <w:right w:type="dxa" w:w="120"/>
            </w:tcMar>
          </w:tcPr>
          <w:p>
            <w:r>
              <w:rPr>
                <w:sz w:val="20"/>
                <w:szCs w:val="20"/>
              </w:rPr>
              <w:t xml:space="preserve">Windows</w:t>
            </w:r>
          </w:p>
        </w:tc>
        <w:tc>
          <w:tcPr>
            <w:tcW w:type="dxa" w:w="7260"/>
            <w:shd w:fill="FFFFFF" w:val="clear"/>
            <w:tcMar>
              <w:top w:type="dxa" w:w="70"/>
              <w:left w:type="dxa" w:w="120"/>
              <w:bottom w:type="dxa" w:w="70"/>
              <w:right w:type="dxa" w:w="120"/>
            </w:tcMar>
          </w:tcPr>
          <w:p>
            <w:r>
              <w:rPr>
                <w:sz w:val="20"/>
                <w:szCs w:val="20"/>
              </w:rPr>
              <w:t xml:space="preserve">Run the downloaded .exe — Nessus installs as a Windows service and starts automatically.</w:t>
            </w:r>
          </w:p>
        </w:tc>
      </w:tr>
      <w:tr>
        <w:tc>
          <w:tcPr>
            <w:tcW w:type="dxa" w:w="2100"/>
            <w:shd w:fill="F2F8FD" w:val="clear"/>
            <w:tcMar>
              <w:top w:type="dxa" w:w="70"/>
              <w:left w:type="dxa" w:w="120"/>
              <w:bottom w:type="dxa" w:w="70"/>
              <w:right w:type="dxa" w:w="120"/>
            </w:tcMar>
          </w:tcPr>
          <w:p>
            <w:r>
              <w:rPr>
                <w:sz w:val="20"/>
                <w:szCs w:val="20"/>
              </w:rPr>
              <w:t xml:space="preserve">Ubuntu / Debian</w:t>
            </w:r>
          </w:p>
        </w:tc>
        <w:tc>
          <w:tcPr>
            <w:tcW w:type="dxa" w:w="7260"/>
            <w:shd w:fill="F2F8FD" w:val="clear"/>
            <w:tcMar>
              <w:top w:type="dxa" w:w="70"/>
              <w:left w:type="dxa" w:w="120"/>
              <w:bottom w:type="dxa" w:w="70"/>
              <w:right w:type="dxa" w:w="120"/>
            </w:tcMar>
          </w:tcPr>
          <w:p>
            <w:r>
              <w:rPr>
                <w:sz w:val="20"/>
                <w:szCs w:val="20"/>
              </w:rPr>
              <w:t xml:space="preserve">sudo dpkg -i Nessus-10.x.x-ubuntu1404_amd64.deb &amp;&amp; sudo systemctl start nessusd</w:t>
            </w:r>
          </w:p>
        </w:tc>
      </w:tr>
      <w:tr>
        <w:tc>
          <w:tcPr>
            <w:tcW w:type="dxa" w:w="2100"/>
            <w:shd w:fill="FFFFFF" w:val="clear"/>
            <w:tcMar>
              <w:top w:type="dxa" w:w="70"/>
              <w:left w:type="dxa" w:w="120"/>
              <w:bottom w:type="dxa" w:w="70"/>
              <w:right w:type="dxa" w:w="120"/>
            </w:tcMar>
          </w:tcPr>
          <w:p>
            <w:r>
              <w:rPr>
                <w:sz w:val="20"/>
                <w:szCs w:val="20"/>
              </w:rPr>
              <w:t xml:space="preserve">RHEL / CentOS</w:t>
            </w:r>
          </w:p>
        </w:tc>
        <w:tc>
          <w:tcPr>
            <w:tcW w:type="dxa" w:w="7260"/>
            <w:shd w:fill="FFFFFF" w:val="clear"/>
            <w:tcMar>
              <w:top w:type="dxa" w:w="70"/>
              <w:left w:type="dxa" w:w="120"/>
              <w:bottom w:type="dxa" w:w="70"/>
              <w:right w:type="dxa" w:w="120"/>
            </w:tcMar>
          </w:tcPr>
          <w:p>
            <w:r>
              <w:rPr>
                <w:sz w:val="20"/>
                <w:szCs w:val="20"/>
              </w:rPr>
              <w:t xml:space="preserve">sudo rpm -ivh Nessus-10.x.x-el9.x86_64.rpm &amp;&amp; sudo systemctl start nessusd</w:t>
            </w:r>
          </w:p>
        </w:tc>
      </w:tr>
      <w:tr>
        <w:tc>
          <w:tcPr>
            <w:tcW w:type="dxa" w:w="2100"/>
            <w:shd w:fill="F2F8FD" w:val="clear"/>
            <w:tcMar>
              <w:top w:type="dxa" w:w="70"/>
              <w:left w:type="dxa" w:w="120"/>
              <w:bottom w:type="dxa" w:w="70"/>
              <w:right w:type="dxa" w:w="120"/>
            </w:tcMar>
          </w:tcPr>
          <w:p>
            <w:r>
              <w:rPr>
                <w:sz w:val="20"/>
                <w:szCs w:val="20"/>
              </w:rPr>
              <w:t xml:space="preserve">macOS</w:t>
            </w:r>
          </w:p>
        </w:tc>
        <w:tc>
          <w:tcPr>
            <w:tcW w:type="dxa" w:w="7260"/>
            <w:shd w:fill="F2F8FD" w:val="clear"/>
            <w:tcMar>
              <w:top w:type="dxa" w:w="70"/>
              <w:left w:type="dxa" w:w="120"/>
              <w:bottom w:type="dxa" w:w="70"/>
              <w:right w:type="dxa" w:w="120"/>
            </w:tcMar>
          </w:tcPr>
          <w:p>
            <w:r>
              <w:rPr>
                <w:sz w:val="20"/>
                <w:szCs w:val="20"/>
              </w:rPr>
              <w:t xml:space="preserve">Open the .dmg, drag Nessus to Applications, start from System Preferences → Nessus.</w:t>
            </w:r>
          </w:p>
        </w:tc>
      </w:tr>
    </w:tbl>
    <w:p>
      <w:pPr>
        <w:spacing w:after="120"/>
      </w:pPr>
    </w:p>
    <w:tbl>
      <w:tblPr>
        <w:tblW w:type="dxa" w:w="9360"/>
        <w:tblBorders>
          <w:top w:val="single" w:color="E9F7EE" w:sz="2"/>
          <w:left w:val="single" w:color="2E8B57" w:sz="28"/>
          <w:bottom w:val="single" w:color="E9F7EE" w:sz="2"/>
          <w:right w:val="single" w:color="E9F7EE" w:sz="2"/>
          <w:insideH w:val="none"/>
          <w:insideV w:val="none"/>
        </w:tblBorders>
      </w:tblPr>
      <w:tblGrid>
        <w:gridCol w:w="9360"/>
      </w:tblGrid>
      <w:tr>
        <w:tc>
          <w:tcPr>
            <w:tcW w:type="dxa" w:w="9360"/>
            <w:shd w:fill="E9F7EE" w:val="clear"/>
            <w:tcMar>
              <w:top w:type="dxa" w:w="120"/>
              <w:left w:type="dxa" w:w="200"/>
              <w:bottom w:type="dxa" w:w="120"/>
              <w:right w:type="dxa" w:w="160"/>
            </w:tcMar>
          </w:tcPr>
          <w:p>
            <w:pPr>
              <w:spacing w:after="60"/>
            </w:pPr>
            <w:r>
              <w:rPr>
                <w:b/>
                <w:bCs/>
                <w:color w:val="2E8B57"/>
                <w:sz w:val="20"/>
                <w:szCs w:val="20"/>
              </w:rPr>
              <w:t xml:space="preserve">Activation from the command line (Windows)</w:t>
            </w:r>
          </w:p>
          <w:p>
            <w:pPr>
              <w:spacing w:after="0" w:line="272"/>
            </w:pPr>
            <w:r>
              <w:rPr>
                <w:sz w:val="20"/>
                <w:szCs w:val="20"/>
              </w:rPr>
              <w:t xml:space="preserve">If the web-UI activation stalls or you are rebuilding, register directly with the CLI. Run from an elevated PowerShell prompt in the Nessus install directory. Note the &amp; call operator — PowerShell needs it to execute a quoted path.</w:t>
            </w:r>
          </w:p>
        </w:tc>
      </w:tr>
    </w:tbl>
    <w:tbl>
      <w:tblPr>
        <w:tblW w:type="dxa" w:w="9360"/>
        <w:tblBorders>
          <w:top w:val="single" w:color="E1E4E8" w:sz="4"/>
          <w:left w:val="single" w:color="E1E4E8" w:sz="4"/>
          <w:bottom w:val="single" w:color="E1E4E8" w:sz="4"/>
          <w:right w:val="single" w:color="E1E4E8" w:sz="4"/>
          <w:insideH w:val="single" w:color="E1E4E8" w:sz="4"/>
          <w:insideV w:val="single" w:color="E1E4E8" w:sz="4"/>
        </w:tblBorders>
      </w:tblPr>
      <w:tblGrid>
        <w:gridCol w:w="9360"/>
      </w:tblGrid>
      <w:tr>
        <w:tc>
          <w:tcPr>
            <w:tcW w:type="dxa" w:w="9360"/>
            <w:shd w:fill="F4F5F7" w:val="clear"/>
            <w:tcMar>
              <w:top w:type="dxa" w:w="120"/>
              <w:left w:type="dxa" w:w="160"/>
              <w:bottom w:type="dxa" w:w="120"/>
              <w:right w:type="dxa" w:w="160"/>
            </w:tcMar>
          </w:tcPr>
          <w:p>
            <w:pPr>
              <w:spacing w:after="20" w:line="264"/>
            </w:pPr>
            <w:r>
              <w:rPr>
                <w:rFonts w:ascii="Consolas" w:cs="Consolas" w:eastAsia="Consolas" w:hAnsi="Consolas"/>
                <w:color w:val="1E1E1E"/>
                <w:sz w:val="18"/>
                <w:szCs w:val="18"/>
              </w:rPr>
              <w:t xml:space="preserve"># Elevated PowerShell — adjust the path if you installed elsewhere</w:t>
            </w:r>
          </w:p>
          <w:p>
            <w:pPr>
              <w:spacing w:after="20" w:line="264"/>
            </w:pPr>
            <w:r>
              <w:rPr>
                <w:rFonts w:ascii="Consolas" w:cs="Consolas" w:eastAsia="Consolas" w:hAnsi="Consolas"/>
                <w:color w:val="1E1E1E"/>
                <w:sz w:val="18"/>
                <w:szCs w:val="18"/>
              </w:rPr>
              <w:t xml:space="preserve">cd "C:\Program Files\Tenable\Nessus"</w:t>
            </w:r>
          </w:p>
          <w:p>
            <w:pPr>
              <w:spacing w:after="20" w:line="264"/>
            </w:pPr>
            <w:r>
              <w:rPr>
                <w:rFonts w:ascii="Consolas" w:cs="Consolas" w:eastAsia="Consolas" w:hAnsi="Consolas"/>
                <w:color w:val="1E1E1E"/>
                <w:sz w:val="18"/>
                <w:szCs w:val="18"/>
              </w:rPr>
              <w:t xml:space="preserve"> </w:t>
            </w:r>
          </w:p>
          <w:p>
            <w:pPr>
              <w:spacing w:after="20" w:line="264"/>
            </w:pPr>
            <w:r>
              <w:rPr>
                <w:rFonts w:ascii="Consolas" w:cs="Consolas" w:eastAsia="Consolas" w:hAnsi="Consolas"/>
                <w:color w:val="1E1E1E"/>
                <w:sz w:val="18"/>
                <w:szCs w:val="18"/>
              </w:rPr>
              <w:t xml:space="preserve"># Register with your Essentials activation code</w:t>
            </w:r>
          </w:p>
          <w:p>
            <w:pPr>
              <w:spacing w:after="20" w:line="264"/>
            </w:pPr>
            <w:r>
              <w:rPr>
                <w:rFonts w:ascii="Consolas" w:cs="Consolas" w:eastAsia="Consolas" w:hAnsi="Consolas"/>
                <w:color w:val="1E1E1E"/>
                <w:sz w:val="18"/>
                <w:szCs w:val="18"/>
              </w:rPr>
              <w:t xml:space="preserve">&amp; ".\nessuscli.exe" fetch --register XXXX-XXXX-XXXX-XXXX-XXXX</w:t>
            </w:r>
          </w:p>
          <w:p>
            <w:pPr>
              <w:spacing w:after="20" w:line="264"/>
            </w:pPr>
            <w:r>
              <w:rPr>
                <w:rFonts w:ascii="Consolas" w:cs="Consolas" w:eastAsia="Consolas" w:hAnsi="Consolas"/>
                <w:color w:val="1E1E1E"/>
                <w:sz w:val="18"/>
                <w:szCs w:val="18"/>
              </w:rPr>
              <w:t xml:space="preserve"> </w:t>
            </w:r>
          </w:p>
          <w:p>
            <w:pPr>
              <w:spacing w:after="20" w:line="264"/>
            </w:pPr>
            <w:r>
              <w:rPr>
                <w:rFonts w:ascii="Consolas" w:cs="Consolas" w:eastAsia="Consolas" w:hAnsi="Consolas"/>
                <w:color w:val="1E1E1E"/>
                <w:sz w:val="18"/>
                <w:szCs w:val="18"/>
              </w:rPr>
              <w:t xml:space="preserve"># Confirm registration and force a plugin update</w:t>
            </w:r>
          </w:p>
          <w:p>
            <w:pPr>
              <w:spacing w:after="20" w:line="264"/>
            </w:pPr>
            <w:r>
              <w:rPr>
                <w:rFonts w:ascii="Consolas" w:cs="Consolas" w:eastAsia="Consolas" w:hAnsi="Consolas"/>
                <w:color w:val="1E1E1E"/>
                <w:sz w:val="18"/>
                <w:szCs w:val="18"/>
              </w:rPr>
              <w:t xml:space="preserve">&amp; ".\nessuscli.exe" fetch --check</w:t>
            </w:r>
          </w:p>
          <w:p>
            <w:pPr>
              <w:spacing w:after="20" w:line="264"/>
            </w:pPr>
            <w:r>
              <w:rPr>
                <w:rFonts w:ascii="Consolas" w:cs="Consolas" w:eastAsia="Consolas" w:hAnsi="Consolas"/>
                <w:color w:val="1E1E1E"/>
                <w:sz w:val="18"/>
                <w:szCs w:val="18"/>
              </w:rPr>
              <w:t xml:space="preserve">&amp; ".\nessuscli.exe" update --all</w:t>
            </w:r>
          </w:p>
          <w:p>
            <w:pPr>
              <w:spacing w:after="20" w:line="264"/>
            </w:pPr>
            <w:r>
              <w:rPr>
                <w:rFonts w:ascii="Consolas" w:cs="Consolas" w:eastAsia="Consolas" w:hAnsi="Consolas"/>
                <w:color w:val="1E1E1E"/>
                <w:sz w:val="18"/>
                <w:szCs w:val="18"/>
              </w:rPr>
              <w:t xml:space="preserve"> </w:t>
            </w:r>
          </w:p>
          <w:p>
            <w:pPr>
              <w:spacing w:after="20" w:line="264"/>
            </w:pPr>
            <w:r>
              <w:rPr>
                <w:rFonts w:ascii="Consolas" w:cs="Consolas" w:eastAsia="Consolas" w:hAnsi="Consolas"/>
                <w:color w:val="1E1E1E"/>
                <w:sz w:val="18"/>
                <w:szCs w:val="18"/>
              </w:rPr>
              <w:t xml:space="preserve"># Restart the service so new plugins load</w:t>
            </w:r>
          </w:p>
          <w:p>
            <w:pPr>
              <w:spacing w:after="0" w:line="264"/>
            </w:pPr>
            <w:r>
              <w:rPr>
                <w:rFonts w:ascii="Consolas" w:cs="Consolas" w:eastAsia="Consolas" w:hAnsi="Consolas"/>
                <w:color w:val="1E1E1E"/>
                <w:sz w:val="18"/>
                <w:szCs w:val="18"/>
              </w:rPr>
              <w:t xml:space="preserve">Restart-Service "Tenable Nessus"</w:t>
            </w:r>
          </w:p>
        </w:tc>
      </w:tr>
    </w:tbl>
    <w:p>
      <w:pPr>
        <w:spacing w:after="120"/>
      </w:pPr>
    </w:p>
    <w:tbl>
      <w:tblPr>
        <w:tblW w:type="dxa" w:w="9360"/>
        <w:tblBorders>
          <w:top w:val="single" w:color="FDEEEE" w:sz="2"/>
          <w:left w:val="single" w:color="B11116" w:sz="28"/>
          <w:bottom w:val="single" w:color="FDEEEE" w:sz="2"/>
          <w:right w:val="single" w:color="FDEEEE" w:sz="2"/>
          <w:insideH w:val="none"/>
          <w:insideV w:val="none"/>
        </w:tblBorders>
      </w:tblPr>
      <w:tblGrid>
        <w:gridCol w:w="9360"/>
      </w:tblGrid>
      <w:tr>
        <w:tc>
          <w:tcPr>
            <w:tcW w:type="dxa" w:w="9360"/>
            <w:shd w:fill="FDEEEE" w:val="clear"/>
            <w:tcMar>
              <w:top w:type="dxa" w:w="120"/>
              <w:left w:type="dxa" w:w="200"/>
              <w:bottom w:type="dxa" w:w="120"/>
              <w:right w:type="dxa" w:w="160"/>
            </w:tcMar>
          </w:tcPr>
          <w:p>
            <w:pPr>
              <w:spacing w:after="60"/>
            </w:pPr>
            <w:r>
              <w:rPr>
                <w:b/>
                <w:bCs/>
                <w:color w:val="B11116"/>
                <w:sz w:val="20"/>
                <w:szCs w:val="20"/>
              </w:rPr>
              <w:t xml:space="preserve">Common activation pitfalls</w:t>
            </w:r>
          </w:p>
          <w:p>
            <w:pPr>
              <w:spacing w:after="40" w:line="272"/>
            </w:pPr>
            <w:r>
              <w:rPr>
                <w:sz w:val="20"/>
                <w:szCs w:val="20"/>
              </w:rPr>
              <w:t xml:space="preserve">• Literal placeholder left in — replace XXXX-XXXX-… with your actual code, dashes included.</w:t>
            </w:r>
          </w:p>
          <w:p>
            <w:pPr>
              <w:spacing w:after="40" w:line="272"/>
            </w:pPr>
            <w:r>
              <w:rPr>
                <w:sz w:val="20"/>
                <w:szCs w:val="20"/>
              </w:rPr>
              <w:t xml:space="preserve">• Missing &amp; call operator — a bare ".\nessuscli.exe" errors; prefix it with &amp; .</w:t>
            </w:r>
          </w:p>
          <w:p>
            <w:pPr>
              <w:spacing w:after="40" w:line="272"/>
            </w:pPr>
            <w:r>
              <w:rPr>
                <w:sz w:val="20"/>
                <w:szCs w:val="20"/>
              </w:rPr>
              <w:t xml:space="preserve">• Concatenated commands — run each line separately; do not paste the whole block onto one line.</w:t>
            </w:r>
          </w:p>
          <w:p>
            <w:pPr>
              <w:spacing w:after="0" w:line="272"/>
            </w:pPr>
            <w:r>
              <w:rPr>
                <w:sz w:val="20"/>
                <w:szCs w:val="20"/>
              </w:rPr>
              <w:t xml:space="preserve">• Blocked egress — if fetch --register hangs, the NSG or proxy is blocking outbound 443 to Tenable.</w:t>
            </w:r>
          </w:p>
        </w:tc>
      </w:tr>
    </w:tbl>
    <w:p>
      <w:pPr>
        <w:spacing w:after="120"/>
      </w:pPr>
    </w:p>
    <w:tbl>
      <w:tblPr>
        <w:tblW w:type="dxa" w:w="9360"/>
        <w:tblBorders>
          <w:top w:val="single" w:color="FBF6E7" w:sz="2"/>
          <w:left w:val="single" w:color="C9A227" w:sz="28"/>
          <w:bottom w:val="single" w:color="FBF6E7" w:sz="2"/>
          <w:right w:val="single" w:color="FBF6E7" w:sz="2"/>
          <w:insideH w:val="none"/>
          <w:insideV w:val="none"/>
        </w:tblBorders>
      </w:tblPr>
      <w:tblGrid>
        <w:gridCol w:w="9360"/>
      </w:tblGrid>
      <w:tr>
        <w:tc>
          <w:tcPr>
            <w:tcW w:type="dxa" w:w="9360"/>
            <w:shd w:fill="FBF6E7" w:val="clear"/>
            <w:tcMar>
              <w:top w:type="dxa" w:w="120"/>
              <w:left w:type="dxa" w:w="200"/>
              <w:bottom w:type="dxa" w:w="120"/>
              <w:right w:type="dxa" w:w="160"/>
            </w:tcMar>
          </w:tcPr>
          <w:p>
            <w:pPr>
              <w:spacing w:after="60"/>
            </w:pPr>
            <w:r>
              <w:rPr>
                <w:b/>
                <w:bCs/>
                <w:color w:val="C9A227"/>
                <w:sz w:val="20"/>
                <w:szCs w:val="20"/>
              </w:rPr>
              <w:t xml:space="preserve">Student bonus</w:t>
            </w:r>
          </w:p>
          <w:p>
            <w:pPr>
              <w:spacing w:after="0" w:line="272"/>
            </w:pPr>
            <w:r>
              <w:rPr>
                <w:sz w:val="20"/>
                <w:szCs w:val="20"/>
              </w:rPr>
              <w:t xml:space="preserve">Currently enrolled? Tenable's Academic programme offers Nessus Essentials Plus (20 IPs, 1 year) free. Register with your student email at academic.tenable.com.</w:t>
            </w:r>
          </w:p>
        </w:tc>
      </w:tr>
    </w:tbl>
    <w:p>
      <w:pPr>
        <w:pStyle w:val="Heading1"/>
        <w:spacing w:after="120" w:before="260"/>
      </w:pPr>
      <w:r>
        <w:rPr>
          <w:b/>
          <w:bCs/>
          <w:color w:val="B11116"/>
        </w:rPr>
        <w:t xml:space="preserve">5. Step 2 — Run a Basic Discovery Scan</w:t>
      </w:r>
    </w:p>
    <w:p>
      <w:pPr>
        <w:spacing w:after="120" w:line="276"/>
      </w:pPr>
      <w:r>
        <w:t xml:space="preserve">A basic scan needs no credentials. It discovers which hosts are alive and which ports and services are exposed — exactly what an external attacker would see.</w:t>
      </w:r>
    </w:p>
    <w:p>
      <w:pPr>
        <w:pStyle w:val="ListParagraph"/>
        <w:numPr>
          <w:ilvl w:val="0"/>
          <w:numId w:val="2"/>
        </w:numPr>
        <w:spacing w:after="60" w:line="276"/>
      </w:pPr>
      <w:r>
        <w:t xml:space="preserve">In Nessus, click </w:t>
      </w:r>
      <w:r>
        <w:rPr>
          <w:b/>
          <w:bCs/>
        </w:rPr>
        <w:t xml:space="preserve">New Scan → Basic Network Scan</w:t>
      </w:r>
      <w:r>
        <w:t xml:space="preserve">.</w:t>
      </w:r>
    </w:p>
    <w:p>
      <w:pPr>
        <w:pStyle w:val="ListParagraph"/>
        <w:numPr>
          <w:ilvl w:val="0"/>
          <w:numId w:val="2"/>
        </w:numPr>
        <w:spacing w:after="60" w:line="276"/>
      </w:pPr>
      <w:r>
        <w:t xml:space="preserve">Fill in the scan settings:</w:t>
      </w:r>
    </w:p>
    <w:p>
      <w:pPr>
        <w:spacing w:after="60"/>
      </w:pP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2100"/>
        <w:gridCol w:w="7260"/>
      </w:tblGrid>
      <w:tr>
        <w:trPr>
          <w:tblHeader/>
        </w:trPr>
        <w:tc>
          <w:tcPr>
            <w:tcW w:type="dxa" w:w="2100"/>
            <w:shd w:fill="2F6FB0" w:val="clear"/>
            <w:tcMar>
              <w:top w:type="dxa" w:w="80"/>
              <w:left w:type="dxa" w:w="120"/>
              <w:bottom w:type="dxa" w:w="80"/>
              <w:right w:type="dxa" w:w="120"/>
            </w:tcMar>
          </w:tcPr>
          <w:p>
            <w:r>
              <w:rPr>
                <w:b/>
                <w:bCs/>
                <w:color w:val="FFFFFF"/>
                <w:sz w:val="20"/>
                <w:szCs w:val="20"/>
              </w:rPr>
              <w:t xml:space="preserve">Field</w:t>
            </w:r>
          </w:p>
        </w:tc>
        <w:tc>
          <w:tcPr>
            <w:tcW w:type="dxa" w:w="7260"/>
            <w:shd w:fill="2F6FB0" w:val="clear"/>
            <w:tcMar>
              <w:top w:type="dxa" w:w="80"/>
              <w:left w:type="dxa" w:w="120"/>
              <w:bottom w:type="dxa" w:w="80"/>
              <w:right w:type="dxa" w:w="120"/>
            </w:tcMar>
          </w:tcPr>
          <w:p>
            <w:r>
              <w:rPr>
                <w:b/>
                <w:bCs/>
                <w:color w:val="FFFFFF"/>
                <w:sz w:val="20"/>
                <w:szCs w:val="20"/>
              </w:rPr>
              <w:t xml:space="preserve">Value</w:t>
            </w:r>
          </w:p>
        </w:tc>
      </w:tr>
      <w:tr>
        <w:tc>
          <w:tcPr>
            <w:tcW w:type="dxa" w:w="2100"/>
            <w:shd w:fill="FFFFFF" w:val="clear"/>
            <w:tcMar>
              <w:top w:type="dxa" w:w="70"/>
              <w:left w:type="dxa" w:w="120"/>
              <w:bottom w:type="dxa" w:w="70"/>
              <w:right w:type="dxa" w:w="120"/>
            </w:tcMar>
          </w:tcPr>
          <w:p>
            <w:r>
              <w:rPr>
                <w:sz w:val="20"/>
                <w:szCs w:val="20"/>
              </w:rPr>
              <w:t xml:space="preserve">Name</w:t>
            </w:r>
          </w:p>
        </w:tc>
        <w:tc>
          <w:tcPr>
            <w:tcW w:type="dxa" w:w="7260"/>
            <w:shd w:fill="FFFFFF" w:val="clear"/>
            <w:tcMar>
              <w:top w:type="dxa" w:w="70"/>
              <w:left w:type="dxa" w:w="120"/>
              <w:bottom w:type="dxa" w:w="70"/>
              <w:right w:type="dxa" w:w="120"/>
            </w:tcMar>
          </w:tcPr>
          <w:p>
            <w:r>
              <w:rPr>
                <w:sz w:val="20"/>
                <w:szCs w:val="20"/>
              </w:rPr>
              <w:t xml:space="preserve">Lab Network Discovery</w:t>
            </w:r>
          </w:p>
        </w:tc>
      </w:tr>
      <w:tr>
        <w:tc>
          <w:tcPr>
            <w:tcW w:type="dxa" w:w="2100"/>
            <w:shd w:fill="F2F8FD" w:val="clear"/>
            <w:tcMar>
              <w:top w:type="dxa" w:w="70"/>
              <w:left w:type="dxa" w:w="120"/>
              <w:bottom w:type="dxa" w:w="70"/>
              <w:right w:type="dxa" w:w="120"/>
            </w:tcMar>
          </w:tcPr>
          <w:p>
            <w:r>
              <w:rPr>
                <w:sz w:val="20"/>
                <w:szCs w:val="20"/>
              </w:rPr>
              <w:t xml:space="preserve">Targets</w:t>
            </w:r>
          </w:p>
        </w:tc>
        <w:tc>
          <w:tcPr>
            <w:tcW w:type="dxa" w:w="7260"/>
            <w:shd w:fill="F2F8FD" w:val="clear"/>
            <w:tcMar>
              <w:top w:type="dxa" w:w="70"/>
              <w:left w:type="dxa" w:w="120"/>
              <w:bottom w:type="dxa" w:w="70"/>
              <w:right w:type="dxa" w:w="120"/>
            </w:tcMar>
          </w:tcPr>
          <w:p>
            <w:r>
              <w:rPr>
                <w:sz w:val="20"/>
                <w:szCs w:val="20"/>
              </w:rPr>
              <w:t xml:space="preserve">The IP address of your Windows Server VM from Lab 1 (e.g. 10.0.1.4)</w:t>
            </w:r>
          </w:p>
        </w:tc>
      </w:tr>
    </w:tbl>
    <w:p>
      <w:pPr>
        <w:spacing w:after="60"/>
      </w:pPr>
    </w:p>
    <w:p>
      <w:pPr>
        <w:pStyle w:val="ListParagraph"/>
        <w:numPr>
          <w:ilvl w:val="0"/>
          <w:numId w:val="2"/>
        </w:numPr>
        <w:spacing w:after="60" w:line="276"/>
      </w:pPr>
      <w:r>
        <w:t xml:space="preserve">Click </w:t>
      </w:r>
      <w:r>
        <w:rPr>
          <w:b/>
          <w:bCs/>
        </w:rPr>
        <w:t xml:space="preserve">Save</w:t>
      </w:r>
      <w:r>
        <w:t xml:space="preserve">, then the </w:t>
      </w:r>
      <w:r>
        <w:rPr>
          <w:b/>
          <w:bCs/>
        </w:rPr>
        <w:t xml:space="preserve">play</w:t>
      </w:r>
      <w:r>
        <w:t xml:space="preserve"> button to launch.</w:t>
      </w:r>
    </w:p>
    <w:p>
      <w:pPr>
        <w:pStyle w:val="ListParagraph"/>
        <w:numPr>
          <w:ilvl w:val="0"/>
          <w:numId w:val="2"/>
        </w:numPr>
        <w:spacing w:after="60" w:line="276"/>
      </w:pPr>
      <w:r>
        <w:t xml:space="preserve">The scan runs 5–10 minutes depending on the port range checked.</w:t>
      </w:r>
    </w:p>
    <w:p>
      <w:pPr>
        <w:pStyle w:val="ListParagraph"/>
        <w:numPr>
          <w:ilvl w:val="0"/>
          <w:numId w:val="2"/>
        </w:numPr>
        <w:spacing w:after="60" w:line="276"/>
      </w:pPr>
      <w:r>
        <w:t xml:space="preserve">Click the scan name to watch results arrive in real time.</w:t>
      </w:r>
    </w:p>
    <w:p>
      <w:pPr>
        <w:spacing w:after="120"/>
      </w:pPr>
    </w:p>
    <w:tbl>
      <w:tblPr>
        <w:tblW w:type="dxa" w:w="9360"/>
        <w:tblBorders>
          <w:top w:val="single" w:color="FDEEEE" w:sz="2"/>
          <w:left w:val="single" w:color="B11116" w:sz="28"/>
          <w:bottom w:val="single" w:color="FDEEEE" w:sz="2"/>
          <w:right w:val="single" w:color="FDEEEE" w:sz="2"/>
          <w:insideH w:val="none"/>
          <w:insideV w:val="none"/>
        </w:tblBorders>
      </w:tblPr>
      <w:tblGrid>
        <w:gridCol w:w="9360"/>
      </w:tblGrid>
      <w:tr>
        <w:tc>
          <w:tcPr>
            <w:tcW w:type="dxa" w:w="9360"/>
            <w:shd w:fill="FDEEEE" w:val="clear"/>
            <w:tcMar>
              <w:top w:type="dxa" w:w="120"/>
              <w:left w:type="dxa" w:w="200"/>
              <w:bottom w:type="dxa" w:w="120"/>
              <w:right w:type="dxa" w:w="160"/>
            </w:tcMar>
          </w:tcPr>
          <w:p>
            <w:pPr>
              <w:spacing w:after="60"/>
            </w:pPr>
            <w:r>
              <w:rPr>
                <w:b/>
                <w:bCs/>
                <w:color w:val="B11116"/>
                <w:sz w:val="20"/>
                <w:szCs w:val="20"/>
              </w:rPr>
              <w:t xml:space="preserve">Authorisation — read this before you scan</w:t>
            </w:r>
          </w:p>
          <w:p>
            <w:pPr>
              <w:spacing w:after="0" w:line="272"/>
            </w:pPr>
            <w:r>
              <w:rPr>
                <w:sz w:val="20"/>
                <w:szCs w:val="20"/>
              </w:rPr>
              <w:t xml:space="preserve">Only scan systems you own or have explicit written permission to test. Nessus generates significant traffic and looks identical to an attack probe to any monitoring system between you and the target. In Azure, scanning resources you do not own can also violate the provider's acceptable-use policy.</w:t>
            </w:r>
          </w:p>
        </w:tc>
      </w:tr>
    </w:tbl>
    <w:p>
      <w:pPr>
        <w:pStyle w:val="Heading1"/>
        <w:spacing w:after="120" w:before="260"/>
      </w:pPr>
      <w:r>
        <w:rPr>
          <w:b/>
          <w:bCs/>
          <w:color w:val="B11116"/>
        </w:rPr>
        <w:t xml:space="preserve">6. Step 3 — Run a Credentialed Scan</w:t>
      </w:r>
    </w:p>
    <w:p>
      <w:pPr>
        <w:spacing w:after="120" w:line="276"/>
      </w:pPr>
      <w:r>
        <w:t xml:space="preserve">Credentialed scans authenticate to the target and inspect it from the inside — OS patch levels, installed software versions, local misconfigurations, and registry settings. An unauthenticated scan of a Windows Server might surface ~10 findings; a credentialed scan typically surfaces 50–150.</w:t>
      </w:r>
    </w:p>
    <w:p>
      <w:pPr>
        <w:pStyle w:val="ListParagraph"/>
        <w:numPr>
          <w:ilvl w:val="0"/>
          <w:numId w:val="2"/>
        </w:numPr>
        <w:spacing w:after="60" w:line="276"/>
      </w:pPr>
      <w:r>
        <w:t xml:space="preserve">Click </w:t>
      </w:r>
      <w:r>
        <w:rPr>
          <w:b/>
          <w:bCs/>
        </w:rPr>
        <w:t xml:space="preserve">New Scan → Basic Network Scan</w:t>
      </w:r>
      <w:r>
        <w:t xml:space="preserve">.</w:t>
      </w:r>
    </w:p>
    <w:p>
      <w:pPr>
        <w:pStyle w:val="ListParagraph"/>
        <w:numPr>
          <w:ilvl w:val="0"/>
          <w:numId w:val="2"/>
        </w:numPr>
        <w:spacing w:after="60" w:line="276"/>
      </w:pPr>
      <w:r>
        <w:t xml:space="preserve">Name it </w:t>
      </w:r>
      <w:r>
        <w:rPr>
          <w:i/>
          <w:iCs/>
        </w:rPr>
        <w:t xml:space="preserve">Lab Windows Server — Credentialed</w:t>
      </w:r>
      <w:r>
        <w:t xml:space="preserve">.</w:t>
      </w:r>
    </w:p>
    <w:p>
      <w:pPr>
        <w:pStyle w:val="ListParagraph"/>
        <w:numPr>
          <w:ilvl w:val="0"/>
          <w:numId w:val="2"/>
        </w:numPr>
        <w:spacing w:after="60" w:line="276"/>
      </w:pPr>
      <w:r>
        <w:t xml:space="preserve">Target: your Windows Server VM IP.</w:t>
      </w:r>
    </w:p>
    <w:p>
      <w:pPr>
        <w:pStyle w:val="ListParagraph"/>
        <w:numPr>
          <w:ilvl w:val="0"/>
          <w:numId w:val="2"/>
        </w:numPr>
        <w:spacing w:after="60" w:line="276"/>
      </w:pPr>
      <w:r>
        <w:t xml:space="preserve">Open the </w:t>
      </w:r>
      <w:r>
        <w:rPr>
          <w:b/>
          <w:bCs/>
        </w:rPr>
        <w:t xml:space="preserve">Credentials</w:t>
      </w:r>
      <w:r>
        <w:t xml:space="preserve"> tab → </w:t>
      </w:r>
      <w:r>
        <w:rPr>
          <w:b/>
          <w:bCs/>
        </w:rPr>
        <w:t xml:space="preserve">Add → Windows → Password</w:t>
      </w:r>
      <w:r>
        <w:t xml:space="preserve">, and fill in:</w:t>
      </w:r>
    </w:p>
    <w:p>
      <w:pPr>
        <w:spacing w:after="60"/>
      </w:pP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2100"/>
        <w:gridCol w:w="7260"/>
      </w:tblGrid>
      <w:tr>
        <w:trPr>
          <w:tblHeader/>
        </w:trPr>
        <w:tc>
          <w:tcPr>
            <w:tcW w:type="dxa" w:w="2100"/>
            <w:shd w:fill="2F6FB0" w:val="clear"/>
            <w:tcMar>
              <w:top w:type="dxa" w:w="80"/>
              <w:left w:type="dxa" w:w="120"/>
              <w:bottom w:type="dxa" w:w="80"/>
              <w:right w:type="dxa" w:w="120"/>
            </w:tcMar>
          </w:tcPr>
          <w:p>
            <w:r>
              <w:rPr>
                <w:b/>
                <w:bCs/>
                <w:color w:val="FFFFFF"/>
                <w:sz w:val="20"/>
                <w:szCs w:val="20"/>
              </w:rPr>
              <w:t xml:space="preserve">Field</w:t>
            </w:r>
          </w:p>
        </w:tc>
        <w:tc>
          <w:tcPr>
            <w:tcW w:type="dxa" w:w="7260"/>
            <w:shd w:fill="2F6FB0" w:val="clear"/>
            <w:tcMar>
              <w:top w:type="dxa" w:w="80"/>
              <w:left w:type="dxa" w:w="120"/>
              <w:bottom w:type="dxa" w:w="80"/>
              <w:right w:type="dxa" w:w="120"/>
            </w:tcMar>
          </w:tcPr>
          <w:p>
            <w:r>
              <w:rPr>
                <w:b/>
                <w:bCs/>
                <w:color w:val="FFFFFF"/>
                <w:sz w:val="20"/>
                <w:szCs w:val="20"/>
              </w:rPr>
              <w:t xml:space="preserve">Value</w:t>
            </w:r>
          </w:p>
        </w:tc>
      </w:tr>
      <w:tr>
        <w:tc>
          <w:tcPr>
            <w:tcW w:type="dxa" w:w="2100"/>
            <w:shd w:fill="FFFFFF" w:val="clear"/>
            <w:tcMar>
              <w:top w:type="dxa" w:w="70"/>
              <w:left w:type="dxa" w:w="120"/>
              <w:bottom w:type="dxa" w:w="70"/>
              <w:right w:type="dxa" w:w="120"/>
            </w:tcMar>
          </w:tcPr>
          <w:p>
            <w:r>
              <w:rPr>
                <w:sz w:val="20"/>
                <w:szCs w:val="20"/>
              </w:rPr>
              <w:t xml:space="preserve">Username</w:t>
            </w:r>
          </w:p>
        </w:tc>
        <w:tc>
          <w:tcPr>
            <w:tcW w:type="dxa" w:w="7260"/>
            <w:shd w:fill="FFFFFF" w:val="clear"/>
            <w:tcMar>
              <w:top w:type="dxa" w:w="70"/>
              <w:left w:type="dxa" w:w="120"/>
              <w:bottom w:type="dxa" w:w="70"/>
              <w:right w:type="dxa" w:w="120"/>
            </w:tcMar>
          </w:tcPr>
          <w:p>
            <w:r>
              <w:rPr>
                <w:sz w:val="20"/>
                <w:szCs w:val="20"/>
              </w:rPr>
              <w:t xml:space="preserve">Administrator (or your admin account)</w:t>
            </w:r>
          </w:p>
        </w:tc>
      </w:tr>
      <w:tr>
        <w:tc>
          <w:tcPr>
            <w:tcW w:type="dxa" w:w="2100"/>
            <w:shd w:fill="F2F8FD" w:val="clear"/>
            <w:tcMar>
              <w:top w:type="dxa" w:w="70"/>
              <w:left w:type="dxa" w:w="120"/>
              <w:bottom w:type="dxa" w:w="70"/>
              <w:right w:type="dxa" w:w="120"/>
            </w:tcMar>
          </w:tcPr>
          <w:p>
            <w:r>
              <w:rPr>
                <w:sz w:val="20"/>
                <w:szCs w:val="20"/>
              </w:rPr>
              <w:t xml:space="preserve">Password</w:t>
            </w:r>
          </w:p>
        </w:tc>
        <w:tc>
          <w:tcPr>
            <w:tcW w:type="dxa" w:w="7260"/>
            <w:shd w:fill="F2F8FD" w:val="clear"/>
            <w:tcMar>
              <w:top w:type="dxa" w:w="70"/>
              <w:left w:type="dxa" w:w="120"/>
              <w:bottom w:type="dxa" w:w="70"/>
              <w:right w:type="dxa" w:w="120"/>
            </w:tcMar>
          </w:tcPr>
          <w:p>
            <w:r>
              <w:rPr>
                <w:sz w:val="20"/>
                <w:szCs w:val="20"/>
              </w:rPr>
              <w:t xml:space="preserve">The password you set when building the VM</w:t>
            </w:r>
          </w:p>
        </w:tc>
      </w:tr>
      <w:tr>
        <w:tc>
          <w:tcPr>
            <w:tcW w:type="dxa" w:w="2100"/>
            <w:shd w:fill="FFFFFF" w:val="clear"/>
            <w:tcMar>
              <w:top w:type="dxa" w:w="70"/>
              <w:left w:type="dxa" w:w="120"/>
              <w:bottom w:type="dxa" w:w="70"/>
              <w:right w:type="dxa" w:w="120"/>
            </w:tcMar>
          </w:tcPr>
          <w:p>
            <w:r>
              <w:rPr>
                <w:sz w:val="20"/>
                <w:szCs w:val="20"/>
              </w:rPr>
              <w:t xml:space="preserve">Domain</w:t>
            </w:r>
          </w:p>
        </w:tc>
        <w:tc>
          <w:tcPr>
            <w:tcW w:type="dxa" w:w="7260"/>
            <w:shd w:fill="FFFFFF" w:val="clear"/>
            <w:tcMar>
              <w:top w:type="dxa" w:w="70"/>
              <w:left w:type="dxa" w:w="120"/>
              <w:bottom w:type="dxa" w:w="70"/>
              <w:right w:type="dxa" w:w="120"/>
            </w:tcMar>
          </w:tcPr>
          <w:p>
            <w:r>
              <w:rPr>
                <w:sz w:val="20"/>
                <w:szCs w:val="20"/>
              </w:rPr>
              <w:t xml:space="preserve">LAB (the NetBIOS domain name from Lab 1)</w:t>
            </w:r>
          </w:p>
        </w:tc>
      </w:tr>
    </w:tbl>
    <w:p>
      <w:pPr>
        <w:spacing w:after="120"/>
      </w:pPr>
    </w:p>
    <w:p>
      <w:pPr>
        <w:spacing w:after="120" w:line="276"/>
      </w:pPr>
      <w:r>
        <w:rPr>
          <w:b w:val="false"/>
          <w:bCs w:val="false"/>
        </w:rPr>
        <w:t xml:space="preserve">Before running, enable Remote Registry on the target so Nessus can read patch and configuration state:</w:t>
      </w:r>
    </w:p>
    <w:tbl>
      <w:tblPr>
        <w:tblW w:type="dxa" w:w="9360"/>
        <w:tblBorders>
          <w:top w:val="single" w:color="E1E4E8" w:sz="4"/>
          <w:left w:val="single" w:color="E1E4E8" w:sz="4"/>
          <w:bottom w:val="single" w:color="E1E4E8" w:sz="4"/>
          <w:right w:val="single" w:color="E1E4E8" w:sz="4"/>
          <w:insideH w:val="single" w:color="E1E4E8" w:sz="4"/>
          <w:insideV w:val="single" w:color="E1E4E8" w:sz="4"/>
        </w:tblBorders>
      </w:tblPr>
      <w:tblGrid>
        <w:gridCol w:w="9360"/>
      </w:tblGrid>
      <w:tr>
        <w:tc>
          <w:tcPr>
            <w:tcW w:type="dxa" w:w="9360"/>
            <w:shd w:fill="F4F5F7" w:val="clear"/>
            <w:tcMar>
              <w:top w:type="dxa" w:w="120"/>
              <w:left w:type="dxa" w:w="160"/>
              <w:bottom w:type="dxa" w:w="120"/>
              <w:right w:type="dxa" w:w="160"/>
            </w:tcMar>
          </w:tcPr>
          <w:p>
            <w:pPr>
              <w:spacing w:after="20" w:line="264"/>
            </w:pPr>
            <w:r>
              <w:rPr>
                <w:rFonts w:ascii="Consolas" w:cs="Consolas" w:eastAsia="Consolas" w:hAnsi="Consolas"/>
                <w:color w:val="1E1E1E"/>
                <w:sz w:val="18"/>
                <w:szCs w:val="18"/>
              </w:rPr>
              <w:t xml:space="preserve"># Run in an elevated PowerShell session ON the Windows Server target</w:t>
            </w:r>
          </w:p>
          <w:p>
            <w:pPr>
              <w:spacing w:after="20" w:line="264"/>
            </w:pPr>
            <w:r>
              <w:rPr>
                <w:rFonts w:ascii="Consolas" w:cs="Consolas" w:eastAsia="Consolas" w:hAnsi="Consolas"/>
                <w:color w:val="1E1E1E"/>
                <w:sz w:val="18"/>
                <w:szCs w:val="18"/>
              </w:rPr>
              <w:t xml:space="preserve">Set-Service -Name RemoteRegistry -StartupType Automatic</w:t>
            </w:r>
          </w:p>
          <w:p>
            <w:pPr>
              <w:spacing w:after="20" w:line="264"/>
            </w:pPr>
            <w:r>
              <w:rPr>
                <w:rFonts w:ascii="Consolas" w:cs="Consolas" w:eastAsia="Consolas" w:hAnsi="Consolas"/>
                <w:color w:val="1E1E1E"/>
                <w:sz w:val="18"/>
                <w:szCs w:val="18"/>
              </w:rPr>
              <w:t xml:space="preserve">Start-Service RemoteRegistry</w:t>
            </w:r>
          </w:p>
          <w:p>
            <w:pPr>
              <w:spacing w:after="20" w:line="264"/>
            </w:pPr>
            <w:r>
              <w:rPr>
                <w:rFonts w:ascii="Consolas" w:cs="Consolas" w:eastAsia="Consolas" w:hAnsi="Consolas"/>
                <w:color w:val="1E1E1E"/>
                <w:sz w:val="18"/>
                <w:szCs w:val="18"/>
              </w:rPr>
              <w:t xml:space="preserve"> </w:t>
            </w:r>
          </w:p>
          <w:p>
            <w:pPr>
              <w:spacing w:after="20" w:line="264"/>
            </w:pPr>
            <w:r>
              <w:rPr>
                <w:rFonts w:ascii="Consolas" w:cs="Consolas" w:eastAsia="Consolas" w:hAnsi="Consolas"/>
                <w:color w:val="1E1E1E"/>
                <w:sz w:val="18"/>
                <w:szCs w:val="18"/>
              </w:rPr>
              <w:t xml:space="preserve"># Only if Nessus runs on a separate machine — allow SMB inbound</w:t>
            </w:r>
          </w:p>
          <w:p>
            <w:pPr>
              <w:spacing w:after="0" w:line="264"/>
            </w:pPr>
            <w:r>
              <w:rPr>
                <w:rFonts w:ascii="Consolas" w:cs="Consolas" w:eastAsia="Consolas" w:hAnsi="Consolas"/>
                <w:color w:val="1E1E1E"/>
                <w:sz w:val="18"/>
                <w:szCs w:val="18"/>
              </w:rPr>
              <w:t xml:space="preserve">netsh advfirewall firewall add rule name='Nessus' dir=in action=allow protocol=tcp localport=445</w:t>
            </w:r>
          </w:p>
        </w:tc>
      </w:tr>
    </w:tbl>
    <w:p>
      <w:pPr>
        <w:spacing w:after="120"/>
      </w:pPr>
    </w:p>
    <w:p>
      <w:pPr>
        <w:spacing w:after="120" w:line="276"/>
      </w:pPr>
      <w:r>
        <w:rPr>
          <w:i/>
          <w:iCs/>
          <w:color w:val="5F6B7A"/>
        </w:rPr>
        <w:t xml:space="preserve">Launch the scan — expect 15–20 minutes. If the finding count is not meaningfully higher than the unauthenticated scan, authentication failed: re-check the credentials, the domain field, and that Remote Registry is running.</w:t>
      </w:r>
    </w:p>
    <w:p>
      <w:pPr>
        <w:pStyle w:val="Heading1"/>
        <w:spacing w:after="120" w:before="260"/>
      </w:pPr>
      <w:r>
        <w:rPr>
          <w:b/>
          <w:bCs/>
          <w:color w:val="B11116"/>
        </w:rPr>
        <w:t xml:space="preserve">7. Step 4 — Read and Interpret Results</w:t>
      </w:r>
    </w:p>
    <w:p>
      <w:pPr>
        <w:pStyle w:val="Heading2"/>
        <w:spacing w:after="120" w:before="260"/>
      </w:pPr>
      <w:r>
        <w:rPr>
          <w:b/>
          <w:bCs/>
          <w:color w:val="2F6FB0"/>
        </w:rPr>
        <w:t xml:space="preserve">Severity levels</w:t>
      </w: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1300"/>
        <w:gridCol w:w="1200"/>
        <w:gridCol w:w="3860"/>
        <w:gridCol w:w="3000"/>
      </w:tblGrid>
      <w:tr>
        <w:trPr>
          <w:tblHeader/>
        </w:trPr>
        <w:tc>
          <w:tcPr>
            <w:tcW w:type="dxa" w:w="1300"/>
            <w:shd w:fill="2F6FB0" w:val="clear"/>
            <w:tcMar>
              <w:top w:type="dxa" w:w="80"/>
              <w:left w:type="dxa" w:w="120"/>
              <w:bottom w:type="dxa" w:w="80"/>
              <w:right w:type="dxa" w:w="120"/>
            </w:tcMar>
          </w:tcPr>
          <w:p>
            <w:r>
              <w:rPr>
                <w:b/>
                <w:bCs/>
                <w:color w:val="FFFFFF"/>
                <w:sz w:val="20"/>
                <w:szCs w:val="20"/>
              </w:rPr>
              <w:t xml:space="preserve">Severity</w:t>
            </w:r>
          </w:p>
        </w:tc>
        <w:tc>
          <w:tcPr>
            <w:tcW w:type="dxa" w:w="1200"/>
            <w:shd w:fill="2F6FB0" w:val="clear"/>
            <w:tcMar>
              <w:top w:type="dxa" w:w="80"/>
              <w:left w:type="dxa" w:w="120"/>
              <w:bottom w:type="dxa" w:w="80"/>
              <w:right w:type="dxa" w:w="120"/>
            </w:tcMar>
          </w:tcPr>
          <w:p>
            <w:r>
              <w:rPr>
                <w:b/>
                <w:bCs/>
                <w:color w:val="FFFFFF"/>
                <w:sz w:val="20"/>
                <w:szCs w:val="20"/>
              </w:rPr>
              <w:t xml:space="preserve">CVSS</w:t>
            </w:r>
          </w:p>
        </w:tc>
        <w:tc>
          <w:tcPr>
            <w:tcW w:type="dxa" w:w="3860"/>
            <w:shd w:fill="2F6FB0" w:val="clear"/>
            <w:tcMar>
              <w:top w:type="dxa" w:w="80"/>
              <w:left w:type="dxa" w:w="120"/>
              <w:bottom w:type="dxa" w:w="80"/>
              <w:right w:type="dxa" w:w="120"/>
            </w:tcMar>
          </w:tcPr>
          <w:p>
            <w:r>
              <w:rPr>
                <w:b/>
                <w:bCs/>
                <w:color w:val="FFFFFF"/>
                <w:sz w:val="20"/>
                <w:szCs w:val="20"/>
              </w:rPr>
              <w:t xml:space="preserve">Meaning</w:t>
            </w:r>
          </w:p>
        </w:tc>
        <w:tc>
          <w:tcPr>
            <w:tcW w:type="dxa" w:w="3000"/>
            <w:shd w:fill="2F6FB0" w:val="clear"/>
            <w:tcMar>
              <w:top w:type="dxa" w:w="80"/>
              <w:left w:type="dxa" w:w="120"/>
              <w:bottom w:type="dxa" w:w="80"/>
              <w:right w:type="dxa" w:w="120"/>
            </w:tcMar>
          </w:tcPr>
          <w:p>
            <w:r>
              <w:rPr>
                <w:b/>
                <w:bCs/>
                <w:color w:val="FFFFFF"/>
                <w:sz w:val="20"/>
                <w:szCs w:val="20"/>
              </w:rPr>
              <w:t xml:space="preserve">Typical example</w:t>
            </w:r>
          </w:p>
        </w:tc>
      </w:tr>
      <w:tr>
        <w:tc>
          <w:tcPr>
            <w:tcW w:type="dxa" w:w="1300"/>
            <w:shd w:fill="FFFFFF" w:val="clear"/>
            <w:tcMar>
              <w:top w:type="dxa" w:w="70"/>
              <w:left w:type="dxa" w:w="120"/>
              <w:bottom w:type="dxa" w:w="70"/>
              <w:right w:type="dxa" w:w="120"/>
            </w:tcMar>
          </w:tcPr>
          <w:p>
            <w:r>
              <w:rPr>
                <w:sz w:val="20"/>
                <w:szCs w:val="20"/>
              </w:rPr>
              <w:t xml:space="preserve">Critical</w:t>
            </w:r>
          </w:p>
        </w:tc>
        <w:tc>
          <w:tcPr>
            <w:tcW w:type="dxa" w:w="1200"/>
            <w:shd w:fill="FFFFFF" w:val="clear"/>
            <w:tcMar>
              <w:top w:type="dxa" w:w="70"/>
              <w:left w:type="dxa" w:w="120"/>
              <w:bottom w:type="dxa" w:w="70"/>
              <w:right w:type="dxa" w:w="120"/>
            </w:tcMar>
          </w:tcPr>
          <w:p>
            <w:r>
              <w:rPr>
                <w:sz w:val="20"/>
                <w:szCs w:val="20"/>
              </w:rPr>
              <w:t xml:space="preserve">9.0–10.0</w:t>
            </w:r>
          </w:p>
        </w:tc>
        <w:tc>
          <w:tcPr>
            <w:tcW w:type="dxa" w:w="3860"/>
            <w:shd w:fill="FFFFFF" w:val="clear"/>
            <w:tcMar>
              <w:top w:type="dxa" w:w="70"/>
              <w:left w:type="dxa" w:w="120"/>
              <w:bottom w:type="dxa" w:w="70"/>
              <w:right w:type="dxa" w:w="120"/>
            </w:tcMar>
          </w:tcPr>
          <w:p>
            <w:r>
              <w:rPr>
                <w:sz w:val="20"/>
                <w:szCs w:val="20"/>
              </w:rPr>
              <w:t xml:space="preserve">Remotely exploitable with little/no auth. Fix immediately.</w:t>
            </w:r>
          </w:p>
        </w:tc>
        <w:tc>
          <w:tcPr>
            <w:tcW w:type="dxa" w:w="3000"/>
            <w:shd w:fill="FFFFFF" w:val="clear"/>
            <w:tcMar>
              <w:top w:type="dxa" w:w="70"/>
              <w:left w:type="dxa" w:w="120"/>
              <w:bottom w:type="dxa" w:w="70"/>
              <w:right w:type="dxa" w:w="120"/>
            </w:tcMar>
          </w:tcPr>
          <w:p>
            <w:r>
              <w:rPr>
                <w:sz w:val="20"/>
                <w:szCs w:val="20"/>
              </w:rPr>
              <w:t xml:space="preserve">EternalBlue (MS17-010) RCE</w:t>
            </w:r>
          </w:p>
        </w:tc>
      </w:tr>
      <w:tr>
        <w:tc>
          <w:tcPr>
            <w:tcW w:type="dxa" w:w="1300"/>
            <w:shd w:fill="F2F8FD" w:val="clear"/>
            <w:tcMar>
              <w:top w:type="dxa" w:w="70"/>
              <w:left w:type="dxa" w:w="120"/>
              <w:bottom w:type="dxa" w:w="70"/>
              <w:right w:type="dxa" w:w="120"/>
            </w:tcMar>
          </w:tcPr>
          <w:p>
            <w:r>
              <w:rPr>
                <w:sz w:val="20"/>
                <w:szCs w:val="20"/>
              </w:rPr>
              <w:t xml:space="preserve">High</w:t>
            </w:r>
          </w:p>
        </w:tc>
        <w:tc>
          <w:tcPr>
            <w:tcW w:type="dxa" w:w="1200"/>
            <w:shd w:fill="F2F8FD" w:val="clear"/>
            <w:tcMar>
              <w:top w:type="dxa" w:w="70"/>
              <w:left w:type="dxa" w:w="120"/>
              <w:bottom w:type="dxa" w:w="70"/>
              <w:right w:type="dxa" w:w="120"/>
            </w:tcMar>
          </w:tcPr>
          <w:p>
            <w:r>
              <w:rPr>
                <w:sz w:val="20"/>
                <w:szCs w:val="20"/>
              </w:rPr>
              <w:t xml:space="preserve">7.0–8.9</w:t>
            </w:r>
          </w:p>
        </w:tc>
        <w:tc>
          <w:tcPr>
            <w:tcW w:type="dxa" w:w="3860"/>
            <w:shd w:fill="F2F8FD" w:val="clear"/>
            <w:tcMar>
              <w:top w:type="dxa" w:w="70"/>
              <w:left w:type="dxa" w:w="120"/>
              <w:bottom w:type="dxa" w:w="70"/>
              <w:right w:type="dxa" w:w="120"/>
            </w:tcMar>
          </w:tcPr>
          <w:p>
            <w:r>
              <w:rPr>
                <w:sz w:val="20"/>
                <w:szCs w:val="20"/>
              </w:rPr>
              <w:t xml:space="preserve">Significant impact. Fix within 7–14 days.</w:t>
            </w:r>
          </w:p>
        </w:tc>
        <w:tc>
          <w:tcPr>
            <w:tcW w:type="dxa" w:w="3000"/>
            <w:shd w:fill="F2F8FD" w:val="clear"/>
            <w:tcMar>
              <w:top w:type="dxa" w:w="70"/>
              <w:left w:type="dxa" w:w="120"/>
              <w:bottom w:type="dxa" w:w="70"/>
              <w:right w:type="dxa" w:w="120"/>
            </w:tcMar>
          </w:tcPr>
          <w:p>
            <w:r>
              <w:rPr>
                <w:sz w:val="20"/>
                <w:szCs w:val="20"/>
              </w:rPr>
              <w:t xml:space="preserve">Unpatched RDP vulnerability</w:t>
            </w:r>
          </w:p>
        </w:tc>
      </w:tr>
      <w:tr>
        <w:tc>
          <w:tcPr>
            <w:tcW w:type="dxa" w:w="1300"/>
            <w:shd w:fill="FFFFFF" w:val="clear"/>
            <w:tcMar>
              <w:top w:type="dxa" w:w="70"/>
              <w:left w:type="dxa" w:w="120"/>
              <w:bottom w:type="dxa" w:w="70"/>
              <w:right w:type="dxa" w:w="120"/>
            </w:tcMar>
          </w:tcPr>
          <w:p>
            <w:r>
              <w:rPr>
                <w:sz w:val="20"/>
                <w:szCs w:val="20"/>
              </w:rPr>
              <w:t xml:space="preserve">Medium</w:t>
            </w:r>
          </w:p>
        </w:tc>
        <w:tc>
          <w:tcPr>
            <w:tcW w:type="dxa" w:w="1200"/>
            <w:shd w:fill="FFFFFF" w:val="clear"/>
            <w:tcMar>
              <w:top w:type="dxa" w:w="70"/>
              <w:left w:type="dxa" w:w="120"/>
              <w:bottom w:type="dxa" w:w="70"/>
              <w:right w:type="dxa" w:w="120"/>
            </w:tcMar>
          </w:tcPr>
          <w:p>
            <w:r>
              <w:rPr>
                <w:sz w:val="20"/>
                <w:szCs w:val="20"/>
              </w:rPr>
              <w:t xml:space="preserve">4.0–6.9</w:t>
            </w:r>
          </w:p>
        </w:tc>
        <w:tc>
          <w:tcPr>
            <w:tcW w:type="dxa" w:w="3860"/>
            <w:shd w:fill="FFFFFF" w:val="clear"/>
            <w:tcMar>
              <w:top w:type="dxa" w:w="70"/>
              <w:left w:type="dxa" w:w="120"/>
              <w:bottom w:type="dxa" w:w="70"/>
              <w:right w:type="dxa" w:w="120"/>
            </w:tcMar>
          </w:tcPr>
          <w:p>
            <w:r>
              <w:rPr>
                <w:sz w:val="20"/>
                <w:szCs w:val="20"/>
              </w:rPr>
              <w:t xml:space="preserve">Requires conditions to exploit. Fix within 30 days.</w:t>
            </w:r>
          </w:p>
        </w:tc>
        <w:tc>
          <w:tcPr>
            <w:tcW w:type="dxa" w:w="3000"/>
            <w:shd w:fill="FFFFFF" w:val="clear"/>
            <w:tcMar>
              <w:top w:type="dxa" w:w="70"/>
              <w:left w:type="dxa" w:w="120"/>
              <w:bottom w:type="dxa" w:w="70"/>
              <w:right w:type="dxa" w:w="120"/>
            </w:tcMar>
          </w:tcPr>
          <w:p>
            <w:r>
              <w:rPr>
                <w:sz w:val="20"/>
                <w:szCs w:val="20"/>
              </w:rPr>
              <w:t xml:space="preserve">Expired SSL cert / weak cipher</w:t>
            </w:r>
          </w:p>
        </w:tc>
      </w:tr>
      <w:tr>
        <w:tc>
          <w:tcPr>
            <w:tcW w:type="dxa" w:w="1300"/>
            <w:shd w:fill="F2F8FD" w:val="clear"/>
            <w:tcMar>
              <w:top w:type="dxa" w:w="70"/>
              <w:left w:type="dxa" w:w="120"/>
              <w:bottom w:type="dxa" w:w="70"/>
              <w:right w:type="dxa" w:w="120"/>
            </w:tcMar>
          </w:tcPr>
          <w:p>
            <w:r>
              <w:rPr>
                <w:sz w:val="20"/>
                <w:szCs w:val="20"/>
              </w:rPr>
              <w:t xml:space="preserve">Low</w:t>
            </w:r>
          </w:p>
        </w:tc>
        <w:tc>
          <w:tcPr>
            <w:tcW w:type="dxa" w:w="1200"/>
            <w:shd w:fill="F2F8FD" w:val="clear"/>
            <w:tcMar>
              <w:top w:type="dxa" w:w="70"/>
              <w:left w:type="dxa" w:w="120"/>
              <w:bottom w:type="dxa" w:w="70"/>
              <w:right w:type="dxa" w:w="120"/>
            </w:tcMar>
          </w:tcPr>
          <w:p>
            <w:r>
              <w:rPr>
                <w:sz w:val="20"/>
                <w:szCs w:val="20"/>
              </w:rPr>
              <w:t xml:space="preserve">0.1–3.9</w:t>
            </w:r>
          </w:p>
        </w:tc>
        <w:tc>
          <w:tcPr>
            <w:tcW w:type="dxa" w:w="3860"/>
            <w:shd w:fill="F2F8FD" w:val="clear"/>
            <w:tcMar>
              <w:top w:type="dxa" w:w="70"/>
              <w:left w:type="dxa" w:w="120"/>
              <w:bottom w:type="dxa" w:w="70"/>
              <w:right w:type="dxa" w:w="120"/>
            </w:tcMar>
          </w:tcPr>
          <w:p>
            <w:r>
              <w:rPr>
                <w:sz w:val="20"/>
                <w:szCs w:val="20"/>
              </w:rPr>
              <w:t xml:space="preserve">Minimal impact. Fix in routine patch cycles.</w:t>
            </w:r>
          </w:p>
        </w:tc>
        <w:tc>
          <w:tcPr>
            <w:tcW w:type="dxa" w:w="3000"/>
            <w:shd w:fill="F2F8FD" w:val="clear"/>
            <w:tcMar>
              <w:top w:type="dxa" w:w="70"/>
              <w:left w:type="dxa" w:w="120"/>
              <w:bottom w:type="dxa" w:w="70"/>
              <w:right w:type="dxa" w:w="120"/>
            </w:tcMar>
          </w:tcPr>
          <w:p>
            <w:r>
              <w:rPr>
                <w:sz w:val="20"/>
                <w:szCs w:val="20"/>
              </w:rPr>
              <w:t xml:space="preserve">Missing security headers</w:t>
            </w:r>
          </w:p>
        </w:tc>
      </w:tr>
      <w:tr>
        <w:tc>
          <w:tcPr>
            <w:tcW w:type="dxa" w:w="1300"/>
            <w:shd w:fill="FFFFFF" w:val="clear"/>
            <w:tcMar>
              <w:top w:type="dxa" w:w="70"/>
              <w:left w:type="dxa" w:w="120"/>
              <w:bottom w:type="dxa" w:w="70"/>
              <w:right w:type="dxa" w:w="120"/>
            </w:tcMar>
          </w:tcPr>
          <w:p>
            <w:r>
              <w:rPr>
                <w:sz w:val="20"/>
                <w:szCs w:val="20"/>
              </w:rPr>
              <w:t xml:space="preserve">Info</w:t>
            </w:r>
          </w:p>
        </w:tc>
        <w:tc>
          <w:tcPr>
            <w:tcW w:type="dxa" w:w="1200"/>
            <w:shd w:fill="FFFFFF" w:val="clear"/>
            <w:tcMar>
              <w:top w:type="dxa" w:w="70"/>
              <w:left w:type="dxa" w:w="120"/>
              <w:bottom w:type="dxa" w:w="70"/>
              <w:right w:type="dxa" w:w="120"/>
            </w:tcMar>
          </w:tcPr>
          <w:p>
            <w:r>
              <w:rPr>
                <w:sz w:val="20"/>
                <w:szCs w:val="20"/>
              </w:rPr>
              <w:t xml:space="preserve">0</w:t>
            </w:r>
          </w:p>
        </w:tc>
        <w:tc>
          <w:tcPr>
            <w:tcW w:type="dxa" w:w="3860"/>
            <w:shd w:fill="FFFFFF" w:val="clear"/>
            <w:tcMar>
              <w:top w:type="dxa" w:w="70"/>
              <w:left w:type="dxa" w:w="120"/>
              <w:bottom w:type="dxa" w:w="70"/>
              <w:right w:type="dxa" w:w="120"/>
            </w:tcMar>
          </w:tcPr>
          <w:p>
            <w:r>
              <w:rPr>
                <w:sz w:val="20"/>
                <w:szCs w:val="20"/>
              </w:rPr>
              <w:t xml:space="preserve">Not a vulnerability — system information.</w:t>
            </w:r>
          </w:p>
        </w:tc>
        <w:tc>
          <w:tcPr>
            <w:tcW w:type="dxa" w:w="3000"/>
            <w:shd w:fill="FFFFFF" w:val="clear"/>
            <w:tcMar>
              <w:top w:type="dxa" w:w="70"/>
              <w:left w:type="dxa" w:w="120"/>
              <w:bottom w:type="dxa" w:w="70"/>
              <w:right w:type="dxa" w:w="120"/>
            </w:tcMar>
          </w:tcPr>
          <w:p>
            <w:r>
              <w:rPr>
                <w:sz w:val="20"/>
                <w:szCs w:val="20"/>
              </w:rPr>
              <w:t xml:space="preserve">Open port / OS version detected</w:t>
            </w:r>
          </w:p>
        </w:tc>
      </w:tr>
    </w:tbl>
    <w:p>
      <w:pPr>
        <w:spacing w:after="120"/>
      </w:pPr>
    </w:p>
    <w:p>
      <w:pPr>
        <w:pStyle w:val="Heading2"/>
        <w:spacing w:after="120" w:before="260"/>
      </w:pPr>
      <w:r>
        <w:rPr>
          <w:b/>
          <w:bCs/>
          <w:color w:val="2F6FB0"/>
        </w:rPr>
        <w:t xml:space="preserve">Anatomy of a finding</w:t>
      </w:r>
    </w:p>
    <w:p>
      <w:pPr>
        <w:spacing w:after="120" w:line="276"/>
      </w:pPr>
      <w:r>
        <w:t xml:space="preserve">Click any finding to expand it. Each one contains:</w:t>
      </w:r>
    </w:p>
    <w:p>
      <w:pPr>
        <w:pStyle w:val="ListParagraph"/>
        <w:numPr>
          <w:ilvl w:val="0"/>
          <w:numId w:val="3"/>
        </w:numPr>
        <w:spacing w:after="60" w:line="276"/>
      </w:pPr>
      <w:r>
        <w:rPr>
          <w:b/>
          <w:bCs/>
        </w:rPr>
        <w:t xml:space="preserve">Synopsis</w:t>
      </w:r>
      <w:r>
        <w:t xml:space="preserve"> — one-line summary of the issue.</w:t>
      </w:r>
    </w:p>
    <w:p>
      <w:pPr>
        <w:pStyle w:val="ListParagraph"/>
        <w:numPr>
          <w:ilvl w:val="0"/>
          <w:numId w:val="3"/>
        </w:numPr>
        <w:spacing w:after="60" w:line="276"/>
      </w:pPr>
      <w:r>
        <w:rPr>
          <w:b/>
          <w:bCs/>
        </w:rPr>
        <w:t xml:space="preserve">Description</w:t>
      </w:r>
      <w:r>
        <w:t xml:space="preserve"> — what it is and why it matters.</w:t>
      </w:r>
    </w:p>
    <w:p>
      <w:pPr>
        <w:pStyle w:val="ListParagraph"/>
        <w:numPr>
          <w:ilvl w:val="0"/>
          <w:numId w:val="3"/>
        </w:numPr>
        <w:spacing w:after="60" w:line="276"/>
      </w:pPr>
      <w:r>
        <w:rPr>
          <w:b/>
          <w:bCs/>
        </w:rPr>
        <w:t xml:space="preserve">Solution</w:t>
      </w:r>
      <w:r>
        <w:t xml:space="preserve"> — the specific patch, config change, or mitigation.</w:t>
      </w:r>
    </w:p>
    <w:p>
      <w:pPr>
        <w:pStyle w:val="ListParagraph"/>
        <w:numPr>
          <w:ilvl w:val="0"/>
          <w:numId w:val="3"/>
        </w:numPr>
        <w:spacing w:after="60" w:line="276"/>
      </w:pPr>
      <w:r>
        <w:rPr>
          <w:b/>
          <w:bCs/>
        </w:rPr>
        <w:t xml:space="preserve">CVE</w:t>
      </w:r>
      <w:r>
        <w:t xml:space="preserve"> — the public identifier, e.g. CVE-2024-12345.</w:t>
      </w:r>
    </w:p>
    <w:p>
      <w:pPr>
        <w:pStyle w:val="ListParagraph"/>
        <w:numPr>
          <w:ilvl w:val="0"/>
          <w:numId w:val="3"/>
        </w:numPr>
        <w:spacing w:after="60" w:line="276"/>
      </w:pPr>
      <w:r>
        <w:rPr>
          <w:b/>
          <w:bCs/>
        </w:rPr>
        <w:t xml:space="preserve">CVSS Score</w:t>
      </w:r>
      <w:r>
        <w:t xml:space="preserve"> — the standardised severity rating.</w:t>
      </w:r>
    </w:p>
    <w:p>
      <w:pPr>
        <w:pStyle w:val="ListParagraph"/>
        <w:numPr>
          <w:ilvl w:val="0"/>
          <w:numId w:val="3"/>
        </w:numPr>
        <w:spacing w:after="60" w:line="276"/>
      </w:pPr>
      <w:r>
        <w:rPr>
          <w:b/>
          <w:bCs/>
        </w:rPr>
        <w:t xml:space="preserve">Risk Factor</w:t>
      </w:r>
      <w:r>
        <w:t xml:space="preserve"> — Critical / High / Medium / Low.</w:t>
      </w:r>
    </w:p>
    <w:p>
      <w:pPr>
        <w:pStyle w:val="ListParagraph"/>
        <w:numPr>
          <w:ilvl w:val="0"/>
          <w:numId w:val="3"/>
        </w:numPr>
        <w:spacing w:after="60" w:line="276"/>
      </w:pPr>
      <w:r>
        <w:rPr>
          <w:b/>
          <w:bCs/>
        </w:rPr>
        <w:t xml:space="preserve">Plugin output</w:t>
      </w:r>
      <w:r>
        <w:t xml:space="preserve"> — the actual evidence Nessus collected from your host.</w:t>
      </w:r>
    </w:p>
    <w:p>
      <w:pPr>
        <w:pStyle w:val="Heading1"/>
        <w:spacing w:after="120" w:before="260"/>
      </w:pPr>
      <w:r>
        <w:rPr>
          <w:b/>
          <w:bCs/>
          <w:color w:val="B11116"/>
        </w:rPr>
        <w:t xml:space="preserve">8. Remediate a Finding and Re-Scan</w:t>
      </w:r>
    </w:p>
    <w:p>
      <w:pPr>
        <w:spacing w:after="120" w:line="276"/>
      </w:pPr>
      <w:r>
        <w:t xml:space="preserve">Pick one </w:t>
      </w:r>
      <w:r>
        <w:rPr>
          <w:b/>
          <w:bCs/>
        </w:rPr>
        <w:t xml:space="preserve">Medium or High</w:t>
      </w:r>
      <w:r>
        <w:t xml:space="preserve"> finding, apply the Solution, then re-run the scan and confirm the finding is gone. This </w:t>
      </w:r>
      <w:r>
        <w:rPr>
          <w:b/>
          <w:bCs/>
          <w:color w:val="2F6FB0"/>
        </w:rPr>
        <w:t xml:space="preserve">remediation verification</w:t>
      </w:r>
      <w:r>
        <w:t xml:space="preserve"> step is the single most important part of the workflow — an unverified fix is not a fix.</w:t>
      </w:r>
    </w:p>
    <w:p>
      <w:pPr>
        <w:spacing w:after="120" w:line="276"/>
      </w:pPr>
      <w:r>
        <w:rPr>
          <w:b/>
          <w:bCs/>
        </w:rPr>
        <w:t xml:space="preserve">Common Windows Server remediations:</w:t>
      </w:r>
    </w:p>
    <w:tbl>
      <w:tblPr>
        <w:tblW w:type="dxa" w:w="9360"/>
        <w:tblBorders>
          <w:top w:val="single" w:color="E1E4E8" w:sz="4"/>
          <w:left w:val="single" w:color="E1E4E8" w:sz="4"/>
          <w:bottom w:val="single" w:color="E1E4E8" w:sz="4"/>
          <w:right w:val="single" w:color="E1E4E8" w:sz="4"/>
          <w:insideH w:val="single" w:color="E1E4E8" w:sz="4"/>
          <w:insideV w:val="single" w:color="E1E4E8" w:sz="4"/>
        </w:tblBorders>
      </w:tblPr>
      <w:tblGrid>
        <w:gridCol w:w="9360"/>
      </w:tblGrid>
      <w:tr>
        <w:tc>
          <w:tcPr>
            <w:tcW w:type="dxa" w:w="9360"/>
            <w:shd w:fill="F4F5F7" w:val="clear"/>
            <w:tcMar>
              <w:top w:type="dxa" w:w="120"/>
              <w:left w:type="dxa" w:w="160"/>
              <w:bottom w:type="dxa" w:w="120"/>
              <w:right w:type="dxa" w:w="160"/>
            </w:tcMar>
          </w:tcPr>
          <w:p>
            <w:pPr>
              <w:spacing w:after="20" w:line="264"/>
            </w:pPr>
            <w:r>
              <w:rPr>
                <w:rFonts w:ascii="Consolas" w:cs="Consolas" w:eastAsia="Consolas" w:hAnsi="Consolas"/>
                <w:color w:val="1E1E1E"/>
                <w:sz w:val="18"/>
                <w:szCs w:val="18"/>
              </w:rPr>
              <w:t xml:space="preserve"># --- Install pending Windows updates ---</w:t>
            </w:r>
          </w:p>
          <w:p>
            <w:pPr>
              <w:spacing w:after="20" w:line="264"/>
            </w:pPr>
            <w:r>
              <w:rPr>
                <w:rFonts w:ascii="Consolas" w:cs="Consolas" w:eastAsia="Consolas" w:hAnsi="Consolas"/>
                <w:color w:val="1E1E1E"/>
                <w:sz w:val="18"/>
                <w:szCs w:val="18"/>
              </w:rPr>
              <w:t xml:space="preserve">Install-Module PSWindowsUpdate -Force</w:t>
            </w:r>
          </w:p>
          <w:p>
            <w:pPr>
              <w:spacing w:after="20" w:line="264"/>
            </w:pPr>
            <w:r>
              <w:rPr>
                <w:rFonts w:ascii="Consolas" w:cs="Consolas" w:eastAsia="Consolas" w:hAnsi="Consolas"/>
                <w:color w:val="1E1E1E"/>
                <w:sz w:val="18"/>
                <w:szCs w:val="18"/>
              </w:rPr>
              <w:t xml:space="preserve">Get-WindowsUpdate -Install -AcceptAll</w:t>
            </w:r>
          </w:p>
          <w:p>
            <w:pPr>
              <w:spacing w:after="20" w:line="264"/>
            </w:pPr>
            <w:r>
              <w:rPr>
                <w:rFonts w:ascii="Consolas" w:cs="Consolas" w:eastAsia="Consolas" w:hAnsi="Consolas"/>
                <w:color w:val="1E1E1E"/>
                <w:sz w:val="18"/>
                <w:szCs w:val="18"/>
              </w:rPr>
              <w:t xml:space="preserve"> </w:t>
            </w:r>
          </w:p>
          <w:p>
            <w:pPr>
              <w:spacing w:after="20" w:line="264"/>
            </w:pPr>
            <w:r>
              <w:rPr>
                <w:rFonts w:ascii="Consolas" w:cs="Consolas" w:eastAsia="Consolas" w:hAnsi="Consolas"/>
                <w:color w:val="1E1E1E"/>
                <w:sz w:val="18"/>
                <w:szCs w:val="18"/>
              </w:rPr>
              <w:t xml:space="preserve"># --- Disable TLS 1.0 (a frequent Nessus finding) ---</w:t>
            </w:r>
          </w:p>
          <w:p>
            <w:pPr>
              <w:spacing w:after="20" w:line="264"/>
            </w:pPr>
            <w:r>
              <w:rPr>
                <w:rFonts w:ascii="Consolas" w:cs="Consolas" w:eastAsia="Consolas" w:hAnsi="Consolas"/>
                <w:color w:val="1E1E1E"/>
                <w:sz w:val="18"/>
                <w:szCs w:val="18"/>
              </w:rPr>
              <w:t xml:space="preserve">$p = 'HKLM:\SYSTEM\CurrentControlSet\Control\SecurityProviders\SCHANNEL\Protocols\TLS 1.0\Server'</w:t>
            </w:r>
          </w:p>
          <w:p>
            <w:pPr>
              <w:spacing w:after="20" w:line="264"/>
            </w:pPr>
            <w:r>
              <w:rPr>
                <w:rFonts w:ascii="Consolas" w:cs="Consolas" w:eastAsia="Consolas" w:hAnsi="Consolas"/>
                <w:color w:val="1E1E1E"/>
                <w:sz w:val="18"/>
                <w:szCs w:val="18"/>
              </w:rPr>
              <w:t xml:space="preserve">New-Item $p -Force</w:t>
            </w:r>
          </w:p>
          <w:p>
            <w:pPr>
              <w:spacing w:after="20" w:line="264"/>
            </w:pPr>
            <w:r>
              <w:rPr>
                <w:rFonts w:ascii="Consolas" w:cs="Consolas" w:eastAsia="Consolas" w:hAnsi="Consolas"/>
                <w:color w:val="1E1E1E"/>
                <w:sz w:val="18"/>
                <w:szCs w:val="18"/>
              </w:rPr>
              <w:t xml:space="preserve">New-ItemProperty -Path $p -Name 'Enabled' -Value 0 -PropertyType DWORD -Force</w:t>
            </w:r>
          </w:p>
          <w:p>
            <w:pPr>
              <w:spacing w:after="20" w:line="264"/>
            </w:pPr>
            <w:r>
              <w:rPr>
                <w:rFonts w:ascii="Consolas" w:cs="Consolas" w:eastAsia="Consolas" w:hAnsi="Consolas"/>
                <w:color w:val="1E1E1E"/>
                <w:sz w:val="18"/>
                <w:szCs w:val="18"/>
              </w:rPr>
              <w:t xml:space="preserve"> </w:t>
            </w:r>
          </w:p>
          <w:p>
            <w:pPr>
              <w:spacing w:after="20" w:line="264"/>
            </w:pPr>
            <w:r>
              <w:rPr>
                <w:rFonts w:ascii="Consolas" w:cs="Consolas" w:eastAsia="Consolas" w:hAnsi="Consolas"/>
                <w:color w:val="1E1E1E"/>
                <w:sz w:val="18"/>
                <w:szCs w:val="18"/>
              </w:rPr>
              <w:t xml:space="preserve"># --- Disable SMBv1 (legacy, frequently flagged) ---</w:t>
            </w:r>
          </w:p>
          <w:p>
            <w:pPr>
              <w:spacing w:after="0" w:line="264"/>
            </w:pPr>
            <w:r>
              <w:rPr>
                <w:rFonts w:ascii="Consolas" w:cs="Consolas" w:eastAsia="Consolas" w:hAnsi="Consolas"/>
                <w:color w:val="1E1E1E"/>
                <w:sz w:val="18"/>
                <w:szCs w:val="18"/>
              </w:rPr>
              <w:t xml:space="preserve">Set-SmbServerConfiguration -EnableSMB1Protocol $false -Force</w:t>
            </w:r>
          </w:p>
        </w:tc>
      </w:tr>
    </w:tbl>
    <w:p>
      <w:pPr>
        <w:spacing w:after="120"/>
      </w:pPr>
    </w:p>
    <w:tbl>
      <w:tblPr>
        <w:tblW w:type="dxa" w:w="9360"/>
        <w:tblBorders>
          <w:top w:val="single" w:color="FBF6E7" w:sz="2"/>
          <w:left w:val="single" w:color="C9A227" w:sz="28"/>
          <w:bottom w:val="single" w:color="FBF6E7" w:sz="2"/>
          <w:right w:val="single" w:color="FBF6E7" w:sz="2"/>
          <w:insideH w:val="none"/>
          <w:insideV w:val="none"/>
        </w:tblBorders>
      </w:tblPr>
      <w:tblGrid>
        <w:gridCol w:w="9360"/>
      </w:tblGrid>
      <w:tr>
        <w:tc>
          <w:tcPr>
            <w:tcW w:type="dxa" w:w="9360"/>
            <w:shd w:fill="FBF6E7" w:val="clear"/>
            <w:tcMar>
              <w:top w:type="dxa" w:w="120"/>
              <w:left w:type="dxa" w:w="200"/>
              <w:bottom w:type="dxa" w:w="120"/>
              <w:right w:type="dxa" w:w="160"/>
            </w:tcMar>
          </w:tcPr>
          <w:p>
            <w:pPr>
              <w:spacing w:after="60"/>
            </w:pPr>
            <w:r>
              <w:rPr>
                <w:b/>
                <w:bCs/>
                <w:color w:val="C9A227"/>
                <w:sz w:val="20"/>
                <w:szCs w:val="20"/>
              </w:rPr>
              <w:t xml:space="preserve">Why the registry path is stored in a variable</w:t>
            </w:r>
          </w:p>
          <w:p>
            <w:pPr>
              <w:spacing w:after="0" w:line="272"/>
            </w:pPr>
            <w:r>
              <w:rPr>
                <w:sz w:val="20"/>
                <w:szCs w:val="20"/>
              </w:rPr>
              <w:t xml:space="preserve">The SCHANNEL registry path is long and contains a space ("TLS 1.0"). Pasting it inline across two lines is the classic cause of the syntax errors that break this step. Assigning it to $p once keeps New-Item and New-ItemProperty pointed at exactly the same key and keeps the commands on single, copy-pasteable lines.</w:t>
            </w:r>
          </w:p>
        </w:tc>
      </w:tr>
    </w:tbl>
    <w:p>
      <w:pPr>
        <w:pStyle w:val="Heading1"/>
        <w:spacing w:after="120" w:before="260"/>
      </w:pPr>
      <w:r>
        <w:rPr>
          <w:b/>
          <w:bCs/>
          <w:color w:val="B11116"/>
        </w:rPr>
        <w:t xml:space="preserve">9. Step 5 — Export a Vulnerability Report</w:t>
      </w:r>
    </w:p>
    <w:p>
      <w:pPr>
        <w:pStyle w:val="ListParagraph"/>
        <w:numPr>
          <w:ilvl w:val="0"/>
          <w:numId w:val="2"/>
        </w:numPr>
        <w:spacing w:after="60" w:line="276"/>
      </w:pPr>
      <w:r>
        <w:t xml:space="preserve">Open your completed scan results.</w:t>
      </w:r>
    </w:p>
    <w:p>
      <w:pPr>
        <w:pStyle w:val="ListParagraph"/>
        <w:numPr>
          <w:ilvl w:val="0"/>
          <w:numId w:val="2"/>
        </w:numPr>
        <w:spacing w:after="60" w:line="276"/>
      </w:pPr>
      <w:r>
        <w:t xml:space="preserve">Click </w:t>
      </w:r>
      <w:r>
        <w:rPr>
          <w:b/>
          <w:bCs/>
        </w:rPr>
        <w:t xml:space="preserve">Report → PDF</w:t>
      </w:r>
      <w:r>
        <w:t xml:space="preserve">.</w:t>
      </w:r>
    </w:p>
    <w:p>
      <w:pPr>
        <w:pStyle w:val="ListParagraph"/>
        <w:numPr>
          <w:ilvl w:val="0"/>
          <w:numId w:val="2"/>
        </w:numPr>
        <w:spacing w:after="60" w:line="276"/>
      </w:pPr>
      <w:r>
        <w:t xml:space="preserve">Choose </w:t>
      </w:r>
      <w:r>
        <w:rPr>
          <w:b/>
          <w:bCs/>
        </w:rPr>
        <w:t xml:space="preserve">Executive Summary</w:t>
      </w:r>
      <w:r>
        <w:t xml:space="preserve"> for a high-level view, or </w:t>
      </w:r>
      <w:r>
        <w:rPr>
          <w:b/>
          <w:bCs/>
        </w:rPr>
        <w:t xml:space="preserve">Detailed Vulnerabilities</w:t>
      </w:r>
      <w:r>
        <w:t xml:space="preserve"> for the full technical report.</w:t>
      </w:r>
    </w:p>
    <w:p>
      <w:pPr>
        <w:pStyle w:val="ListParagraph"/>
        <w:numPr>
          <w:ilvl w:val="0"/>
          <w:numId w:val="2"/>
        </w:numPr>
        <w:spacing w:after="60" w:line="276"/>
      </w:pPr>
      <w:r>
        <w:t xml:space="preserve">Click </w:t>
      </w:r>
      <w:r>
        <w:rPr>
          <w:b/>
          <w:bCs/>
        </w:rPr>
        <w:t xml:space="preserve">Generate Report</w:t>
      </w:r>
      <w:r>
        <w:t xml:space="preserve">.</w:t>
      </w:r>
    </w:p>
    <w:p>
      <w:pPr>
        <w:spacing w:after="120"/>
      </w:pPr>
    </w:p>
    <w:p>
      <w:pPr>
        <w:spacing w:after="120" w:line="276"/>
      </w:pPr>
      <w:r>
        <w:t xml:space="preserve">The </w:t>
      </w:r>
      <w:r>
        <w:rPr>
          <w:b/>
          <w:bCs/>
        </w:rPr>
        <w:t xml:space="preserve">executive summary</w:t>
      </w:r>
      <w:r>
        <w:t xml:space="preserve"> is what you hand to management — business risk, trend, and headline numbers. The </w:t>
      </w:r>
      <w:r>
        <w:rPr>
          <w:b/>
          <w:bCs/>
        </w:rPr>
        <w:t xml:space="preserve">detailed report</w:t>
      </w:r>
      <w:r>
        <w:t xml:space="preserve"> is what drives remediation tracking. Knowing which to send to whom is itself a professional skill.</w:t>
      </w:r>
    </w:p>
    <w:p>
      <w:pPr>
        <w:pStyle w:val="Heading1"/>
        <w:spacing w:after="120" w:before="260"/>
      </w:pPr>
      <w:r>
        <w:rPr>
          <w:b/>
          <w:bCs/>
          <w:color w:val="B11116"/>
        </w:rPr>
        <w:t xml:space="preserve">10. Verification Checklist</w:t>
      </w: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3000"/>
        <w:gridCol w:w="6360"/>
      </w:tblGrid>
      <w:tr>
        <w:trPr>
          <w:tblHeader/>
        </w:trPr>
        <w:tc>
          <w:tcPr>
            <w:tcW w:type="dxa" w:w="3000"/>
            <w:shd w:fill="2F6FB0" w:val="clear"/>
            <w:tcMar>
              <w:top w:type="dxa" w:w="80"/>
              <w:left w:type="dxa" w:w="120"/>
              <w:bottom w:type="dxa" w:w="80"/>
              <w:right w:type="dxa" w:w="120"/>
            </w:tcMar>
          </w:tcPr>
          <w:p>
            <w:r>
              <w:rPr>
                <w:b/>
                <w:bCs/>
                <w:color w:val="FFFFFF"/>
                <w:sz w:val="20"/>
                <w:szCs w:val="20"/>
              </w:rPr>
              <w:t xml:space="preserve">Check</w:t>
            </w:r>
          </w:p>
        </w:tc>
        <w:tc>
          <w:tcPr>
            <w:tcW w:type="dxa" w:w="6360"/>
            <w:shd w:fill="2F6FB0" w:val="clear"/>
            <w:tcMar>
              <w:top w:type="dxa" w:w="80"/>
              <w:left w:type="dxa" w:w="120"/>
              <w:bottom w:type="dxa" w:w="80"/>
              <w:right w:type="dxa" w:w="120"/>
            </w:tcMar>
          </w:tcPr>
          <w:p>
            <w:r>
              <w:rPr>
                <w:b/>
                <w:bCs/>
                <w:color w:val="FFFFFF"/>
                <w:sz w:val="20"/>
                <w:szCs w:val="20"/>
              </w:rPr>
              <w:t xml:space="preserve">How to verify</w:t>
            </w:r>
          </w:p>
        </w:tc>
      </w:tr>
      <w:tr>
        <w:tc>
          <w:tcPr>
            <w:tcW w:type="dxa" w:w="3000"/>
            <w:shd w:fill="FFFFFF" w:val="clear"/>
            <w:tcMar>
              <w:top w:type="dxa" w:w="70"/>
              <w:left w:type="dxa" w:w="120"/>
              <w:bottom w:type="dxa" w:w="70"/>
              <w:right w:type="dxa" w:w="120"/>
            </w:tcMar>
          </w:tcPr>
          <w:p>
            <w:r>
              <w:rPr>
                <w:sz w:val="20"/>
                <w:szCs w:val="20"/>
              </w:rPr>
              <w:t xml:space="preserve">Basic scan completed</w:t>
            </w:r>
          </w:p>
        </w:tc>
        <w:tc>
          <w:tcPr>
            <w:tcW w:type="dxa" w:w="6360"/>
            <w:shd w:fill="FFFFFF" w:val="clear"/>
            <w:tcMar>
              <w:top w:type="dxa" w:w="70"/>
              <w:left w:type="dxa" w:w="120"/>
              <w:bottom w:type="dxa" w:w="70"/>
              <w:right w:type="dxa" w:w="120"/>
            </w:tcMar>
          </w:tcPr>
          <w:p>
            <w:r>
              <w:rPr>
                <w:sz w:val="20"/>
                <w:szCs w:val="20"/>
              </w:rPr>
              <w:t xml:space="preserve">Scan shows findings — even a fully patched server returns Info-level findings.</w:t>
            </w:r>
          </w:p>
        </w:tc>
      </w:tr>
      <w:tr>
        <w:tc>
          <w:tcPr>
            <w:tcW w:type="dxa" w:w="3000"/>
            <w:shd w:fill="F2F8FD" w:val="clear"/>
            <w:tcMar>
              <w:top w:type="dxa" w:w="70"/>
              <w:left w:type="dxa" w:w="120"/>
              <w:bottom w:type="dxa" w:w="70"/>
              <w:right w:type="dxa" w:w="120"/>
            </w:tcMar>
          </w:tcPr>
          <w:p>
            <w:r>
              <w:rPr>
                <w:sz w:val="20"/>
                <w:szCs w:val="20"/>
              </w:rPr>
              <w:t xml:space="preserve">Credentialed scan completed</w:t>
            </w:r>
          </w:p>
        </w:tc>
        <w:tc>
          <w:tcPr>
            <w:tcW w:type="dxa" w:w="6360"/>
            <w:shd w:fill="F2F8FD" w:val="clear"/>
            <w:tcMar>
              <w:top w:type="dxa" w:w="70"/>
              <w:left w:type="dxa" w:w="120"/>
              <w:bottom w:type="dxa" w:w="70"/>
              <w:right w:type="dxa" w:w="120"/>
            </w:tcMar>
          </w:tcPr>
          <w:p>
            <w:r>
              <w:rPr>
                <w:sz w:val="20"/>
                <w:szCs w:val="20"/>
              </w:rPr>
              <w:t xml:space="preserve">Finding count is significantly higher than the unauthenticated scan. If not, re-check Remote Registry and credentials.</w:t>
            </w:r>
          </w:p>
        </w:tc>
      </w:tr>
      <w:tr>
        <w:tc>
          <w:tcPr>
            <w:tcW w:type="dxa" w:w="3000"/>
            <w:shd w:fill="FFFFFF" w:val="clear"/>
            <w:tcMar>
              <w:top w:type="dxa" w:w="70"/>
              <w:left w:type="dxa" w:w="120"/>
              <w:bottom w:type="dxa" w:w="70"/>
              <w:right w:type="dxa" w:w="120"/>
            </w:tcMar>
          </w:tcPr>
          <w:p>
            <w:r>
              <w:rPr>
                <w:sz w:val="20"/>
                <w:szCs w:val="20"/>
              </w:rPr>
              <w:t xml:space="preserve">Remediation verified</w:t>
            </w:r>
          </w:p>
        </w:tc>
        <w:tc>
          <w:tcPr>
            <w:tcW w:type="dxa" w:w="6360"/>
            <w:shd w:fill="FFFFFF" w:val="clear"/>
            <w:tcMar>
              <w:top w:type="dxa" w:w="70"/>
              <w:left w:type="dxa" w:w="120"/>
              <w:bottom w:type="dxa" w:w="70"/>
              <w:right w:type="dxa" w:w="120"/>
            </w:tcMar>
          </w:tcPr>
          <w:p>
            <w:r>
              <w:rPr>
                <w:sz w:val="20"/>
                <w:szCs w:val="20"/>
              </w:rPr>
              <w:t xml:space="preserve">At least one original finding no longer appears after remediation and re-scan.</w:t>
            </w:r>
          </w:p>
        </w:tc>
      </w:tr>
      <w:tr>
        <w:tc>
          <w:tcPr>
            <w:tcW w:type="dxa" w:w="3000"/>
            <w:shd w:fill="F2F8FD" w:val="clear"/>
            <w:tcMar>
              <w:top w:type="dxa" w:w="70"/>
              <w:left w:type="dxa" w:w="120"/>
              <w:bottom w:type="dxa" w:w="70"/>
              <w:right w:type="dxa" w:w="120"/>
            </w:tcMar>
          </w:tcPr>
          <w:p>
            <w:r>
              <w:rPr>
                <w:sz w:val="20"/>
                <w:szCs w:val="20"/>
              </w:rPr>
              <w:t xml:space="preserve">Report exported</w:t>
            </w:r>
          </w:p>
        </w:tc>
        <w:tc>
          <w:tcPr>
            <w:tcW w:type="dxa" w:w="6360"/>
            <w:shd w:fill="F2F8FD" w:val="clear"/>
            <w:tcMar>
              <w:top w:type="dxa" w:w="70"/>
              <w:left w:type="dxa" w:w="120"/>
              <w:bottom w:type="dxa" w:w="70"/>
              <w:right w:type="dxa" w:w="120"/>
            </w:tcMar>
          </w:tcPr>
          <w:p>
            <w:r>
              <w:rPr>
                <w:sz w:val="20"/>
                <w:szCs w:val="20"/>
              </w:rPr>
              <w:t xml:space="preserve">PDF opens and shows findings with CVSS scores.</w:t>
            </w:r>
          </w:p>
        </w:tc>
      </w:tr>
    </w:tbl>
    <w:p>
      <w:pPr>
        <w:spacing w:after="120"/>
      </w:pPr>
    </w:p>
    <w:tbl>
      <w:tblPr>
        <w:tblW w:type="dxa" w:w="9360"/>
        <w:tblBorders>
          <w:top w:val="single" w:color="E9F7EE" w:sz="2"/>
          <w:left w:val="single" w:color="2E8B57" w:sz="28"/>
          <w:bottom w:val="single" w:color="E9F7EE" w:sz="2"/>
          <w:right w:val="single" w:color="E9F7EE" w:sz="2"/>
          <w:insideH w:val="none"/>
          <w:insideV w:val="none"/>
        </w:tblBorders>
      </w:tblPr>
      <w:tblGrid>
        <w:gridCol w:w="9360"/>
      </w:tblGrid>
      <w:tr>
        <w:tc>
          <w:tcPr>
            <w:tcW w:type="dxa" w:w="9360"/>
            <w:shd w:fill="E9F7EE" w:val="clear"/>
            <w:tcMar>
              <w:top w:type="dxa" w:w="120"/>
              <w:left w:type="dxa" w:w="200"/>
              <w:bottom w:type="dxa" w:w="120"/>
              <w:right w:type="dxa" w:w="160"/>
            </w:tcMar>
          </w:tcPr>
          <w:p>
            <w:pPr>
              <w:spacing w:after="60"/>
            </w:pPr>
            <w:r>
              <w:rPr>
                <w:b/>
                <w:bCs/>
                <w:color w:val="2E8B57"/>
                <w:sz w:val="20"/>
                <w:szCs w:val="20"/>
              </w:rPr>
              <w:t xml:space="preserve">Portfolio entry</w:t>
            </w:r>
          </w:p>
          <w:p>
            <w:pPr>
              <w:spacing w:after="0" w:line="272"/>
            </w:pPr>
            <w:r>
              <w:rPr>
                <w:sz w:val="20"/>
                <w:szCs w:val="20"/>
              </w:rPr>
              <w:t xml:space="preserve">Export the executive-summary PDF and add it to your portfolio (redact anything sensitive). Write a short paragraph covering: what you scanned, what you found, what you fixed, and how you verified the fix. That single paragraph demonstrates the full vulnerability-management lifecycle — exactly what hiring managers for Vulnerability Analyst and Cloud Security roles look for.</w:t>
            </w:r>
          </w:p>
        </w:tc>
      </w:tr>
    </w:tbl>
    <w:p>
      <w:pPr>
        <w:pStyle w:val="Heading1"/>
        <w:spacing w:after="120" w:before="260"/>
      </w:pPr>
      <w:r>
        <w:rPr>
          <w:b/>
          <w:bCs/>
          <w:color w:val="B11116"/>
        </w:rPr>
        <w:t xml:space="preserve">11. Troubleshooting Quick Reference</w:t>
      </w:r>
    </w:p>
    <w:tbl>
      <w:tblPr>
        <w:tblW w:type="dxa" w:w="9360"/>
        <w:tblBorders>
          <w:top w:val="single" w:color="C7D2DC" w:sz="4"/>
          <w:left w:val="single" w:color="C7D2DC" w:sz="4"/>
          <w:bottom w:val="single" w:color="C7D2DC" w:sz="4"/>
          <w:right w:val="single" w:color="C7D2DC" w:sz="4"/>
          <w:insideH w:val="single" w:color="C7D2DC" w:sz="4"/>
          <w:insideV w:val="single" w:color="C7D2DC" w:sz="4"/>
        </w:tblBorders>
      </w:tblPr>
      <w:tblGrid>
        <w:gridCol w:w="3200"/>
        <w:gridCol w:w="6160"/>
      </w:tblGrid>
      <w:tr>
        <w:trPr>
          <w:tblHeader/>
        </w:trPr>
        <w:tc>
          <w:tcPr>
            <w:tcW w:type="dxa" w:w="3200"/>
            <w:shd w:fill="2F6FB0" w:val="clear"/>
            <w:tcMar>
              <w:top w:type="dxa" w:w="80"/>
              <w:left w:type="dxa" w:w="120"/>
              <w:bottom w:type="dxa" w:w="80"/>
              <w:right w:type="dxa" w:w="120"/>
            </w:tcMar>
          </w:tcPr>
          <w:p>
            <w:r>
              <w:rPr>
                <w:b/>
                <w:bCs/>
                <w:color w:val="FFFFFF"/>
                <w:sz w:val="20"/>
                <w:szCs w:val="20"/>
              </w:rPr>
              <w:t xml:space="preserve">Symptom</w:t>
            </w:r>
          </w:p>
        </w:tc>
        <w:tc>
          <w:tcPr>
            <w:tcW w:type="dxa" w:w="6160"/>
            <w:shd w:fill="2F6FB0" w:val="clear"/>
            <w:tcMar>
              <w:top w:type="dxa" w:w="80"/>
              <w:left w:type="dxa" w:w="120"/>
              <w:bottom w:type="dxa" w:w="80"/>
              <w:right w:type="dxa" w:w="120"/>
            </w:tcMar>
          </w:tcPr>
          <w:p>
            <w:r>
              <w:rPr>
                <w:b/>
                <w:bCs/>
                <w:color w:val="FFFFFF"/>
                <w:sz w:val="20"/>
                <w:szCs w:val="20"/>
              </w:rPr>
              <w:t xml:space="preserve">Likely cause &amp; fix</w:t>
            </w:r>
          </w:p>
        </w:tc>
      </w:tr>
      <w:tr>
        <w:tc>
          <w:tcPr>
            <w:tcW w:type="dxa" w:w="3200"/>
            <w:shd w:fill="FFFFFF" w:val="clear"/>
            <w:tcMar>
              <w:top w:type="dxa" w:w="70"/>
              <w:left w:type="dxa" w:w="120"/>
              <w:bottom w:type="dxa" w:w="70"/>
              <w:right w:type="dxa" w:w="120"/>
            </w:tcMar>
          </w:tcPr>
          <w:p>
            <w:r>
              <w:rPr>
                <w:sz w:val="20"/>
                <w:szCs w:val="20"/>
              </w:rPr>
              <w:t xml:space="preserve">Activation hangs / fetch --register never returns</w:t>
            </w:r>
          </w:p>
        </w:tc>
        <w:tc>
          <w:tcPr>
            <w:tcW w:type="dxa" w:w="6160"/>
            <w:shd w:fill="FFFFFF" w:val="clear"/>
            <w:tcMar>
              <w:top w:type="dxa" w:w="70"/>
              <w:left w:type="dxa" w:w="120"/>
              <w:bottom w:type="dxa" w:w="70"/>
              <w:right w:type="dxa" w:w="120"/>
            </w:tcMar>
          </w:tcPr>
          <w:p>
            <w:r>
              <w:rPr>
                <w:sz w:val="20"/>
                <w:szCs w:val="20"/>
              </w:rPr>
              <w:t xml:space="preserve">Outbound 443 to Tenable is blocked. Check the Azure NSG and any proxy; confirm the VM has internet egress.</w:t>
            </w:r>
          </w:p>
        </w:tc>
      </w:tr>
      <w:tr>
        <w:tc>
          <w:tcPr>
            <w:tcW w:type="dxa" w:w="3200"/>
            <w:shd w:fill="F2F8FD" w:val="clear"/>
            <w:tcMar>
              <w:top w:type="dxa" w:w="70"/>
              <w:left w:type="dxa" w:w="120"/>
              <w:bottom w:type="dxa" w:w="70"/>
              <w:right w:type="dxa" w:w="120"/>
            </w:tcMar>
          </w:tcPr>
          <w:p>
            <w:r>
              <w:rPr>
                <w:sz w:val="20"/>
                <w:szCs w:val="20"/>
              </w:rPr>
              <w:t xml:space="preserve">PowerShell: term not recognised running nessuscli</w:t>
            </w:r>
          </w:p>
        </w:tc>
        <w:tc>
          <w:tcPr>
            <w:tcW w:type="dxa" w:w="6160"/>
            <w:shd w:fill="F2F8FD" w:val="clear"/>
            <w:tcMar>
              <w:top w:type="dxa" w:w="70"/>
              <w:left w:type="dxa" w:w="120"/>
              <w:bottom w:type="dxa" w:w="70"/>
              <w:right w:type="dxa" w:w="120"/>
            </w:tcMar>
          </w:tcPr>
          <w:p>
            <w:r>
              <w:rPr>
                <w:sz w:val="20"/>
                <w:szCs w:val="20"/>
              </w:rPr>
              <w:t xml:space="preserve">Missing &amp; call operator, or wrong directory. cd into the Nessus folder and prefix the quoted path with &amp; .</w:t>
            </w:r>
          </w:p>
        </w:tc>
      </w:tr>
      <w:tr>
        <w:tc>
          <w:tcPr>
            <w:tcW w:type="dxa" w:w="3200"/>
            <w:shd w:fill="FFFFFF" w:val="clear"/>
            <w:tcMar>
              <w:top w:type="dxa" w:w="70"/>
              <w:left w:type="dxa" w:w="120"/>
              <w:bottom w:type="dxa" w:w="70"/>
              <w:right w:type="dxa" w:w="120"/>
            </w:tcMar>
          </w:tcPr>
          <w:p>
            <w:r>
              <w:rPr>
                <w:sz w:val="20"/>
                <w:szCs w:val="20"/>
              </w:rPr>
              <w:t xml:space="preserve">Credentialed scan finds no more than basic scan</w:t>
            </w:r>
          </w:p>
        </w:tc>
        <w:tc>
          <w:tcPr>
            <w:tcW w:type="dxa" w:w="6160"/>
            <w:shd w:fill="FFFFFF" w:val="clear"/>
            <w:tcMar>
              <w:top w:type="dxa" w:w="70"/>
              <w:left w:type="dxa" w:w="120"/>
              <w:bottom w:type="dxa" w:w="70"/>
              <w:right w:type="dxa" w:w="120"/>
            </w:tcMar>
          </w:tcPr>
          <w:p>
            <w:r>
              <w:rPr>
                <w:sz w:val="20"/>
                <w:szCs w:val="20"/>
              </w:rPr>
              <w:t xml:space="preserve">Authentication failed. Verify username/password/domain, and that Remote Registry is Running on the target.</w:t>
            </w:r>
          </w:p>
        </w:tc>
      </w:tr>
      <w:tr>
        <w:tc>
          <w:tcPr>
            <w:tcW w:type="dxa" w:w="3200"/>
            <w:shd w:fill="F2F8FD" w:val="clear"/>
            <w:tcMar>
              <w:top w:type="dxa" w:w="70"/>
              <w:left w:type="dxa" w:w="120"/>
              <w:bottom w:type="dxa" w:w="70"/>
              <w:right w:type="dxa" w:w="120"/>
            </w:tcMar>
          </w:tcPr>
          <w:p>
            <w:r>
              <w:rPr>
                <w:sz w:val="20"/>
                <w:szCs w:val="20"/>
              </w:rPr>
              <w:t xml:space="preserve">localhost:8834 shows certificate warning</w:t>
            </w:r>
          </w:p>
        </w:tc>
        <w:tc>
          <w:tcPr>
            <w:tcW w:type="dxa" w:w="6160"/>
            <w:shd w:fill="F2F8FD" w:val="clear"/>
            <w:tcMar>
              <w:top w:type="dxa" w:w="70"/>
              <w:left w:type="dxa" w:w="120"/>
              <w:bottom w:type="dxa" w:w="70"/>
              <w:right w:type="dxa" w:w="120"/>
            </w:tcMar>
          </w:tcPr>
          <w:p>
            <w:r>
              <w:rPr>
                <w:sz w:val="20"/>
                <w:szCs w:val="20"/>
              </w:rPr>
              <w:t xml:space="preserve">Expected — Nessus uses a self-signed cert. Accept it and proceed; it is not an error.</w:t>
            </w:r>
          </w:p>
        </w:tc>
      </w:tr>
      <w:tr>
        <w:tc>
          <w:tcPr>
            <w:tcW w:type="dxa" w:w="3200"/>
            <w:shd w:fill="FFFFFF" w:val="clear"/>
            <w:tcMar>
              <w:top w:type="dxa" w:w="70"/>
              <w:left w:type="dxa" w:w="120"/>
              <w:bottom w:type="dxa" w:w="70"/>
              <w:right w:type="dxa" w:w="120"/>
            </w:tcMar>
          </w:tcPr>
          <w:p>
            <w:r>
              <w:rPr>
                <w:sz w:val="20"/>
                <w:szCs w:val="20"/>
              </w:rPr>
              <w:t xml:space="preserve">Plugin compilation stuck after install</w:t>
            </w:r>
          </w:p>
        </w:tc>
        <w:tc>
          <w:tcPr>
            <w:tcW w:type="dxa" w:w="6160"/>
            <w:shd w:fill="FFFFFF" w:val="clear"/>
            <w:tcMar>
              <w:top w:type="dxa" w:w="70"/>
              <w:left w:type="dxa" w:w="120"/>
              <w:bottom w:type="dxa" w:w="70"/>
              <w:right w:type="dxa" w:w="120"/>
            </w:tcMar>
          </w:tcPr>
          <w:p>
            <w:r>
              <w:rPr>
                <w:sz w:val="20"/>
                <w:szCs w:val="20"/>
              </w:rPr>
              <w:t xml:space="preserve">First-run plugin build takes 10–20 min. Wait, then Restart-Service "Tenable Nessus" if the UI stays unavailable.</w:t>
            </w:r>
          </w:p>
        </w:tc>
      </w:tr>
    </w:tbl>
    <w:p>
      <w:pPr>
        <w:spacing w:after="120"/>
      </w:pPr>
    </w:p>
    <w:p>
      <w:pPr>
        <w:pBdr>
          <w:top w:val="single" w:color="C7D2DC" w:sz="6"/>
        </w:pBdr>
        <w:spacing w:after="60" w:before="200"/>
      </w:pPr>
    </w:p>
    <w:p>
      <w:r>
        <w:rPr>
          <w:i/>
          <w:iCs/>
          <w:color w:val="5F6B7A"/>
          <w:sz w:val="18"/>
          <w:szCs w:val="18"/>
        </w:rPr>
        <w:t xml:space="preserve">End of Lab 5 documentation — scan responsibly, remediate relentlessly, and always verify the fix.</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C" w:sz="4"/>
      </w:pBdr>
      <w:jc w:val="center"/>
    </w:pPr>
    <w:r>
      <w:rPr>
        <w:color w:val="5F6B7A"/>
        <w:sz w:val="16"/>
        <w:szCs w:val="16"/>
      </w:rPr>
      <w:t xml:space="preserve">Cloud Security Portfolio  ·  Page </w:t>
    </w:r>
    <w:r>
      <w:rPr>
        <w:color w:val="5F6B7A"/>
        <w:sz w:val="16"/>
        <w:szCs w:val="16"/>
      </w:rPr>
      <w:fldChar w:fldCharType="begin"/>
      <w:instrText xml:space="preserve">PAGE</w:instrText>
      <w:fldChar w:fldCharType="separate"/>
      <w:fldChar w:fldCharType="end"/>
    </w:r>
    <w:r>
      <w:rPr>
        <w:color w:val="5F6B7A"/>
        <w:sz w:val="16"/>
        <w:szCs w:val="16"/>
      </w:rPr>
      <w:t xml:space="preserve"> of </w:t>
    </w:r>
    <w:r>
      <w:rPr>
        <w:color w:val="5F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pBdr>
      <w:jc w:val="right"/>
    </w:pPr>
    <w:r>
      <w:rPr>
        <w:color w:val="5F6B7A"/>
        <w:sz w:val="16"/>
        <w:szCs w:val="16"/>
      </w:rPr>
      <w:t xml:space="preserve">Lab 5 — Nessus Vulnerability Scanning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b/>
      <w:bCs/>
      <w:color w:val="B11116"/>
      <w:sz w:val="32"/>
      <w:szCs w:val="32"/>
    </w:rPr>
  </w:style>
  <w:style w:type="paragraph" w:styleId="Heading2">
    <w:name w:val="Heading 2"/>
    <w:basedOn w:val="Normal"/>
    <w:next w:val="Normal"/>
    <w:qFormat/>
    <w:pPr>
      <w:spacing w:after="100" w:before="200"/>
    </w:pPr>
    <w:rPr>
      <w:b/>
      <w:bCs/>
      <w:color w:val="2F6F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c89a1ac301ba9f5476319c111c8f4d1cc245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 Nessus Vulnerability Scanning</dc:title>
  <dc:creator>McCray — Cloud Security Portfolio</dc:creator>
  <cp:lastModifiedBy>Un-named</cp:lastModifiedBy>
  <cp:revision>1</cp:revision>
  <dcterms:created xsi:type="dcterms:W3CDTF">2026-07-09T17:51:20.598Z</dcterms:created>
  <dcterms:modified xsi:type="dcterms:W3CDTF">2026-07-09T17:51:20.611Z</dcterms:modified>
</cp:coreProperties>
</file>

<file path=docProps/custom.xml><?xml version="1.0" encoding="utf-8"?>
<Properties xmlns="http://schemas.openxmlformats.org/officeDocument/2006/custom-properties" xmlns:vt="http://schemas.openxmlformats.org/officeDocument/2006/docPropsVTypes"/>
</file>