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64" w:rsidRDefault="00F25121" w:rsidP="004A67A0">
      <w:pPr>
        <w:pStyle w:val="Heading1"/>
      </w:pPr>
      <w:r w:rsidRPr="004A67A0">
        <w:t xml:space="preserve">Using the </w:t>
      </w:r>
      <w:proofErr w:type="spellStart"/>
      <w:r w:rsidRPr="004A67A0">
        <w:t>Sinkala</w:t>
      </w:r>
      <w:proofErr w:type="spellEnd"/>
      <w:r w:rsidRPr="004A67A0">
        <w:t xml:space="preserve"> Cell</w:t>
      </w:r>
    </w:p>
    <w:p w:rsidR="004B779D" w:rsidRPr="004B779D" w:rsidRDefault="004B779D" w:rsidP="004B779D">
      <w:r>
        <w:t>James E. McCutcheon, Dept. of Neuroscience, Psychology &amp; Behaviour, University of Leicester, UK</w:t>
      </w:r>
    </w:p>
    <w:p w:rsidR="00F25121" w:rsidRPr="004A67A0" w:rsidRDefault="00F25121" w:rsidP="004A67A0">
      <w:pPr>
        <w:pStyle w:val="Heading2"/>
      </w:pPr>
      <w:r w:rsidRPr="004A67A0">
        <w:t>1. Intro</w:t>
      </w:r>
    </w:p>
    <w:p w:rsidR="00F25121" w:rsidRDefault="00D852C1">
      <w:r>
        <w:t xml:space="preserve">The ability to calibrate carbon fibre electrodes used in electrochemical techniques such as fast-scan cyclic voltammetry is essential. Calibrations allow redox currents measured </w:t>
      </w:r>
      <w:r w:rsidRPr="00BE23CF">
        <w:rPr>
          <w:i/>
        </w:rPr>
        <w:t>in vivo</w:t>
      </w:r>
      <w:r>
        <w:t xml:space="preserve"> or </w:t>
      </w:r>
      <w:r w:rsidRPr="00BE23CF">
        <w:rPr>
          <w:i/>
        </w:rPr>
        <w:t>in vitro</w:t>
      </w:r>
      <w:r>
        <w:t xml:space="preserve"> to be converted into concentration of a particular chemical species. Several years ago, we developed a simple microfluidic flow cell based on a </w:t>
      </w:r>
      <w:r w:rsidR="00BE23CF">
        <w:t xml:space="preserve">principles of </w:t>
      </w:r>
      <w:r>
        <w:t>laminar flow</w:t>
      </w:r>
      <w:r w:rsidR="00BE23CF">
        <w:t xml:space="preserve"> </w:t>
      </w:r>
      <w:r w:rsidR="00BE23CF">
        <w:fldChar w:fldCharType="begin" w:fldLock="1"/>
      </w:r>
      <w:r w:rsidR="00BE23CF">
        <w:instrText>ADDIN CSL_CITATION { "citationItems" : [ { "id" : "ITEM-1", "itemData" : { "DOI" : "10.1039/c2lc40168a", "ISSN" : "1473-0189", "PMID" : "22522908", "abstract" : "Fast-scan cyclic voltammetry (FSCV) is a common analytical electrochemistry tool used to measure chemical species. It has recently been adapted for measurement of neurotransmitters such as dopamine in awake and behaving animals (in vivo). Electrode calibration is an essential step in FSCV to relate observed current to concentration of a chemical species. However, existing methods require multiple components, which reduce the ease of calibrations. To this end, a microfluidic flow cell (\u03bcFC) was developed as a simple device to switch between buffer and buffer with a known concentration of the analyte of interest--in this case dopamine--in a microfluidic Y-channel. The ability to quickly switch solutions yielded electrode calibrations with faster rise times and that were more stable at peak current values. The \u03bcFC reduced the number of external electrical components and produced linear calibrations over a range of concentrations. To demonstrate this, an electrode calibrated with the \u03bcFC was used in FSCV recordings from a rat during the delivery of food reward--a stimulus that reliably evokes a brief increase in current due to the oxidation of dopamine. Using the linear calibration, dopamine concentrations were determined from the current responses evoked during the behavioral task. The \u03bcFC is able to easily and quickly calibrate FSCV electrode responses to chemical species for both in vitro and in vivo experiments.", "author" : [ { "dropping-particle" : "", "family" : "Sinkala", "given" : "Elly", "non-dropping-particle" : "", "parse-names" : false, "suffix" : "" }, { "dropping-particle" : "", "family" : "McCutcheon", "given" : "James Edgar", "non-dropping-particle" : "", "parse-names" : false, "suffix" : "" }, { "dropping-particle" : "", "family" : "Schuck", "given" : "Matthew J", "non-dropping-particle" : "", "parse-names" : false, "suffix" : "" }, { "dropping-particle" : "", "family" : "Schmidt", "given" : "Eric", "non-dropping-particle" : "", "parse-names" : false, "suffix" : "" }, { "dropping-particle" : "", "family" : "Roitman", "given" : "Mitchell F.", "non-dropping-particle" : "", "parse-names" : false, "suffix" : "" }, { "dropping-particle" : "", "family" : "Eddington", "given" : "David T", "non-dropping-particle" : "", "parse-names" : false, "suffix" : "" } ], "container-title" : "Lab Chip", "id" : "ITEM-1", "issue" : "13", "issued" : { "date-parts" : [ [ "2012", "7", "7" ] ] }, "page" : "2403-8", "title" : "Electrode calibration with a microfluidic flow cell for fast-scan cyclic voltammetry.", "type" : "article-journal", "volume" : "12" }, "uris" : [ "http://www.mendeley.com/documents/?uuid=8c2101f7-be2f-4eb9-aead-028d7ce8da41" ] } ], "mendeley" : { "formattedCitation" : "(Sinkala et al., 2012)", "plainTextFormattedCitation" : "(Sinkala et al., 2012)", "previouslyFormattedCitation" : "(Sinkala et al., 2012)" }, "properties" : { "noteIndex" : 0 }, "schema" : "https://github.com/citation-style-language/schema/raw/master/csl-citation.json" }</w:instrText>
      </w:r>
      <w:r w:rsidR="00BE23CF">
        <w:fldChar w:fldCharType="separate"/>
      </w:r>
      <w:r w:rsidR="00BE23CF" w:rsidRPr="00BE23CF">
        <w:rPr>
          <w:noProof/>
        </w:rPr>
        <w:t>(Sinkala et al., 2012)</w:t>
      </w:r>
      <w:r w:rsidR="00BE23CF">
        <w:fldChar w:fldCharType="end"/>
      </w:r>
      <w:r w:rsidR="00BE23CF">
        <w:t xml:space="preserve"> to allow calibrations </w:t>
      </w:r>
      <w:r w:rsidR="004574A4">
        <w:t>to be easily conducted;</w:t>
      </w:r>
      <w:r>
        <w:t xml:space="preserve"> as testament to its utility, the flow cell has been adopted by several other research groups</w:t>
      </w:r>
      <w:r w:rsidR="00BE23CF">
        <w:t xml:space="preserve"> </w:t>
      </w:r>
      <w:r w:rsidR="00BE23CF">
        <w:fldChar w:fldCharType="begin" w:fldLock="1"/>
      </w:r>
      <w:r w:rsidR="0092561C">
        <w:instrText>ADDIN CSL_CITATION { "citationItems" : [ { "id" : "ITEM-1", "itemData" : { "DOI" : "10.1523/JNEUROSCI.3557-12.2012", "ISSN" : "0270-6474", "author" : [ { "dropping-particle" : "", "family" : "Badrinarayan", "given" : "A.", "non-dropping-particle" : "", "parse-names" : false, "suffix" : "" }, { "dropping-particle" : "", "family" : "Wescott", "given" : "S. A.", "non-dropping-particle" : "", "parse-names" : false, "suffix" : "" }, { "dropping-particle" : "", "family" : "Weele", "given" : "C. M.", "non-dropping-particle" : "Vander", "parse-names" : false, "suffix" : "" }, { "dropping-particle" : "", "family" : "Saunders", "given" : "B. T.", "non-dropping-particle" : "", "parse-names" : false, "suffix" : "" }, { "dropping-particle" : "", "family" : "Couturier", "given" : "B. E.", "non-dropping-particle" : "", "parse-names" : false, "suffix" : "" }, { "dropping-particle" : "", "family" : "Maren", "given" : "S.", "non-dropping-particle" : "", "parse-names" : false, "suffix" : "" }, { "dropping-particle" : "", "family" : "Aragona", "given" : "Brandon J", "non-dropping-particle" : "", "parse-names" : false, "suffix" : "" } ], "container-title" : "Journal of Neuroscience", "id" : "ITEM-1", "issue" : "45", "issued" : { "date-parts" : [ [ "2012", "11", "7" ] ] }, "page" : "15779-15790", "title" : "Aversive stimuli differentially modulate real-time dopamine transmission dynamics within the nucleus accumbens core and shell.", "type" : "article-journal", "volume" : "32" }, "uris" : [ "http://www.mendeley.com/documents/?uuid=70d985c6-a7f1-46ee-8252-cd82d1c1df27" ] }, { "id" : "ITEM-2", "itemData" : { "DOI" : "10.1111/ejn.12709", "ISBN" : "1460-9568 (Electronic)\\n0953-816X (Linking)", "ISSN" : "14609568", "PMID" : "25208732", "abstract" : "While most drugs of abuse increase dopamine neurotransmission, rapid neurochemical measurements show that different drugs evoke distinct dopamine release patterns within the nucleus accumbens. Rapid changes in dopamine concentration following psychostimulant administration have been well studied; however, such changes have never been examined following opioid delivery. Here, we provide novel measures of rapid dopamine release following intravenous infusion of two opioids, morphine and oxycodone, in drug-na\u00efve rats using fast-scan cyclic voltammetry and rapid (1\u00a0min) microdialysis coupled with high-performance liquid chromatography - tandem mass spectrometry (HPLC-MS). In addition to measuring rapid dopamine transmission, microdialysis HPLC-MS measures changes in GABA, glutamate, monoamines, monoamine metabolites and several other neurotransmitters. Although both opioids increased dopamine release in the nucleus accumbens, their patterns of drug-evoked dopamine transmission differed dramatically. Oxycodone evoked a robust and stable increase in dopamine concentration and a robust increase in the frequency and amplitude of phasic dopamine release events. Conversely, morphine evoked a brief (~\u00a01\u00a0min) increase in dopamine that was coincident with a surge in GABA concentration and then both transmitters returned to baseline levels. Thus, by providing rapid measures of neurotransmission, this study reveals previously unknown differences in opioid-induced neurotransmitter signaling. Investigating these differences may be essential for understanding how these two drugs of abuse could differentially usurp motivational circuitry and powerfully influence behavior.", "author" : [ { "dropping-particle" : "", "family" : "Weele", "given" : "Caitlin M.", "non-dropping-particle" : "Vander", "parse-names" : false, "suffix" : "" }, { "dropping-particle" : "", "family" : "Porter-Stransky", "given" : "Kirsten A.", "non-dropping-particle" : "", "parse-names" : false, "suffix" : "" }, { "dropping-particle" : "", "family" : "Mabrouk", "given" : "Omar S.", "non-dropping-particle" : "", "parse-names" : false, "suffix" : "" }, { "dropping-particle" : "", "family" : "Lovic", "given" : "Vedran", "non-dropping-particle" : "", "parse-names" : false, "suffix" : "" }, { "dropping-particle" : "", "family" : "Singer", "given" : "Bryan F.", "non-dropping-particle" : "", "parse-names" : false, "suffix" : "" }, { "dropping-particle" : "", "family" : "Kennedy", "given" : "Robert T.", "non-dropping-particle" : "", "parse-names" : false, "suffix" : "" }, { "dropping-particle" : "", "family" : "Aragona", "given" : "Brandon J.", "non-dropping-particle" : "", "parse-names" : false, "suffix" : "" } ], "container-title" : "European Journal of Neuroscience", "id" : "ITEM-2", "issue" : "7", "issued" : { "date-parts" : [ [ "2014" ] ] }, "page" : "3041-3054", "title" : "Rapid dopamine transmission within the nucleus accumbens: Dramatic difference between morphine and oxycodone delivery", "type" : "article-journal", "volume" : "40" }, "uris" : [ "http://www.mendeley.com/documents/?uuid=27509b70-6d97-4af2-a1fa-de7e9c3a0a9a" ] }, { "id" : "ITEM-3", "itemData" : { "DOI" : "10.7554/eLife.15325", "ISBN" : "2050-084X", "ISSN" : "2050084X", "abstract" : "Prairie vole breeder pairs form monogamous pair bonds, which are maintained through the expression of selective aggression toward novel conspecifics. Here, we utilize behavioral and anatomical techniques to extend the current understanding of neural mechanisms that mediate pair bond maintenance. For both sexes, we show that pair bonding up-regulates mRNA expression for genes encoding D1-like dopamine (DA) receptors and dynorphin as well as enhances stimulated DA release within the nucleus accumbens (NAc). We next show that D1-like receptor regulation of selective aggression is mediated through downstream activation of kappa-opioid receptors (KORs) and that activation of these receptors mediates social avoidance. Finally, we also identified sex-specific alterations in KOR binding density within the NAc shell of paired males and demonstrate that this alteration contributes to the neuroprotective effect of pair bonding against drug reward. Together, these findings suggest motivational and valence processing systems interact to mediate the maintenance of social bonds.", "author" : [ { "dropping-particle" : "", "family" : "Resendez", "given" : "Shanna L.", "non-dropping-particle" : "", "parse-names" : false, "suffix" : "" }, { "dropping-particle" : "", "family" : "Keyes", "given" : "Piper C.", "non-dropping-particle" : "", "parse-names" : false, "suffix" : "" }, { "dropping-particle" : "", "family" : "Day", "given" : "Jeremy J.", "non-dropping-particle" : "", "parse-names" : false, "suffix" : "" }, { "dropping-particle" : "", "family" : "Hambro", "given" : "Caely", "non-dropping-particle" : "", "parse-names" : false, "suffix" : "" }, { "dropping-particle" : "", "family" : "Austin", "given" : "Curtis J.", "non-dropping-particle" : "", "parse-names" : false, "suffix" : "" }, { "dropping-particle" : "", "family" : "Maina", "given" : "Francis K.", "non-dropping-particle" : "", "parse-names" : false, "suffix" : "" }, { "dropping-particle" : "", "family" : "Eidson", "given" : "Lori N.", "non-dropping-particle" : "", "parse-names" : false, "suffix" : "" }, { "dropping-particle" : "", "family" : "Porter-Stransky", "given" : "Kirsten A.", "non-dropping-particle" : "", "parse-names" : false, "suffix" : "" }, { "dropping-particle" : "", "family" : "Nevarez", "given" : "Natalie", "non-dropping-particle" : "", "parse-names" : false, "suffix" : "" }, { "dropping-particle" : "", "family" : "McLean", "given" : "J. William", "non-dropping-particle" : "", "parse-names" : false, "suffix" : "" }, { "dropping-particle" : "", "family" : "Kuhnmuench", "given" : "Morgan A.", "non-dropping-particle" : "", "parse-names" : false, "suffix" : "" }, { "dropping-particle" : "", "family" : "Murphy", "given" : "Anne Z.", "non-dropping-particle" : "", "parse-names" : false, "suffix" : "" }, { "dropping-particle" : "", "family" : "Mathews", "given" : "Tiffany A.", "non-dropping-particle" : "", "parse-names" : false, "suffix" : "" }, { "dropping-particle" : "", "family" : "Aragona", "given" : "Brandon J.", "non-dropping-particle" : "", "parse-names" : false, "suffix" : "" } ], "container-title" : "eLife", "id" : "ITEM-3", "issue" : "JULY", "issued" : { "date-parts" : [ [ "2016" ] ] }, "title" : "Dopamine and opioid systems interact within the nucleus accumbens to maintain monogamous pair bonds", "type" : "article-journal", "volume" : "5" }, "uris" : [ "http://www.mendeley.com/documents/?uuid=27d0688c-e5d5-48e4-8bea-a2bfe3842163" ] }, { "id" : "ITEM-4", "itemData" : { "DOI" : "10.1111/adb.12410", "ISSN" : "13691600", "PMID" : "27193165", "abstract" : "Recent evidence suggests that the trace amine-associated receptor 1 (TAAR1) plays a pivotal role in the regulation of dopamine (DA) transmission and psychostimulant action. Several selective TAAR1 agonists have previously shown efficacy in models of cocaine addiction. However, the effects of TAAR1 activation on methamphetamine (METH)-induced behaviours are less well understood, as indeed are the underlying neurochemical mechanisms mediating potential interactions between TAAR1 and METH. Here, in a progressive ratio schedule of reinforcement the partial TAAR1 agonist, RO5263397, reduced the break-point for METH self-administration, while significantly increasing responding maintained by food reward. Following self-administration and extinction training, RO5263397 completely blocked METH-primed reinstatement of METH seeking. Moreover, when used as a substitute, unlike a low dose of METH, which sustained vigorous responding when substituting for the training dose of METH, RO5263397 was not self-administered at any dose, thus exhibiting no apparent abuse liability. Fast-scan cyclic voltammetry experiments showed that RO5263397 prevented METH-induced DA overflow in slices of the nucleus accumbens, while having no effect on DA transmission in its own right. Collectively, the present observations demonstrate that partial TAAR1 activation decreases the motivation to self-administer METH, blocks METH-primed reinstatement of METH seeking and prevents METH-induced DA elevations in the nucleus accumbens, and strongly support the candidacy of TAAR1-based medications as potential substitute treatment in METH addiction.", "author" : [ { "dropping-particle" : "", "family" : "Pei", "given" : "Yue", "non-dropping-particle" : "", "parse-names" : false, "suffix" : "" }, { "dropping-particle" : "", "family" : "Asif-Malik", "given" : "Aman", "non-dropping-particle" : "", "parse-names" : false, "suffix" : "" }, { "dropping-particle" : "", "family" : "Hoener", "given" : "Marius", "non-dropping-particle" : "", "parse-names" : false, "suffix" : "" }, { "dropping-particle" : "", "family" : "Canales", "given" : "Juan J.", "non-dropping-particle" : "", "parse-names" : false, "suffix" : "" } ], "container-title" : "Addiction Biology", "id" : "ITEM-4", "issued" : { "date-parts" : [ [ "2016" ] ] }, "page" : "1-11", "title" : "A partial trace amine-associated receptor 1 agonist exhibits properties consistent with a methamphetamine substitution treatment", "type" : "article-journal" }, "uris" : [ "http://www.mendeley.com/documents/?uuid=a3580bb5-0744-4a95-9451-66a98623e5b3" ] } ], "mendeley" : { "formattedCitation" : "(Badrinarayan et al., 2012; Vander Weele et al., 2014; Pei et al., 2016; Resendez et al., 2016)", "plainTextFormattedCitation" : "(Badrinarayan et al., 2012; Vander Weele et al., 2014; Pei et al., 2016; Resendez et al., 2016)", "previouslyFormattedCitation" : "(Badrinarayan et al., 2012; Vander Weele et al., 2014; Pei et al., 2016; Resendez et al., 2016)" }, "properties" : { "noteIndex" : 0 }, "schema" : "https://github.com/citation-style-language/schema/raw/master/csl-citation.json" }</w:instrText>
      </w:r>
      <w:r w:rsidR="00BE23CF">
        <w:fldChar w:fldCharType="separate"/>
      </w:r>
      <w:r w:rsidR="0092561C" w:rsidRPr="0092561C">
        <w:rPr>
          <w:noProof/>
        </w:rPr>
        <w:t>(Badrinarayan et al., 2012; Vander Weele et al., 2014; Pei et al., 2016; Resendez et al., 2016)</w:t>
      </w:r>
      <w:r w:rsidR="00BE23CF">
        <w:fldChar w:fldCharType="end"/>
      </w:r>
      <w:r>
        <w:t xml:space="preserve">. However, since its initial introduction, we have made several alterations to the design and operation of the cell, which make it accessible for a wider population of end-users. In particular, this has involved adapting the flow cell so that users working with bare electrodes (i.e. electrodes not housed in </w:t>
      </w:r>
      <w:r w:rsidRPr="00D852C1">
        <w:rPr>
          <w:i/>
        </w:rPr>
        <w:t>in vivo</w:t>
      </w:r>
      <w:r>
        <w:t xml:space="preserve"> micromanipulators) are able to use it. As these processes were not included in the original paper</w:t>
      </w:r>
      <w:r w:rsidR="00BE23CF">
        <w:t xml:space="preserve"> </w:t>
      </w:r>
      <w:r w:rsidR="00BE23CF">
        <w:fldChar w:fldCharType="begin" w:fldLock="1"/>
      </w:r>
      <w:r w:rsidR="0092561C">
        <w:instrText>ADDIN CSL_CITATION { "citationItems" : [ { "id" : "ITEM-1", "itemData" : { "DOI" : "10.1039/c2lc40168a", "ISSN" : "1473-0189", "PMID" : "22522908", "abstract" : "Fast-scan cyclic voltammetry (FSCV) is a common analytical electrochemistry tool used to measure chemical species. It has recently been adapted for measurement of neurotransmitters such as dopamine in awake and behaving animals (in vivo). Electrode calibration is an essential step in FSCV to relate observed current to concentration of a chemical species. However, existing methods require multiple components, which reduce the ease of calibrations. To this end, a microfluidic flow cell (\u03bcFC) was developed as a simple device to switch between buffer and buffer with a known concentration of the analyte of interest--in this case dopamine--in a microfluidic Y-channel. The ability to quickly switch solutions yielded electrode calibrations with faster rise times and that were more stable at peak current values. The \u03bcFC reduced the number of external electrical components and produced linear calibrations over a range of concentrations. To demonstrate this, an electrode calibrated with the \u03bcFC was used in FSCV recordings from a rat during the delivery of food reward--a stimulus that reliably evokes a brief increase in current due to the oxidation of dopamine. Using the linear calibration, dopamine concentrations were determined from the current responses evoked during the behavioral task. The \u03bcFC is able to easily and quickly calibrate FSCV electrode responses to chemical species for both in vitro and in vivo experiments.", "author" : [ { "dropping-particle" : "", "family" : "Sinkala", "given" : "Elly", "non-dropping-particle" : "", "parse-names" : false, "suffix" : "" }, { "dropping-particle" : "", "family" : "McCutcheon", "given" : "James Edgar", "non-dropping-particle" : "", "parse-names" : false, "suffix" : "" }, { "dropping-particle" : "", "family" : "Schuck", "given" : "Matthew J", "non-dropping-particle" : "", "parse-names" : false, "suffix" : "" }, { "dropping-particle" : "", "family" : "Schmidt", "given" : "Eric", "non-dropping-particle" : "", "parse-names" : false, "suffix" : "" }, { "dropping-particle" : "", "family" : "Roitman", "given" : "Mitchell F.", "non-dropping-particle" : "", "parse-names" : false, "suffix" : "" }, { "dropping-particle" : "", "family" : "Eddington", "given" : "David T", "non-dropping-particle" : "", "parse-names" : false, "suffix" : "" } ], "container-title" : "Lab Chip", "id" : "ITEM-1", "issue" : "13", "issued" : { "date-parts" : [ [ "2012", "7", "7" ] ] }, "page" : "2403-8", "title" : "Electrode calibration with a microfluidic flow cell for fast-scan cyclic voltammetry.", "type" : "article-journal", "volume" : "12" }, "uris" : [ "http://www.mendeley.com/documents/?uuid=8c2101f7-be2f-4eb9-aead-028d7ce8da41" ] } ], "mendeley" : { "formattedCitation" : "(Sinkala et al., 2012)", "plainTextFormattedCitation" : "(Sinkala et al., 2012)", "previouslyFormattedCitation" : "(Sinkala et al., 2012)" }, "properties" : { "noteIndex" : 0 }, "schema" : "https://github.com/citation-style-language/schema/raw/master/csl-citation.json" }</w:instrText>
      </w:r>
      <w:r w:rsidR="00BE23CF">
        <w:fldChar w:fldCharType="separate"/>
      </w:r>
      <w:r w:rsidR="00BE23CF" w:rsidRPr="00BE23CF">
        <w:rPr>
          <w:noProof/>
        </w:rPr>
        <w:t>(Sinkala et al., 2012)</w:t>
      </w:r>
      <w:r w:rsidR="00BE23CF">
        <w:fldChar w:fldCharType="end"/>
      </w:r>
      <w:r>
        <w:t xml:space="preserve">, in the following document we provide an updated account detailing how to effectively set-up and use the </w:t>
      </w:r>
      <w:proofErr w:type="spellStart"/>
      <w:r>
        <w:t>Sinkala</w:t>
      </w:r>
      <w:proofErr w:type="spellEnd"/>
      <w:r>
        <w:t xml:space="preserve"> Cell.</w:t>
      </w:r>
    </w:p>
    <w:p w:rsidR="00F25121" w:rsidRDefault="00F25121" w:rsidP="004A67A0">
      <w:pPr>
        <w:pStyle w:val="Heading2"/>
      </w:pPr>
      <w:r>
        <w:t xml:space="preserve">2. Fundamentals of the </w:t>
      </w:r>
      <w:proofErr w:type="spellStart"/>
      <w:r w:rsidR="006E5DE4">
        <w:t>Sinkala</w:t>
      </w:r>
      <w:proofErr w:type="spellEnd"/>
      <w:r w:rsidR="006E5DE4">
        <w:t xml:space="preserve"> C</w:t>
      </w:r>
      <w:r>
        <w:t>ell</w:t>
      </w:r>
    </w:p>
    <w:p w:rsidR="00F25121" w:rsidRDefault="00F25121">
      <w:r>
        <w:t xml:space="preserve">The cell comprises of two parts which, when joined together using the screws, has four Luer-style openings and one smaller (1 mm) hole. The aperture through which electrodes are introduced to the cell depends on whether the electrodes to be calibrated are housed in </w:t>
      </w:r>
      <w:r w:rsidR="004574A4" w:rsidRPr="004574A4">
        <w:rPr>
          <w:i/>
        </w:rPr>
        <w:t>in vivo</w:t>
      </w:r>
      <w:r w:rsidR="004574A4">
        <w:t>-style</w:t>
      </w:r>
      <w:r>
        <w:t xml:space="preserve"> micromanipulators: electrodes in manipulators can be lowered via the smaller hole whereas electrodes not housed in manipulators are introduced via the larger hole. There are two Luer </w:t>
      </w:r>
      <w:r w:rsidR="004574A4">
        <w:t xml:space="preserve">inlet </w:t>
      </w:r>
      <w:r>
        <w:t xml:space="preserve">holes on the top </w:t>
      </w:r>
      <w:r w:rsidR="004574A4">
        <w:t xml:space="preserve">of the flow cell </w:t>
      </w:r>
      <w:r>
        <w:t xml:space="preserve">for buffer and test solution and the </w:t>
      </w:r>
      <w:r w:rsidR="004574A4">
        <w:t xml:space="preserve">single Luer </w:t>
      </w:r>
      <w:r>
        <w:t xml:space="preserve">hole on the side is an outlet. </w:t>
      </w:r>
      <w:r w:rsidR="00893777">
        <w:t xml:space="preserve">Gravity flow is the preferred method for delivering solutions to the cell. </w:t>
      </w:r>
      <w:r>
        <w:t xml:space="preserve">A reference electrode can be added either to the </w:t>
      </w:r>
      <w:r w:rsidR="004574A4">
        <w:t xml:space="preserve">Luer </w:t>
      </w:r>
      <w:r>
        <w:t xml:space="preserve">outlet on the side or the hole on the top only if it is not being used to introduce the working electrode. </w:t>
      </w:r>
    </w:p>
    <w:p w:rsidR="00F25121" w:rsidRDefault="00F25121" w:rsidP="004A67A0">
      <w:pPr>
        <w:pStyle w:val="Heading2"/>
      </w:pPr>
      <w:r>
        <w:t>3. Setting up the cell</w:t>
      </w:r>
    </w:p>
    <w:p w:rsidR="00F25121" w:rsidRPr="004A67A0" w:rsidRDefault="00F25121" w:rsidP="00BE23CF">
      <w:pPr>
        <w:pStyle w:val="Heading3"/>
      </w:pPr>
      <w:r w:rsidRPr="004A67A0">
        <w:t xml:space="preserve">3.1 </w:t>
      </w:r>
      <w:r w:rsidRPr="00BE23CF">
        <w:t>Position</w:t>
      </w:r>
      <w:r w:rsidRPr="004A67A0">
        <w:t xml:space="preserve"> of cell</w:t>
      </w:r>
    </w:p>
    <w:p w:rsidR="00893777" w:rsidRDefault="00F25121">
      <w:r>
        <w:t>The cell</w:t>
      </w:r>
      <w:r w:rsidR="00893777">
        <w:t xml:space="preserve"> should be placed in a container that is larger than the cell and approximately the same depth as the cell’s height. A deep petri dish or pipette box lid works well. The cell needs to be fairly secure so that it and the dish will not easily move during operation. Options </w:t>
      </w:r>
      <w:r w:rsidR="004574A4">
        <w:t xml:space="preserve">for securing the cell </w:t>
      </w:r>
      <w:r w:rsidR="00893777">
        <w:t xml:space="preserve">include fixing magnets to the cell with super glue and performing experiments on a magnetic surface </w:t>
      </w:r>
      <w:r w:rsidR="004A67A0">
        <w:t>or using putty/Blu</w:t>
      </w:r>
      <w:r w:rsidR="00893777">
        <w:t xml:space="preserve">tak. </w:t>
      </w:r>
    </w:p>
    <w:p w:rsidR="00893777" w:rsidRDefault="00893777" w:rsidP="00BE23CF">
      <w:pPr>
        <w:pStyle w:val="Heading3"/>
      </w:pPr>
      <w:r>
        <w:t>3.2 Delivering solutions</w:t>
      </w:r>
    </w:p>
    <w:p w:rsidR="00F25121" w:rsidRDefault="00893777">
      <w:r>
        <w:t>Syringes (</w:t>
      </w:r>
      <w:r w:rsidR="004C78D0">
        <w:t xml:space="preserve">Luer-Lock </w:t>
      </w:r>
      <w:r>
        <w:t>60 mL) with plungers removed and elevated approximately 50 cm above the cell are used to deliver solutions.</w:t>
      </w:r>
      <w:r w:rsidR="004574A4">
        <w:t xml:space="preserve"> </w:t>
      </w:r>
      <w:r w:rsidR="004C78D0">
        <w:t>To elevate syringes, w</w:t>
      </w:r>
      <w:r w:rsidR="004574A4">
        <w:t xml:space="preserve">e have used either retort stands or a </w:t>
      </w:r>
      <w:r w:rsidR="004C78D0">
        <w:t>centrifuge</w:t>
      </w:r>
      <w:r w:rsidR="004574A4">
        <w:t xml:space="preserve"> tube holder fixed to a shelf</w:t>
      </w:r>
      <w:r w:rsidR="004C78D0">
        <w:t xml:space="preserve"> (e.g. VWR, </w:t>
      </w:r>
      <w:hyperlink r:id="rId9" w:history="1">
        <w:r w:rsidR="004C78D0" w:rsidRPr="004C78D0">
          <w:rPr>
            <w:rStyle w:val="Hyperlink"/>
          </w:rPr>
          <w:t>#60916-101</w:t>
        </w:r>
      </w:hyperlink>
      <w:r w:rsidR="004C78D0">
        <w:t>)</w:t>
      </w:r>
      <w:r w:rsidR="004574A4">
        <w:t>.</w:t>
      </w:r>
      <w:r>
        <w:t xml:space="preserve"> Intravenous</w:t>
      </w:r>
      <w:r w:rsidR="004C78D0">
        <w:t>-</w:t>
      </w:r>
      <w:r>
        <w:t xml:space="preserve">style </w:t>
      </w:r>
      <w:r w:rsidR="004C78D0">
        <w:t xml:space="preserve">(IV) </w:t>
      </w:r>
      <w:r>
        <w:t>regulators are used to control flow</w:t>
      </w:r>
      <w:r w:rsidR="004574A4">
        <w:t xml:space="preserve"> of solutions</w:t>
      </w:r>
      <w:r>
        <w:t>.</w:t>
      </w:r>
      <w:r w:rsidR="004A67A0">
        <w:t xml:space="preserve"> </w:t>
      </w:r>
      <w:r w:rsidR="004C78D0">
        <w:t xml:space="preserve">One-way </w:t>
      </w:r>
      <w:r w:rsidR="004A67A0">
        <w:t xml:space="preserve">Stopcocks should be attached to the syringes and to the inlet ports on the flow cell. Tubing (e.g. </w:t>
      </w:r>
      <w:proofErr w:type="spellStart"/>
      <w:r w:rsidR="004A67A0">
        <w:t>Tygon</w:t>
      </w:r>
      <w:proofErr w:type="spellEnd"/>
      <w:r w:rsidR="004574A4">
        <w:t xml:space="preserve"> R6303, ID, </w:t>
      </w:r>
      <w:proofErr w:type="gramStart"/>
      <w:r w:rsidR="004574A4">
        <w:t>OD</w:t>
      </w:r>
      <w:proofErr w:type="gramEnd"/>
      <w:r w:rsidR="004A67A0">
        <w:t xml:space="preserve">) should connect these together via the IV-style regulator. Additional Luer </w:t>
      </w:r>
      <w:r w:rsidR="004C78D0">
        <w:t>fittings</w:t>
      </w:r>
      <w:r w:rsidR="004A67A0">
        <w:t xml:space="preserve"> will be required to make connections</w:t>
      </w:r>
      <w:r w:rsidR="004C78D0">
        <w:t xml:space="preserve"> (e.g. male Luer fittings for 1/16” ID tubing, WPI, </w:t>
      </w:r>
      <w:hyperlink r:id="rId10" w:history="1">
        <w:r w:rsidR="004C78D0" w:rsidRPr="004C78D0">
          <w:rPr>
            <w:rStyle w:val="Hyperlink"/>
          </w:rPr>
          <w:t>#13160</w:t>
        </w:r>
      </w:hyperlink>
      <w:r w:rsidR="004C78D0">
        <w:t>)</w:t>
      </w:r>
      <w:r w:rsidR="004A67A0">
        <w:t>.</w:t>
      </w:r>
    </w:p>
    <w:p w:rsidR="00F25121" w:rsidRDefault="00893777" w:rsidP="00BE23CF">
      <w:pPr>
        <w:pStyle w:val="Heading3"/>
      </w:pPr>
      <w:r>
        <w:t>3.3 Introducing electrodes</w:t>
      </w:r>
    </w:p>
    <w:p w:rsidR="006E5DE4" w:rsidRPr="006E5DE4" w:rsidRDefault="006E5DE4" w:rsidP="006E5DE4">
      <w:r>
        <w:lastRenderedPageBreak/>
        <w:t xml:space="preserve">The process of delivering electrodes differs depending on the type of electrode and individuals may wish to customise the process further to suit their lab environment, work-flow etc. Thus, the following </w:t>
      </w:r>
      <w:r w:rsidR="004574A4">
        <w:t xml:space="preserve">procedures </w:t>
      </w:r>
      <w:r>
        <w:t xml:space="preserve">are intended as a guide. However, for both types of electrode it is recommended that electrodes are not introduced until after the flow cell has been primed with solution(s) (Step 9 in Section 4: Operation of the cell). </w:t>
      </w:r>
    </w:p>
    <w:p w:rsidR="00893777" w:rsidRDefault="00893777" w:rsidP="004A67A0">
      <w:pPr>
        <w:pStyle w:val="Heading4"/>
      </w:pPr>
      <w:r w:rsidRPr="004A67A0">
        <w:t>3.3.1 Manipulator-housed electrodes</w:t>
      </w:r>
    </w:p>
    <w:p w:rsidR="004A67A0" w:rsidRPr="004A67A0" w:rsidRDefault="004A67A0" w:rsidP="004A67A0">
      <w:r>
        <w:t xml:space="preserve">Many labs using voltammetry house electrodes for </w:t>
      </w:r>
      <w:r w:rsidRPr="004574A4">
        <w:rPr>
          <w:i/>
        </w:rPr>
        <w:t>in vivo</w:t>
      </w:r>
      <w:r>
        <w:t xml:space="preserve"> use micromanipulators that are designed to interface with </w:t>
      </w:r>
      <w:proofErr w:type="spellStart"/>
      <w:r>
        <w:t>BASi</w:t>
      </w:r>
      <w:proofErr w:type="spellEnd"/>
      <w:r>
        <w:t xml:space="preserve"> guide cannulas. The </w:t>
      </w:r>
      <w:proofErr w:type="spellStart"/>
      <w:r>
        <w:t>Sinkala</w:t>
      </w:r>
      <w:proofErr w:type="spellEnd"/>
      <w:r>
        <w:t xml:space="preserve"> </w:t>
      </w:r>
      <w:r w:rsidR="004574A4">
        <w:t>C</w:t>
      </w:r>
      <w:r>
        <w:t>ell was originally designed to allow these electrodes to be introduced directly into the microfluidic channel</w:t>
      </w:r>
      <w:r w:rsidR="006E5DE4">
        <w:t>. Manipulators should be prepared by recessing electrodes by three turns into the body of the manipulator</w:t>
      </w:r>
      <w:r w:rsidR="004574A4">
        <w:t>,</w:t>
      </w:r>
      <w:r w:rsidR="006E5DE4">
        <w:t xml:space="preserve"> as is usual when using manipulators for </w:t>
      </w:r>
      <w:r w:rsidR="006E5DE4" w:rsidRPr="004574A4">
        <w:rPr>
          <w:i/>
        </w:rPr>
        <w:t>in vivo</w:t>
      </w:r>
      <w:r w:rsidR="006E5DE4">
        <w:t xml:space="preserve"> experiments. The manipulator is then inserted into the ‘key’ on the top of the flow cell above the small ho</w:t>
      </w:r>
      <w:r w:rsidR="004574A4">
        <w:t>l</w:t>
      </w:r>
      <w:r w:rsidR="006E5DE4">
        <w:t xml:space="preserve">e. The electrode is then lowered via the manipulator until it is in the channel. The exact number of turns should be determined by the user as it will differ for each </w:t>
      </w:r>
      <w:r w:rsidR="004574A4">
        <w:t xml:space="preserve">individual </w:t>
      </w:r>
      <w:r w:rsidR="006E5DE4">
        <w:t>flow cell due to small differences in the</w:t>
      </w:r>
      <w:r w:rsidR="004574A4">
        <w:t>ir</w:t>
      </w:r>
      <w:r w:rsidR="006E5DE4">
        <w:t xml:space="preserve"> height</w:t>
      </w:r>
      <w:r w:rsidR="004574A4">
        <w:t>. The number of turns</w:t>
      </w:r>
      <w:r w:rsidR="006E5DE4">
        <w:t xml:space="preserve"> can be determined in two ways: (</w:t>
      </w:r>
      <w:proofErr w:type="spellStart"/>
      <w:r w:rsidR="006E5DE4">
        <w:t>i</w:t>
      </w:r>
      <w:proofErr w:type="spellEnd"/>
      <w:r w:rsidR="006E5DE4">
        <w:t xml:space="preserve">) by introducing the electrode into the top block of the </w:t>
      </w:r>
      <w:r w:rsidR="00C639EC">
        <w:t>disassembled</w:t>
      </w:r>
      <w:r w:rsidR="006E5DE4">
        <w:t xml:space="preserve"> flow cell and counting </w:t>
      </w:r>
      <w:r w:rsidR="00C639EC">
        <w:t>the nu</w:t>
      </w:r>
      <w:r w:rsidR="006E5DE4">
        <w:t xml:space="preserve">mber of turns before the electrode emerges from the </w:t>
      </w:r>
      <w:r w:rsidR="00C639EC">
        <w:t xml:space="preserve">small hole; or (ii) counting the turns before an electrode is deliberately broken by driving the electrode into the bottom of the channel. Importantly, the kinetics of the response detected by the electrode (i.e. rise and fall) rely critically on the electrode being </w:t>
      </w:r>
      <w:r w:rsidR="004574A4">
        <w:t xml:space="preserve">fully </w:t>
      </w:r>
      <w:r w:rsidR="00C639EC">
        <w:t>inserted into the channel; slow onset and offset of responses are often fixed by advancing the electrode.</w:t>
      </w:r>
    </w:p>
    <w:p w:rsidR="00893777" w:rsidRDefault="00893777" w:rsidP="004A67A0">
      <w:pPr>
        <w:pStyle w:val="Heading4"/>
      </w:pPr>
      <w:r>
        <w:t>3.3.2 Bare, non-housed, electrodes</w:t>
      </w:r>
    </w:p>
    <w:p w:rsidR="00893777" w:rsidRDefault="00893777">
      <w:r>
        <w:t xml:space="preserve">Bare electrodes are introduced via the large Luer-style opening near the side outlet hole. Electrodes need to be held securely in a way that allows </w:t>
      </w:r>
      <w:r w:rsidR="004A67A0">
        <w:t xml:space="preserve">fine control in the vertical axis. Options include a stereotaxic frame, a patch-clamp style micromanipulator, or a custom solution. In </w:t>
      </w:r>
      <w:r w:rsidR="004C78D0">
        <w:t>Appendix II</w:t>
      </w:r>
      <w:r w:rsidR="004A67A0">
        <w:t>, we outline the custom solution that we have devised that uses parts</w:t>
      </w:r>
      <w:r w:rsidR="00C639EC">
        <w:t xml:space="preserve"> readily available from Thor Labs and </w:t>
      </w:r>
      <w:proofErr w:type="spellStart"/>
      <w:r w:rsidR="00C639EC">
        <w:t>Narishige</w:t>
      </w:r>
      <w:proofErr w:type="spellEnd"/>
      <w:r w:rsidR="004A67A0">
        <w:t>.</w:t>
      </w:r>
    </w:p>
    <w:p w:rsidR="00C639EC" w:rsidRDefault="00E76650">
      <w:r>
        <w:t>Electrodes held in a manipulator should be lowered into the large opening. Once a signal is detected</w:t>
      </w:r>
      <w:r w:rsidR="004C78D0">
        <w:t xml:space="preserve"> on the recording apparatus</w:t>
      </w:r>
      <w:r>
        <w:t xml:space="preserve">, </w:t>
      </w:r>
      <w:r w:rsidR="004C78D0">
        <w:t>signify</w:t>
      </w:r>
      <w:r>
        <w:t xml:space="preserve">ing that the electrode is in contact with solution, electrodes should be advanced a set distance to aid in replicability. </w:t>
      </w:r>
      <w:r w:rsidR="004C78D0">
        <w:t>For example, w</w:t>
      </w:r>
      <w:r>
        <w:t xml:space="preserve">ith our custom manipulator, </w:t>
      </w:r>
      <w:r w:rsidR="004C78D0">
        <w:t>we advance electrodes a further three turns,</w:t>
      </w:r>
      <w:r>
        <w:t xml:space="preserve"> but </w:t>
      </w:r>
      <w:r w:rsidR="004C78D0">
        <w:t>individuals</w:t>
      </w:r>
      <w:r>
        <w:t xml:space="preserve"> may wish to determine their own procedure.</w:t>
      </w:r>
    </w:p>
    <w:p w:rsidR="00364C56" w:rsidRDefault="00364C56" w:rsidP="004C78D0">
      <w:pPr>
        <w:pStyle w:val="Heading3"/>
      </w:pPr>
      <w:r>
        <w:t>3.4 Reference electrode</w:t>
      </w:r>
    </w:p>
    <w:p w:rsidR="00185138" w:rsidRDefault="00185138">
      <w:r>
        <w:t>A reference electrode is constructed from a gold pin, a length of s</w:t>
      </w:r>
      <w:r w:rsidR="0005338B">
        <w:t>il</w:t>
      </w:r>
      <w:bookmarkStart w:id="0" w:name="_GoBack"/>
      <w:bookmarkEnd w:id="0"/>
      <w:r>
        <w:t xml:space="preserve">ver wire (Sigma) and a Luer fitting. The Luer fitting is cut away with a scalpel, which allows solution to flow past when the reference is plugged into the side outlet port. After construction the silver wire should be cut to correct length and </w:t>
      </w:r>
      <w:proofErr w:type="spellStart"/>
      <w:r>
        <w:t>chlorided</w:t>
      </w:r>
      <w:proofErr w:type="spellEnd"/>
      <w:r>
        <w:t xml:space="preserve">, for example, using a 9 V battery and 1 M </w:t>
      </w:r>
      <w:proofErr w:type="spellStart"/>
      <w:r>
        <w:t>HCl</w:t>
      </w:r>
      <w:proofErr w:type="spellEnd"/>
      <w:r>
        <w:t>.</w:t>
      </w:r>
    </w:p>
    <w:p w:rsidR="00893777" w:rsidRDefault="00364C56" w:rsidP="004C78D0">
      <w:pPr>
        <w:pStyle w:val="Heading3"/>
      </w:pPr>
      <w:r>
        <w:t>3.5</w:t>
      </w:r>
      <w:r w:rsidR="004A67A0">
        <w:t xml:space="preserve"> Additional equipment</w:t>
      </w:r>
    </w:p>
    <w:p w:rsidR="00185138" w:rsidRDefault="004C78D0">
      <w:r>
        <w:t>A 60 mL s</w:t>
      </w:r>
      <w:r w:rsidR="00185138">
        <w:t xml:space="preserve">yringe attached to length of tubing </w:t>
      </w:r>
      <w:r>
        <w:t>is useful for removing excess solution from the petri dish as it fills up and from the solution reservoirs if they requiring changing.</w:t>
      </w:r>
    </w:p>
    <w:p w:rsidR="004A67A0" w:rsidRDefault="00364C56" w:rsidP="004C78D0">
      <w:pPr>
        <w:pStyle w:val="Heading3"/>
      </w:pPr>
      <w:r>
        <w:t>3.6</w:t>
      </w:r>
      <w:r w:rsidR="004A67A0">
        <w:t xml:space="preserve"> Solutions</w:t>
      </w:r>
    </w:p>
    <w:p w:rsidR="00354F3E" w:rsidRDefault="004C78D0">
      <w:r>
        <w:t>One consideration is that b</w:t>
      </w:r>
      <w:r w:rsidR="00354F3E">
        <w:t xml:space="preserve">uffer solution used will affect the electrochemical responses recorded in flow cell. For example, oxidation peak for dopamine changes from ~+0.54 V to ~+0.62 V when calibrated in phosphate buffered saline vs. </w:t>
      </w:r>
      <w:proofErr w:type="spellStart"/>
      <w:r w:rsidR="00354F3E">
        <w:t>aCSF</w:t>
      </w:r>
      <w:proofErr w:type="spellEnd"/>
      <w:r w:rsidR="00354F3E">
        <w:t xml:space="preserve">. </w:t>
      </w:r>
    </w:p>
    <w:p w:rsidR="00354F3E" w:rsidRDefault="00354F3E">
      <w:r>
        <w:lastRenderedPageBreak/>
        <w:t>An</w:t>
      </w:r>
      <w:r w:rsidR="004C78D0">
        <w:t>other</w:t>
      </w:r>
      <w:r>
        <w:t xml:space="preserve"> important consideration is that temperature changes will have large effects on electrode responses therefore it is essential that buffer and </w:t>
      </w:r>
      <w:proofErr w:type="spellStart"/>
      <w:r>
        <w:t>analyte</w:t>
      </w:r>
      <w:proofErr w:type="spellEnd"/>
      <w:r>
        <w:t xml:space="preserve"> solutions are</w:t>
      </w:r>
      <w:r w:rsidR="004C78D0">
        <w:t xml:space="preserve"> applied at</w:t>
      </w:r>
      <w:r>
        <w:t xml:space="preserve"> identical temperatures. For this reason, we keep buffer solution at room temperature, which is why no sugars are included.</w:t>
      </w:r>
      <w:r w:rsidRPr="00354F3E">
        <w:t xml:space="preserve"> </w:t>
      </w:r>
      <w:r>
        <w:t xml:space="preserve">We use an </w:t>
      </w:r>
      <w:proofErr w:type="spellStart"/>
      <w:r>
        <w:t>aCSF</w:t>
      </w:r>
      <w:proofErr w:type="spellEnd"/>
      <w:r>
        <w:t xml:space="preserve"> recipe with the following constituents (note the lack of glucose): in </w:t>
      </w:r>
      <w:proofErr w:type="spellStart"/>
      <w:r>
        <w:t>mM</w:t>
      </w:r>
      <w:proofErr w:type="spellEnd"/>
      <w:r>
        <w:t xml:space="preserve">, </w:t>
      </w:r>
      <w:r w:rsidR="004574A4">
        <w:t>125</w:t>
      </w:r>
      <w:r>
        <w:t xml:space="preserve"> </w:t>
      </w:r>
      <w:proofErr w:type="spellStart"/>
      <w:r>
        <w:t>NaCl</w:t>
      </w:r>
      <w:proofErr w:type="spellEnd"/>
      <w:r>
        <w:t xml:space="preserve">, </w:t>
      </w:r>
      <w:r w:rsidR="004574A4">
        <w:t>4</w:t>
      </w:r>
      <w:r>
        <w:t xml:space="preserve"> </w:t>
      </w:r>
      <w:proofErr w:type="spellStart"/>
      <w:r>
        <w:t>KCl</w:t>
      </w:r>
      <w:proofErr w:type="spellEnd"/>
      <w:r>
        <w:t xml:space="preserve">, </w:t>
      </w:r>
      <w:r w:rsidR="004574A4">
        <w:t>1.3</w:t>
      </w:r>
      <w:r>
        <w:t xml:space="preserve"> CaCl</w:t>
      </w:r>
      <w:r w:rsidRPr="004574A4">
        <w:rPr>
          <w:vertAlign w:val="subscript"/>
        </w:rPr>
        <w:t>2</w:t>
      </w:r>
      <w:r>
        <w:t xml:space="preserve">, </w:t>
      </w:r>
      <w:r w:rsidR="004574A4">
        <w:t>1</w:t>
      </w:r>
      <w:r>
        <w:t xml:space="preserve"> MgCl</w:t>
      </w:r>
      <w:r w:rsidRPr="004574A4">
        <w:rPr>
          <w:vertAlign w:val="subscript"/>
        </w:rPr>
        <w:t>2</w:t>
      </w:r>
      <w:r>
        <w:t xml:space="preserve">, </w:t>
      </w:r>
      <w:r w:rsidR="004574A4">
        <w:t>2</w:t>
      </w:r>
      <w:r>
        <w:t xml:space="preserve"> Na</w:t>
      </w:r>
      <w:r w:rsidRPr="004574A4">
        <w:rPr>
          <w:vertAlign w:val="subscript"/>
        </w:rPr>
        <w:t>2</w:t>
      </w:r>
      <w:r>
        <w:t>HPO</w:t>
      </w:r>
      <w:r w:rsidRPr="004574A4">
        <w:rPr>
          <w:vertAlign w:val="subscript"/>
        </w:rPr>
        <w:t>4</w:t>
      </w:r>
      <w:r w:rsidR="004574A4">
        <w:t xml:space="preserve">, </w:t>
      </w:r>
      <w:proofErr w:type="gramStart"/>
      <w:r w:rsidR="004574A4">
        <w:t>0.66</w:t>
      </w:r>
      <w:proofErr w:type="gramEnd"/>
      <w:r w:rsidR="004574A4">
        <w:t xml:space="preserve"> NaH</w:t>
      </w:r>
      <w:r w:rsidR="004574A4" w:rsidRPr="004574A4">
        <w:rPr>
          <w:vertAlign w:val="subscript"/>
        </w:rPr>
        <w:t>2</w:t>
      </w:r>
      <w:r w:rsidR="004574A4">
        <w:t>PO</w:t>
      </w:r>
      <w:r w:rsidR="004574A4" w:rsidRPr="004574A4">
        <w:rPr>
          <w:vertAlign w:val="subscript"/>
        </w:rPr>
        <w:t>4</w:t>
      </w:r>
      <w:r>
        <w:t>.</w:t>
      </w:r>
      <w:r w:rsidR="00210E75">
        <w:t xml:space="preserve"> Additional instructions are included in Appendix III.</w:t>
      </w:r>
    </w:p>
    <w:p w:rsidR="00354F3E" w:rsidRDefault="00185138">
      <w:r>
        <w:t xml:space="preserve">Dopamine, which is the most common </w:t>
      </w:r>
      <w:proofErr w:type="spellStart"/>
      <w:r>
        <w:t>analyte</w:t>
      </w:r>
      <w:proofErr w:type="spellEnd"/>
      <w:r>
        <w:t xml:space="preserve"> we test, </w:t>
      </w:r>
      <w:r w:rsidR="004C78D0">
        <w:t xml:space="preserve">degrades in solution due to oxidation, which can lead </w:t>
      </w:r>
      <w:r>
        <w:t xml:space="preserve">to </w:t>
      </w:r>
      <w:r w:rsidR="0092561C">
        <w:t>poor calibrations</w:t>
      </w:r>
      <w:r>
        <w:t>. We therefore adhere to the following policy. A fresh 10 </w:t>
      </w:r>
      <w:proofErr w:type="spellStart"/>
      <w:r>
        <w:t>mM</w:t>
      </w:r>
      <w:proofErr w:type="spellEnd"/>
      <w:r>
        <w:t xml:space="preserve"> dopamine hydrochloride stock (in dH</w:t>
      </w:r>
      <w:r w:rsidRPr="00BE23CF">
        <w:rPr>
          <w:vertAlign w:val="subscript"/>
        </w:rPr>
        <w:t>2</w:t>
      </w:r>
      <w:r>
        <w:t>O) is made up fresh daily and kept at 4</w:t>
      </w:r>
      <w:r w:rsidR="00BE23CF">
        <w:t>°</w:t>
      </w:r>
      <w:r>
        <w:t>C until required. Dilutions of this stock in buffer (e.g. 1 </w:t>
      </w:r>
      <w:r w:rsidR="00BE23CF">
        <w:t>µ</w:t>
      </w:r>
      <w:r>
        <w:t xml:space="preserve">M and lower) are made up and used in the flow cell for no longer than 1 h. Dopamine stocks that have been frozen have yielded poor results in our hands. </w:t>
      </w:r>
    </w:p>
    <w:p w:rsidR="00F25121" w:rsidRDefault="00F25121" w:rsidP="004A67A0">
      <w:pPr>
        <w:pStyle w:val="Heading2"/>
      </w:pPr>
      <w:r>
        <w:t>4. Operation of the cell</w:t>
      </w:r>
    </w:p>
    <w:p w:rsidR="00F25121" w:rsidRDefault="004A67A0" w:rsidP="00364C56">
      <w:pPr>
        <w:pStyle w:val="ListParagraph"/>
        <w:numPr>
          <w:ilvl w:val="0"/>
          <w:numId w:val="1"/>
        </w:numPr>
      </w:pPr>
      <w:r>
        <w:t xml:space="preserve">With stopcocks closed, </w:t>
      </w:r>
      <w:r w:rsidR="00364C56">
        <w:t>add</w:t>
      </w:r>
      <w:r>
        <w:t xml:space="preserve"> </w:t>
      </w:r>
      <w:r w:rsidR="00364C56">
        <w:t xml:space="preserve">~50 mL to syringes: </w:t>
      </w:r>
      <w:r>
        <w:t xml:space="preserve">buffer (syringe 1) and buffer + </w:t>
      </w:r>
      <w:proofErr w:type="spellStart"/>
      <w:r>
        <w:t>analyte</w:t>
      </w:r>
      <w:proofErr w:type="spellEnd"/>
      <w:r>
        <w:t xml:space="preserve"> (e.g. 1</w:t>
      </w:r>
      <w:r w:rsidR="00BE23CF">
        <w:t> µ</w:t>
      </w:r>
      <w:r>
        <w:t>M dopamine; syringe 2).</w:t>
      </w:r>
    </w:p>
    <w:p w:rsidR="00364C56" w:rsidRDefault="00364C56" w:rsidP="00364C56">
      <w:pPr>
        <w:pStyle w:val="ListParagraph"/>
        <w:numPr>
          <w:ilvl w:val="0"/>
          <w:numId w:val="1"/>
        </w:numPr>
      </w:pPr>
      <w:r>
        <w:t>Turn IV regulators attached to both syringes to maximum (‘Open’)</w:t>
      </w:r>
    </w:p>
    <w:p w:rsidR="00F25121" w:rsidRDefault="00364C56" w:rsidP="00364C56">
      <w:pPr>
        <w:pStyle w:val="ListParagraph"/>
        <w:numPr>
          <w:ilvl w:val="0"/>
          <w:numId w:val="1"/>
        </w:numPr>
      </w:pPr>
      <w:r>
        <w:t>With tubing coming from syringe 1 directed into a waste beaker, not the flow cell, open the stopcock and allow buffer to flow through tubing. Try to eliminate any bubbles and then turn IV regulator until flow is reduced to approximately 1-2 drops per second. Close stopcock.</w:t>
      </w:r>
    </w:p>
    <w:p w:rsidR="00364C56" w:rsidRDefault="00364C56" w:rsidP="00364C56">
      <w:pPr>
        <w:pStyle w:val="ListParagraph"/>
        <w:numPr>
          <w:ilvl w:val="0"/>
          <w:numId w:val="1"/>
        </w:numPr>
      </w:pPr>
      <w:r>
        <w:t xml:space="preserve">Repeat step </w:t>
      </w:r>
      <w:r w:rsidR="00354F3E">
        <w:t>3</w:t>
      </w:r>
      <w:r>
        <w:t xml:space="preserve"> with syringe 2.</w:t>
      </w:r>
    </w:p>
    <w:p w:rsidR="00364C56" w:rsidRDefault="00364C56" w:rsidP="00364C56">
      <w:pPr>
        <w:pStyle w:val="ListParagraph"/>
        <w:numPr>
          <w:ilvl w:val="0"/>
          <w:numId w:val="1"/>
        </w:numPr>
      </w:pPr>
      <w:r>
        <w:t>Open both stopcocks and by watching drops of each solution at the same time, make small adjustments of IV regulators until flow rate is equal.</w:t>
      </w:r>
    </w:p>
    <w:p w:rsidR="00364C56" w:rsidRDefault="00364C56" w:rsidP="00364C56">
      <w:pPr>
        <w:pStyle w:val="ListParagraph"/>
        <w:numPr>
          <w:ilvl w:val="0"/>
          <w:numId w:val="1"/>
        </w:numPr>
      </w:pPr>
      <w:r>
        <w:t>Close both stopcocks and plug connectors into flow cell inlets.</w:t>
      </w:r>
    </w:p>
    <w:p w:rsidR="00364C56" w:rsidRDefault="00364C56" w:rsidP="00364C56">
      <w:pPr>
        <w:pStyle w:val="ListParagraph"/>
        <w:numPr>
          <w:ilvl w:val="0"/>
          <w:numId w:val="1"/>
        </w:numPr>
      </w:pPr>
      <w:r>
        <w:t>Open both stopcocks from each syringe simultaneously. Solution should flow through the cell and out of the outlet without creating any bubbles in channel.</w:t>
      </w:r>
    </w:p>
    <w:p w:rsidR="00364C56" w:rsidRDefault="00364C56" w:rsidP="00364C56">
      <w:pPr>
        <w:pStyle w:val="ListParagraph"/>
        <w:numPr>
          <w:ilvl w:val="0"/>
          <w:numId w:val="1"/>
        </w:numPr>
      </w:pPr>
      <w:r>
        <w:t>Close stopcock from syringe 2 (</w:t>
      </w:r>
      <w:proofErr w:type="spellStart"/>
      <w:r>
        <w:t>analyte</w:t>
      </w:r>
      <w:proofErr w:type="spellEnd"/>
      <w:r>
        <w:t xml:space="preserve">) and lower flow rate of syringe 1 (buffer; </w:t>
      </w:r>
      <w:r w:rsidR="00BE23CF">
        <w:t>approx. 100 </w:t>
      </w:r>
      <w:r w:rsidR="00354F3E">
        <w:t>mL/h)</w:t>
      </w:r>
      <w:r>
        <w:t xml:space="preserve"> </w:t>
      </w:r>
    </w:p>
    <w:p w:rsidR="00364C56" w:rsidRDefault="00364C56" w:rsidP="00364C56">
      <w:pPr>
        <w:pStyle w:val="ListParagraph"/>
        <w:numPr>
          <w:ilvl w:val="0"/>
          <w:numId w:val="1"/>
        </w:numPr>
      </w:pPr>
      <w:r>
        <w:t>Working electrodes should be introduced to cell as described in Section 3.3.</w:t>
      </w:r>
    </w:p>
    <w:p w:rsidR="00364C56" w:rsidRDefault="00354F3E" w:rsidP="00364C56">
      <w:pPr>
        <w:pStyle w:val="ListParagraph"/>
        <w:numPr>
          <w:ilvl w:val="0"/>
          <w:numId w:val="1"/>
        </w:numPr>
      </w:pPr>
      <w:r>
        <w:t>Response at electrode can be tested by simultaneously turning on stopcock attached to syringe 2 (</w:t>
      </w:r>
      <w:proofErr w:type="spellStart"/>
      <w:r>
        <w:t>analyte</w:t>
      </w:r>
      <w:proofErr w:type="spellEnd"/>
      <w:r>
        <w:t>) and turning off syringe 1 (buffer).</w:t>
      </w:r>
    </w:p>
    <w:p w:rsidR="00364C56" w:rsidRDefault="00364C56">
      <w:r>
        <w:t xml:space="preserve">  </w:t>
      </w:r>
    </w:p>
    <w:p w:rsidR="00F25121" w:rsidRDefault="00F25121" w:rsidP="004A67A0">
      <w:pPr>
        <w:pStyle w:val="Heading2"/>
      </w:pPr>
      <w:r>
        <w:t>5. Troubleshooting</w:t>
      </w:r>
    </w:p>
    <w:p w:rsidR="005A2BAC" w:rsidRDefault="005A2BAC">
      <w:r>
        <w:t>The most common problems users have encountered are as follows:</w:t>
      </w:r>
    </w:p>
    <w:p w:rsidR="005A2BAC" w:rsidRDefault="005A2BAC" w:rsidP="002709E2">
      <w:pPr>
        <w:pStyle w:val="Heading3"/>
      </w:pPr>
      <w:r>
        <w:t>5.1 Solution does not flow through the Y-channel.</w:t>
      </w:r>
    </w:p>
    <w:p w:rsidR="005A2BAC" w:rsidRDefault="005A2BAC">
      <w:r>
        <w:t>Possible cause/solution: the cell is screwed together the wrong way.</w:t>
      </w:r>
    </w:p>
    <w:p w:rsidR="005A2BAC" w:rsidRDefault="005A2BAC">
      <w:r>
        <w:t>When assembling the cell, ensure that the inlets correspond to the Y of the Y channel and not the stem of the Y. If the cell is screwed together the wrong way no solution will be able to flow through the channel</w:t>
      </w:r>
      <w:r w:rsidR="002709E2">
        <w:t>.</w:t>
      </w:r>
    </w:p>
    <w:p w:rsidR="005A2BAC" w:rsidRDefault="005A2BAC" w:rsidP="002709E2">
      <w:pPr>
        <w:pStyle w:val="Heading3"/>
      </w:pPr>
      <w:r>
        <w:t>5.2 A bubble or bubbles are trapped in the channel.</w:t>
      </w:r>
    </w:p>
    <w:p w:rsidR="005A2BAC" w:rsidRDefault="005A2BAC">
      <w:r>
        <w:t>Possible cause/solution: solutions were not introduced simultaneously.</w:t>
      </w:r>
    </w:p>
    <w:p w:rsidR="005A2BAC" w:rsidRDefault="005A2BAC">
      <w:r>
        <w:t>If the flow of solutions is not started simultaneously after first equalizing their rates then it is likely a bubble will be trapped. Only solution is to take the cell apart and repeat Steps 3-7.</w:t>
      </w:r>
    </w:p>
    <w:p w:rsidR="005A2BAC" w:rsidRDefault="005A2BAC" w:rsidP="002709E2">
      <w:pPr>
        <w:pStyle w:val="Heading3"/>
      </w:pPr>
      <w:r>
        <w:lastRenderedPageBreak/>
        <w:t>5.3 Background signal fluctuates by a large amount.</w:t>
      </w:r>
    </w:p>
    <w:p w:rsidR="005A2BAC" w:rsidRDefault="005A2BAC">
      <w:r>
        <w:t>Possible cause/solution: Fluid level may be fluctuating.</w:t>
      </w:r>
    </w:p>
    <w:p w:rsidR="005A2BAC" w:rsidRDefault="005A2BAC">
      <w:r>
        <w:t xml:space="preserve">Occasionally, the level of fluid will ‘pulse’ and, if an electrode is introduced to the large outlet hole, this may cause the length of fibre exposed to the solution to change, leading to the background signal fluctuating. One option is to advance the carbon fibre. Another option is to </w:t>
      </w:r>
      <w:r w:rsidR="002709E2">
        <w:t xml:space="preserve">try to prevent the pulsing by raising the level of solution in the large dish. </w:t>
      </w:r>
    </w:p>
    <w:p w:rsidR="005A2BAC" w:rsidRDefault="002709E2" w:rsidP="002709E2">
      <w:pPr>
        <w:pStyle w:val="Heading3"/>
      </w:pPr>
      <w:r>
        <w:t xml:space="preserve">5.4 </w:t>
      </w:r>
      <w:r w:rsidR="005A2BAC">
        <w:t xml:space="preserve">Electrochemical signals are noisy and </w:t>
      </w:r>
      <w:proofErr w:type="spellStart"/>
      <w:r w:rsidR="005A2BAC">
        <w:t>analyte</w:t>
      </w:r>
      <w:proofErr w:type="spellEnd"/>
      <w:r w:rsidR="005A2BAC">
        <w:t xml:space="preserve"> does not look as expected</w:t>
      </w:r>
      <w:r>
        <w:t>.</w:t>
      </w:r>
    </w:p>
    <w:p w:rsidR="002709E2" w:rsidRDefault="002709E2">
      <w:r>
        <w:t xml:space="preserve">Possible cause/solution: check that the </w:t>
      </w:r>
      <w:proofErr w:type="spellStart"/>
      <w:r>
        <w:t>analyte</w:t>
      </w:r>
      <w:proofErr w:type="spellEnd"/>
      <w:r>
        <w:t xml:space="preserve"> made correctly.</w:t>
      </w:r>
    </w:p>
    <w:p w:rsidR="002709E2" w:rsidRDefault="002709E2">
      <w:r>
        <w:t xml:space="preserve">It is essential that the </w:t>
      </w:r>
      <w:proofErr w:type="spellStart"/>
      <w:r>
        <w:t>analyte</w:t>
      </w:r>
      <w:proofErr w:type="spellEnd"/>
      <w:r>
        <w:t xml:space="preserve"> is made up in buffer, not water.</w:t>
      </w:r>
      <w:r w:rsidRPr="002709E2">
        <w:t xml:space="preserve"> </w:t>
      </w:r>
      <w:r>
        <w:t xml:space="preserve">Accurate electrochemical detection of an </w:t>
      </w:r>
      <w:proofErr w:type="spellStart"/>
      <w:r>
        <w:t>analyte</w:t>
      </w:r>
      <w:proofErr w:type="spellEnd"/>
      <w:r>
        <w:t xml:space="preserve"> requires that the </w:t>
      </w:r>
      <w:r w:rsidRPr="001D3306">
        <w:rPr>
          <w:i/>
          <w:u w:val="single"/>
        </w:rPr>
        <w:t>only</w:t>
      </w:r>
      <w:r>
        <w:t xml:space="preserve"> difference between the two solutions being fed into the flow cell is the </w:t>
      </w:r>
      <w:proofErr w:type="spellStart"/>
      <w:r>
        <w:t>analyte</w:t>
      </w:r>
      <w:proofErr w:type="spellEnd"/>
      <w:r>
        <w:t xml:space="preserve"> of interest (e.g. dopamine). Stock solution can be made in water (e.g. 10 </w:t>
      </w:r>
      <w:proofErr w:type="spellStart"/>
      <w:r>
        <w:t>mM</w:t>
      </w:r>
      <w:proofErr w:type="spellEnd"/>
      <w:r>
        <w:t xml:space="preserve">) but all dilutions need to be made in buffer. In addition, </w:t>
      </w:r>
      <w:proofErr w:type="spellStart"/>
      <w:r>
        <w:t>analytes</w:t>
      </w:r>
      <w:proofErr w:type="spellEnd"/>
      <w:r>
        <w:t xml:space="preserve"> such as dopamine may degrade quickly.</w:t>
      </w:r>
      <w:r w:rsidRPr="002709E2">
        <w:t xml:space="preserve"> </w:t>
      </w:r>
      <w:r>
        <w:t>Ensure that stock is made daily and kept in the fridge (or on ice in the dark). Only use dilutions for 30-60 minutes before making a fresh dilution.</w:t>
      </w:r>
    </w:p>
    <w:p w:rsidR="005A2BAC" w:rsidRDefault="002709E2" w:rsidP="002709E2">
      <w:pPr>
        <w:pStyle w:val="Heading3"/>
      </w:pPr>
      <w:r>
        <w:t xml:space="preserve">5.5 </w:t>
      </w:r>
      <w:r w:rsidR="005A2BAC">
        <w:t>Electrochemical signals have slow kinetics</w:t>
      </w:r>
    </w:p>
    <w:p w:rsidR="001D3306" w:rsidRDefault="002709E2">
      <w:r>
        <w:t>Possible cause/solution: Electrode is too far from channel.</w:t>
      </w:r>
    </w:p>
    <w:p w:rsidR="002709E2" w:rsidRDefault="002709E2">
      <w:r>
        <w:t>This is more commonly a problem when electrodes are being introduced using an in vivo micromanipulator as solution flow up the small hole is minimal. Advancing the electrode should help.</w:t>
      </w:r>
    </w:p>
    <w:p w:rsidR="00F25121" w:rsidRDefault="00F25121"/>
    <w:p w:rsidR="0092561C" w:rsidRDefault="0092561C" w:rsidP="0092561C">
      <w:pPr>
        <w:pStyle w:val="Heading2"/>
      </w:pPr>
      <w:r>
        <w:t>6. References</w:t>
      </w:r>
    </w:p>
    <w:p w:rsidR="0092561C" w:rsidRPr="002709E2" w:rsidRDefault="0092561C" w:rsidP="0092561C">
      <w:pPr>
        <w:widowControl w:val="0"/>
        <w:autoSpaceDE w:val="0"/>
        <w:autoSpaceDN w:val="0"/>
        <w:adjustRightInd w:val="0"/>
        <w:spacing w:line="240" w:lineRule="auto"/>
        <w:ind w:left="480" w:hanging="480"/>
        <w:rPr>
          <w:rFonts w:cs="Arial"/>
          <w:noProof/>
          <w:szCs w:val="24"/>
        </w:rPr>
      </w:pPr>
      <w:r w:rsidRPr="002709E2">
        <w:rPr>
          <w:rFonts w:cs="Arial"/>
        </w:rPr>
        <w:fldChar w:fldCharType="begin" w:fldLock="1"/>
      </w:r>
      <w:r w:rsidRPr="002709E2">
        <w:rPr>
          <w:rFonts w:cs="Arial"/>
        </w:rPr>
        <w:instrText xml:space="preserve">ADDIN Mendeley Bibliography CSL_BIBLIOGRAPHY </w:instrText>
      </w:r>
      <w:r w:rsidRPr="002709E2">
        <w:rPr>
          <w:rFonts w:cs="Arial"/>
        </w:rPr>
        <w:fldChar w:fldCharType="separate"/>
      </w:r>
      <w:r w:rsidRPr="002709E2">
        <w:rPr>
          <w:rFonts w:cs="Arial"/>
          <w:noProof/>
          <w:szCs w:val="24"/>
        </w:rPr>
        <w:t>Badrinarayan A, Wescott SA, Vander Weele CM, Saunders BT, Couturier BE, Maren S, Aragona BJ (2012) Aversive stimuli differentially modulate real-time dopamine transmission dynamics within the nucleus accumbens core and shell. J Neurosci 32:15779–15790.</w:t>
      </w:r>
    </w:p>
    <w:p w:rsidR="0092561C" w:rsidRPr="002709E2" w:rsidRDefault="0092561C" w:rsidP="0092561C">
      <w:pPr>
        <w:widowControl w:val="0"/>
        <w:autoSpaceDE w:val="0"/>
        <w:autoSpaceDN w:val="0"/>
        <w:adjustRightInd w:val="0"/>
        <w:spacing w:line="240" w:lineRule="auto"/>
        <w:ind w:left="480" w:hanging="480"/>
        <w:rPr>
          <w:rFonts w:cs="Arial"/>
          <w:noProof/>
          <w:szCs w:val="24"/>
        </w:rPr>
      </w:pPr>
      <w:r w:rsidRPr="002709E2">
        <w:rPr>
          <w:rFonts w:cs="Arial"/>
          <w:noProof/>
          <w:szCs w:val="24"/>
        </w:rPr>
        <w:t>Pei Y, Asif-Malik A, Hoener M, Canales JJ (2016) A partial trace amine-associated receptor 1 agonist exhibits properties consistent with a methamphetamine substitution treatment. Addict Biol:1–11.</w:t>
      </w:r>
    </w:p>
    <w:p w:rsidR="0092561C" w:rsidRPr="002709E2" w:rsidRDefault="0092561C" w:rsidP="0092561C">
      <w:pPr>
        <w:widowControl w:val="0"/>
        <w:autoSpaceDE w:val="0"/>
        <w:autoSpaceDN w:val="0"/>
        <w:adjustRightInd w:val="0"/>
        <w:spacing w:line="240" w:lineRule="auto"/>
        <w:ind w:left="480" w:hanging="480"/>
        <w:rPr>
          <w:rFonts w:cs="Arial"/>
          <w:noProof/>
          <w:szCs w:val="24"/>
        </w:rPr>
      </w:pPr>
      <w:r w:rsidRPr="002709E2">
        <w:rPr>
          <w:rFonts w:cs="Arial"/>
          <w:noProof/>
          <w:szCs w:val="24"/>
        </w:rPr>
        <w:t>Resendez SL, Keyes PC, Day JJ, Hambro C, Austin CJ, Maina FK, Eidson LN, Porter-Stransky KA, Nevarez N, McLean JW, Kuhnmuench MA, Murphy AZ, Mathews TA, Aragona BJ (2016) Dopamine and opioid systems interact within the nucleus accumbens to maintain monogamous pair bonds. Elife 5.</w:t>
      </w:r>
    </w:p>
    <w:p w:rsidR="0092561C" w:rsidRPr="002709E2" w:rsidRDefault="0092561C" w:rsidP="0092561C">
      <w:pPr>
        <w:widowControl w:val="0"/>
        <w:autoSpaceDE w:val="0"/>
        <w:autoSpaceDN w:val="0"/>
        <w:adjustRightInd w:val="0"/>
        <w:spacing w:line="240" w:lineRule="auto"/>
        <w:ind w:left="480" w:hanging="480"/>
        <w:rPr>
          <w:rFonts w:cs="Arial"/>
          <w:noProof/>
          <w:szCs w:val="24"/>
        </w:rPr>
      </w:pPr>
      <w:r w:rsidRPr="002709E2">
        <w:rPr>
          <w:rFonts w:cs="Arial"/>
          <w:noProof/>
          <w:szCs w:val="24"/>
        </w:rPr>
        <w:t>Sinkala E, McCutcheon JE, Schuck MJ, Schmidt E, Roitman MF, Eddington DT (2012) Electrode calibration with a microfluidic flow cell for fast-scan cyclic voltammetry. Lab Chip 12:2403–2408.</w:t>
      </w:r>
    </w:p>
    <w:p w:rsidR="0092561C" w:rsidRPr="002709E2" w:rsidRDefault="0092561C" w:rsidP="0092561C">
      <w:pPr>
        <w:widowControl w:val="0"/>
        <w:autoSpaceDE w:val="0"/>
        <w:autoSpaceDN w:val="0"/>
        <w:adjustRightInd w:val="0"/>
        <w:spacing w:line="240" w:lineRule="auto"/>
        <w:ind w:left="480" w:hanging="480"/>
        <w:rPr>
          <w:rFonts w:cs="Arial"/>
          <w:noProof/>
        </w:rPr>
      </w:pPr>
      <w:r w:rsidRPr="002709E2">
        <w:rPr>
          <w:rFonts w:cs="Arial"/>
          <w:noProof/>
          <w:szCs w:val="24"/>
        </w:rPr>
        <w:t>Vander Weele CM, Porter-Stransky KA, Mabrouk OS, Lovic V, Singer BF, Kennedy RT, Aragona BJ (2014) Rapid dopamine transmission within the nucleus accumbens: Dramatic difference between morphine and oxycodone delivery. Eur J Neurosci 40:3041–3054.</w:t>
      </w:r>
    </w:p>
    <w:p w:rsidR="0092561C" w:rsidRDefault="0092561C" w:rsidP="0092561C">
      <w:r w:rsidRPr="002709E2">
        <w:rPr>
          <w:rFonts w:cs="Arial"/>
        </w:rPr>
        <w:fldChar w:fldCharType="end"/>
      </w:r>
    </w:p>
    <w:p w:rsidR="0092561C" w:rsidRDefault="0092561C">
      <w:r>
        <w:br w:type="page"/>
      </w:r>
    </w:p>
    <w:p w:rsidR="00210E75" w:rsidRDefault="00210E75" w:rsidP="00210E75">
      <w:pPr>
        <w:pStyle w:val="Heading1"/>
      </w:pPr>
      <w:r>
        <w:lastRenderedPageBreak/>
        <w:t>Appendix I: Custom manipulator</w:t>
      </w:r>
    </w:p>
    <w:p w:rsidR="00210E75" w:rsidRDefault="00210E75" w:rsidP="00210E75">
      <w:pPr>
        <w:pStyle w:val="Heading2"/>
      </w:pPr>
      <w:r>
        <w:t>Parts required:</w:t>
      </w:r>
    </w:p>
    <w:tbl>
      <w:tblPr>
        <w:tblStyle w:val="TableGrid"/>
        <w:tblW w:w="0" w:type="auto"/>
        <w:tblLook w:val="04A0" w:firstRow="1" w:lastRow="0" w:firstColumn="1" w:lastColumn="0" w:noHBand="0" w:noVBand="1"/>
      </w:tblPr>
      <w:tblGrid>
        <w:gridCol w:w="4928"/>
        <w:gridCol w:w="1559"/>
        <w:gridCol w:w="1615"/>
        <w:gridCol w:w="1140"/>
      </w:tblGrid>
      <w:tr w:rsidR="0005596E" w:rsidTr="0005596E">
        <w:trPr>
          <w:trHeight w:val="302"/>
        </w:trPr>
        <w:tc>
          <w:tcPr>
            <w:tcW w:w="4928" w:type="dxa"/>
          </w:tcPr>
          <w:p w:rsidR="0005596E" w:rsidRDefault="0005596E" w:rsidP="0005596E">
            <w:r>
              <w:t>Name of part (all from Thor Labs)</w:t>
            </w:r>
          </w:p>
        </w:tc>
        <w:tc>
          <w:tcPr>
            <w:tcW w:w="1559" w:type="dxa"/>
          </w:tcPr>
          <w:p w:rsidR="0005596E" w:rsidRDefault="0005596E" w:rsidP="00B75918">
            <w:r>
              <w:t>Imperial #</w:t>
            </w:r>
          </w:p>
        </w:tc>
        <w:tc>
          <w:tcPr>
            <w:tcW w:w="1615" w:type="dxa"/>
          </w:tcPr>
          <w:p w:rsidR="0005596E" w:rsidRDefault="0005596E" w:rsidP="00210E75">
            <w:r>
              <w:t>Metric #</w:t>
            </w:r>
          </w:p>
        </w:tc>
        <w:tc>
          <w:tcPr>
            <w:tcW w:w="1140" w:type="dxa"/>
          </w:tcPr>
          <w:p w:rsidR="0005596E" w:rsidRDefault="0005596E" w:rsidP="00210E75">
            <w:r>
              <w:t>Quantity</w:t>
            </w:r>
          </w:p>
        </w:tc>
      </w:tr>
      <w:tr w:rsidR="00B75918" w:rsidTr="0005596E">
        <w:tc>
          <w:tcPr>
            <w:tcW w:w="4928" w:type="dxa"/>
          </w:tcPr>
          <w:p w:rsidR="00B75918" w:rsidRDefault="00B75918" w:rsidP="0005596E">
            <w:r>
              <w:t>Heavy-Duty Magnetic Base</w:t>
            </w:r>
          </w:p>
        </w:tc>
        <w:tc>
          <w:tcPr>
            <w:tcW w:w="1559" w:type="dxa"/>
          </w:tcPr>
          <w:p w:rsidR="00B75918" w:rsidRDefault="00B75918" w:rsidP="00B75918">
            <w:r>
              <w:t xml:space="preserve">MB175 </w:t>
            </w:r>
          </w:p>
        </w:tc>
        <w:tc>
          <w:tcPr>
            <w:tcW w:w="1615" w:type="dxa"/>
          </w:tcPr>
          <w:p w:rsidR="00B75918" w:rsidRDefault="00B75918" w:rsidP="00210E75">
            <w:r>
              <w:t>MB175/M</w:t>
            </w:r>
          </w:p>
        </w:tc>
        <w:tc>
          <w:tcPr>
            <w:tcW w:w="1140" w:type="dxa"/>
          </w:tcPr>
          <w:p w:rsidR="00B75918" w:rsidRDefault="00B75918" w:rsidP="00210E75">
            <w:r>
              <w:t>1</w:t>
            </w:r>
          </w:p>
        </w:tc>
      </w:tr>
      <w:tr w:rsidR="00B75918" w:rsidTr="0005596E">
        <w:tc>
          <w:tcPr>
            <w:tcW w:w="4928" w:type="dxa"/>
          </w:tcPr>
          <w:p w:rsidR="00B75918" w:rsidRDefault="00B75918" w:rsidP="0005596E">
            <w:r w:rsidRPr="00CE2B4E">
              <w:t>Mini-Post Right-Angle Post Clamp</w:t>
            </w:r>
          </w:p>
        </w:tc>
        <w:tc>
          <w:tcPr>
            <w:tcW w:w="1559" w:type="dxa"/>
          </w:tcPr>
          <w:p w:rsidR="00B75918" w:rsidRDefault="00B75918" w:rsidP="00210E75">
            <w:r>
              <w:t>MSRA90</w:t>
            </w:r>
          </w:p>
        </w:tc>
        <w:tc>
          <w:tcPr>
            <w:tcW w:w="1615" w:type="dxa"/>
          </w:tcPr>
          <w:p w:rsidR="00B75918" w:rsidRDefault="00B75918" w:rsidP="00210E75">
            <w:r>
              <w:t>MSRA90</w:t>
            </w:r>
          </w:p>
        </w:tc>
        <w:tc>
          <w:tcPr>
            <w:tcW w:w="1140" w:type="dxa"/>
          </w:tcPr>
          <w:p w:rsidR="00B75918" w:rsidRDefault="00B75918" w:rsidP="00210E75">
            <w:r>
              <w:t>2</w:t>
            </w:r>
          </w:p>
        </w:tc>
      </w:tr>
      <w:tr w:rsidR="00B75918" w:rsidTr="0005596E">
        <w:tc>
          <w:tcPr>
            <w:tcW w:w="4928" w:type="dxa"/>
          </w:tcPr>
          <w:p w:rsidR="00B75918" w:rsidRDefault="00B75918" w:rsidP="0005596E">
            <w:r w:rsidRPr="00CE2B4E">
              <w:t>Ø1/2" Translating Post Holders</w:t>
            </w:r>
          </w:p>
        </w:tc>
        <w:tc>
          <w:tcPr>
            <w:tcW w:w="1559" w:type="dxa"/>
          </w:tcPr>
          <w:p w:rsidR="00B75918" w:rsidRDefault="00B75918" w:rsidP="00B75918">
            <w:r>
              <w:t xml:space="preserve">PH3T </w:t>
            </w:r>
          </w:p>
        </w:tc>
        <w:tc>
          <w:tcPr>
            <w:tcW w:w="1615" w:type="dxa"/>
          </w:tcPr>
          <w:p w:rsidR="00B75918" w:rsidRDefault="00B75918" w:rsidP="00210E75">
            <w:r>
              <w:t>PH3T/M</w:t>
            </w:r>
          </w:p>
        </w:tc>
        <w:tc>
          <w:tcPr>
            <w:tcW w:w="1140" w:type="dxa"/>
          </w:tcPr>
          <w:p w:rsidR="00B75918" w:rsidRDefault="00B75918" w:rsidP="00210E75">
            <w:r>
              <w:t>1</w:t>
            </w:r>
          </w:p>
        </w:tc>
      </w:tr>
      <w:tr w:rsidR="00B75918" w:rsidTr="0005596E">
        <w:tc>
          <w:tcPr>
            <w:tcW w:w="4928" w:type="dxa"/>
          </w:tcPr>
          <w:p w:rsidR="00B75918" w:rsidRDefault="00B75918" w:rsidP="0005596E">
            <w:r w:rsidRPr="00CE2B4E">
              <w:t>Ø1/2" Stainless Steel Optical Posts</w:t>
            </w:r>
          </w:p>
        </w:tc>
        <w:tc>
          <w:tcPr>
            <w:tcW w:w="1559" w:type="dxa"/>
          </w:tcPr>
          <w:p w:rsidR="00B75918" w:rsidRDefault="00B75918" w:rsidP="00B75918">
            <w:r>
              <w:t xml:space="preserve">TR1.5 </w:t>
            </w:r>
          </w:p>
        </w:tc>
        <w:tc>
          <w:tcPr>
            <w:tcW w:w="1615" w:type="dxa"/>
          </w:tcPr>
          <w:p w:rsidR="00B75918" w:rsidRDefault="00B75918" w:rsidP="00210E75">
            <w:r>
              <w:t>TR30/M</w:t>
            </w:r>
          </w:p>
        </w:tc>
        <w:tc>
          <w:tcPr>
            <w:tcW w:w="1140" w:type="dxa"/>
          </w:tcPr>
          <w:p w:rsidR="00B75918" w:rsidRDefault="00B75918" w:rsidP="00210E75">
            <w:r>
              <w:t>1</w:t>
            </w:r>
          </w:p>
        </w:tc>
      </w:tr>
      <w:tr w:rsidR="00B75918" w:rsidTr="0005596E">
        <w:tc>
          <w:tcPr>
            <w:tcW w:w="4928" w:type="dxa"/>
          </w:tcPr>
          <w:p w:rsidR="00B75918" w:rsidRDefault="00B75918" w:rsidP="0005596E">
            <w:r w:rsidRPr="00CE2B4E">
              <w:t>Mini-Series Thread Adapters</w:t>
            </w:r>
          </w:p>
        </w:tc>
        <w:tc>
          <w:tcPr>
            <w:tcW w:w="1559" w:type="dxa"/>
          </w:tcPr>
          <w:p w:rsidR="00B75918" w:rsidRDefault="00B75918" w:rsidP="00B75918">
            <w:r w:rsidRPr="00CE2B4E">
              <w:t>AP8E4E</w:t>
            </w:r>
            <w:r>
              <w:t xml:space="preserve"> </w:t>
            </w:r>
          </w:p>
        </w:tc>
        <w:tc>
          <w:tcPr>
            <w:tcW w:w="1615" w:type="dxa"/>
          </w:tcPr>
          <w:p w:rsidR="00B75918" w:rsidRDefault="00B75918" w:rsidP="00210E75">
            <w:r w:rsidRPr="00CE2B4E">
              <w:t>AP4M3M</w:t>
            </w:r>
          </w:p>
        </w:tc>
        <w:tc>
          <w:tcPr>
            <w:tcW w:w="1140" w:type="dxa"/>
          </w:tcPr>
          <w:p w:rsidR="00B75918" w:rsidRDefault="00B75918" w:rsidP="00210E75">
            <w:r>
              <w:t>1</w:t>
            </w:r>
          </w:p>
        </w:tc>
      </w:tr>
      <w:tr w:rsidR="00B75918" w:rsidTr="0005596E">
        <w:tc>
          <w:tcPr>
            <w:tcW w:w="4928" w:type="dxa"/>
          </w:tcPr>
          <w:p w:rsidR="00B75918" w:rsidRDefault="00B75918" w:rsidP="0005596E">
            <w:r w:rsidRPr="00B75918">
              <w:t>Mini-Series Ø6 mm Diameter Posts</w:t>
            </w:r>
          </w:p>
        </w:tc>
        <w:tc>
          <w:tcPr>
            <w:tcW w:w="1559" w:type="dxa"/>
          </w:tcPr>
          <w:p w:rsidR="00B75918" w:rsidRDefault="00B75918" w:rsidP="00B75918">
            <w:r w:rsidRPr="00B75918">
              <w:t>MS1.5R</w:t>
            </w:r>
            <w:r>
              <w:t xml:space="preserve"> </w:t>
            </w:r>
          </w:p>
        </w:tc>
        <w:tc>
          <w:tcPr>
            <w:tcW w:w="1615" w:type="dxa"/>
          </w:tcPr>
          <w:p w:rsidR="00B75918" w:rsidRDefault="0005596E" w:rsidP="00210E75">
            <w:r>
              <w:t>MS1.5R/M</w:t>
            </w:r>
          </w:p>
        </w:tc>
        <w:tc>
          <w:tcPr>
            <w:tcW w:w="1140" w:type="dxa"/>
          </w:tcPr>
          <w:p w:rsidR="00B75918" w:rsidRDefault="00B75918" w:rsidP="00210E75">
            <w:r>
              <w:t>1</w:t>
            </w:r>
          </w:p>
        </w:tc>
      </w:tr>
      <w:tr w:rsidR="00B75918" w:rsidTr="0005596E">
        <w:tc>
          <w:tcPr>
            <w:tcW w:w="4928" w:type="dxa"/>
          </w:tcPr>
          <w:p w:rsidR="00B75918" w:rsidRDefault="00B75918" w:rsidP="0005596E"/>
        </w:tc>
        <w:tc>
          <w:tcPr>
            <w:tcW w:w="1559" w:type="dxa"/>
          </w:tcPr>
          <w:p w:rsidR="00B75918" w:rsidRDefault="00B75918" w:rsidP="00210E75"/>
        </w:tc>
        <w:tc>
          <w:tcPr>
            <w:tcW w:w="1615" w:type="dxa"/>
          </w:tcPr>
          <w:p w:rsidR="00B75918" w:rsidRDefault="00B75918" w:rsidP="00210E75"/>
        </w:tc>
        <w:tc>
          <w:tcPr>
            <w:tcW w:w="1140" w:type="dxa"/>
          </w:tcPr>
          <w:p w:rsidR="00B75918" w:rsidRDefault="00B75918" w:rsidP="00210E75"/>
        </w:tc>
      </w:tr>
    </w:tbl>
    <w:p w:rsidR="00210E75" w:rsidRDefault="00210E75" w:rsidP="00210E75"/>
    <w:p w:rsidR="00B75918" w:rsidRDefault="00B75918" w:rsidP="00210E75">
      <w:r>
        <w:t xml:space="preserve">Missing: </w:t>
      </w:r>
      <w:r w:rsidRPr="00B75918">
        <w:t>Ø</w:t>
      </w:r>
      <w:r>
        <w:t>6 mm stainless steel rod, length = 12 cm.</w:t>
      </w:r>
    </w:p>
    <w:p w:rsidR="00B75918" w:rsidRDefault="00B75918" w:rsidP="00210E75">
      <w:r>
        <w:t>Electrode holders in this set-up are 6 mm stainless steel rods with custom attachments that allow electrodes to be held securely. For glass electrodes, we use a custom electrode holder</w:t>
      </w:r>
      <w:r w:rsidR="0005596E">
        <w:t xml:space="preserve"> made by our workshop,</w:t>
      </w:r>
      <w:r>
        <w:t xml:space="preserve"> </w:t>
      </w:r>
      <w:r w:rsidR="0005596E">
        <w:t xml:space="preserve">which is based on a part from </w:t>
      </w:r>
      <w:proofErr w:type="spellStart"/>
      <w:r w:rsidR="0005596E">
        <w:t>Narishige</w:t>
      </w:r>
      <w:proofErr w:type="spellEnd"/>
      <w:r w:rsidR="0005596E">
        <w:t xml:space="preserve"> (left)</w:t>
      </w:r>
      <w:r>
        <w:t>. For silica-based electrodes, we use a custom electrode holder made in our lab using some polyimide tubing and a socket</w:t>
      </w:r>
      <w:r w:rsidR="0005596E">
        <w:t xml:space="preserve"> (right)</w:t>
      </w:r>
      <w:r>
        <w:t>.</w:t>
      </w:r>
    </w:p>
    <w:p w:rsidR="00B75918" w:rsidRDefault="00B75918" w:rsidP="00210E75"/>
    <w:p w:rsidR="00210E75" w:rsidRDefault="00B75918">
      <w:r>
        <w:rPr>
          <w:noProof/>
          <w:lang w:eastAsia="en-GB"/>
        </w:rPr>
        <w:drawing>
          <wp:inline distT="0" distB="0" distL="0" distR="0">
            <wp:extent cx="2230376" cy="3944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0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1857" cy="3946823"/>
                    </a:xfrm>
                    <a:prstGeom prst="rect">
                      <a:avLst/>
                    </a:prstGeom>
                  </pic:spPr>
                </pic:pic>
              </a:graphicData>
            </a:graphic>
          </wp:inline>
        </w:drawing>
      </w:r>
      <w:r>
        <w:t xml:space="preserve">        </w:t>
      </w:r>
      <w:r>
        <w:rPr>
          <w:noProof/>
          <w:lang w:eastAsia="en-GB"/>
        </w:rPr>
        <w:drawing>
          <wp:inline distT="0" distB="0" distL="0" distR="0">
            <wp:extent cx="3924983" cy="2219489"/>
            <wp:effectExtent l="0" t="444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037_BURST00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924618" cy="2219282"/>
                    </a:xfrm>
                    <a:prstGeom prst="rect">
                      <a:avLst/>
                    </a:prstGeom>
                  </pic:spPr>
                </pic:pic>
              </a:graphicData>
            </a:graphic>
          </wp:inline>
        </w:drawing>
      </w:r>
    </w:p>
    <w:p w:rsidR="0005596E" w:rsidRDefault="0005596E">
      <w:pPr>
        <w:rPr>
          <w:sz w:val="28"/>
        </w:rPr>
      </w:pPr>
      <w:r>
        <w:br w:type="page"/>
      </w:r>
    </w:p>
    <w:p w:rsidR="0092561C" w:rsidRDefault="00210E75" w:rsidP="0092561C">
      <w:pPr>
        <w:pStyle w:val="Heading1"/>
      </w:pPr>
      <w:r>
        <w:lastRenderedPageBreak/>
        <w:t xml:space="preserve">Appendix </w:t>
      </w:r>
      <w:r w:rsidR="0092561C">
        <w:t>I</w:t>
      </w:r>
      <w:r>
        <w:t>I</w:t>
      </w:r>
      <w:r w:rsidR="0092561C">
        <w:t xml:space="preserve">: </w:t>
      </w:r>
      <w:r>
        <w:t>Constructing r</w:t>
      </w:r>
      <w:r w:rsidR="0092561C">
        <w:t>eference electrodes</w:t>
      </w:r>
    </w:p>
    <w:p w:rsidR="00210E75" w:rsidRDefault="00210E75" w:rsidP="00210E75">
      <w:pPr>
        <w:pStyle w:val="Heading2"/>
      </w:pPr>
      <w:r>
        <w:t>Parts required:</w:t>
      </w:r>
    </w:p>
    <w:p w:rsidR="00210E75" w:rsidRDefault="00210E75" w:rsidP="00210E75">
      <w:pPr>
        <w:pStyle w:val="ListParagraph"/>
        <w:numPr>
          <w:ilvl w:val="0"/>
          <w:numId w:val="4"/>
        </w:numPr>
      </w:pPr>
      <w:r>
        <w:t>Silver wire (#</w:t>
      </w:r>
      <w:r w:rsidRPr="000534E3">
        <w:t>327026-20G</w:t>
      </w:r>
      <w:r>
        <w:t>, Sigma)</w:t>
      </w:r>
    </w:p>
    <w:p w:rsidR="00210E75" w:rsidRDefault="00210E75" w:rsidP="00210E75">
      <w:pPr>
        <w:pStyle w:val="ListParagraph"/>
        <w:numPr>
          <w:ilvl w:val="0"/>
          <w:numId w:val="4"/>
        </w:numPr>
      </w:pPr>
      <w:r>
        <w:t>Gold pin (#</w:t>
      </w:r>
      <w:r w:rsidRPr="00762A1D">
        <w:t>82K7797</w:t>
      </w:r>
      <w:r>
        <w:t>, Newark)</w:t>
      </w:r>
    </w:p>
    <w:p w:rsidR="00210E75" w:rsidRDefault="00210E75" w:rsidP="00210E75">
      <w:pPr>
        <w:pStyle w:val="ListParagraph"/>
        <w:numPr>
          <w:ilvl w:val="0"/>
          <w:numId w:val="4"/>
        </w:numPr>
      </w:pPr>
      <w:r>
        <w:t>5 minute epoxy (</w:t>
      </w:r>
      <w:r w:rsidRPr="00762A1D">
        <w:t>NC9987160</w:t>
      </w:r>
      <w:r>
        <w:t>, Fisher)</w:t>
      </w:r>
    </w:p>
    <w:p w:rsidR="00210E75" w:rsidRDefault="00210E75" w:rsidP="00210E75">
      <w:pPr>
        <w:pStyle w:val="ListParagraph"/>
        <w:numPr>
          <w:ilvl w:val="0"/>
          <w:numId w:val="4"/>
        </w:numPr>
      </w:pPr>
      <w:r>
        <w:t>Luer fitting (</w:t>
      </w:r>
      <w:r w:rsidRPr="0064242B">
        <w:t>for 1/16" ID Tubing</w:t>
      </w:r>
      <w:r>
        <w:t>, #13160; WPI)</w:t>
      </w:r>
    </w:p>
    <w:p w:rsidR="00210E75" w:rsidRDefault="00210E75" w:rsidP="00210E75">
      <w:pPr>
        <w:pStyle w:val="ListParagraph"/>
        <w:numPr>
          <w:ilvl w:val="0"/>
          <w:numId w:val="4"/>
        </w:numPr>
      </w:pPr>
      <w:proofErr w:type="spellStart"/>
      <w:r>
        <w:t>HCl</w:t>
      </w:r>
      <w:proofErr w:type="spellEnd"/>
      <w:r>
        <w:t xml:space="preserve"> (for chlorinating)</w:t>
      </w:r>
    </w:p>
    <w:p w:rsidR="00210E75" w:rsidRDefault="00210E75" w:rsidP="00210E75">
      <w:pPr>
        <w:pStyle w:val="Heading2"/>
      </w:pPr>
      <w:r>
        <w:t>Instructions:</w:t>
      </w:r>
    </w:p>
    <w:p w:rsidR="00210E75" w:rsidRDefault="00210E75" w:rsidP="00210E75">
      <w:pPr>
        <w:pStyle w:val="ListParagraph"/>
        <w:numPr>
          <w:ilvl w:val="0"/>
          <w:numId w:val="5"/>
        </w:numPr>
      </w:pPr>
      <w:r>
        <w:t>Insert a length of silver wire (~30 mm) into a gold pin and epoxy in place.</w:t>
      </w:r>
    </w:p>
    <w:p w:rsidR="00210E75" w:rsidRDefault="00210E75" w:rsidP="00210E75">
      <w:pPr>
        <w:pStyle w:val="ListParagraph"/>
        <w:numPr>
          <w:ilvl w:val="0"/>
          <w:numId w:val="5"/>
        </w:numPr>
      </w:pPr>
      <w:r>
        <w:t>Make cut away on Luer fitting using razor blade.</w:t>
      </w:r>
    </w:p>
    <w:p w:rsidR="00210E75" w:rsidRDefault="00210E75" w:rsidP="00210E75">
      <w:pPr>
        <w:pStyle w:val="ListParagraph"/>
        <w:numPr>
          <w:ilvl w:val="0"/>
          <w:numId w:val="5"/>
        </w:numPr>
      </w:pPr>
      <w:r>
        <w:t>When dry, pass wire through small hole in Luer fitting and trim excess wire so that it does not protrude from Luer.</w:t>
      </w:r>
    </w:p>
    <w:p w:rsidR="00210E75" w:rsidRDefault="00210E75" w:rsidP="00210E75">
      <w:pPr>
        <w:pStyle w:val="ListParagraph"/>
        <w:numPr>
          <w:ilvl w:val="0"/>
          <w:numId w:val="5"/>
        </w:numPr>
      </w:pPr>
      <w:r>
        <w:t xml:space="preserve">Remove reference from Luer and chlorinate silver wire with 9 V battery and 1 M </w:t>
      </w:r>
      <w:proofErr w:type="spellStart"/>
      <w:r>
        <w:t>HCl</w:t>
      </w:r>
      <w:proofErr w:type="spellEnd"/>
      <w:r>
        <w:t>.</w:t>
      </w:r>
    </w:p>
    <w:p w:rsidR="00210E75" w:rsidRDefault="00210E75" w:rsidP="00210E75">
      <w:pPr>
        <w:pStyle w:val="ListParagraph"/>
        <w:numPr>
          <w:ilvl w:val="0"/>
          <w:numId w:val="5"/>
        </w:numPr>
      </w:pPr>
      <w:r>
        <w:t>Pass reference back through Luer fitting and epoxy in place.</w:t>
      </w:r>
    </w:p>
    <w:p w:rsidR="0092561C" w:rsidRDefault="00210E75" w:rsidP="0092561C">
      <w:r>
        <w:rPr>
          <w:noProof/>
          <w:lang w:eastAsia="en-GB"/>
        </w:rPr>
        <w:drawing>
          <wp:inline distT="0" distB="0" distL="0" distR="0" wp14:anchorId="78781365" wp14:editId="318D1416">
            <wp:extent cx="4464337" cy="251118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00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9621" cy="2514161"/>
                    </a:xfrm>
                    <a:prstGeom prst="rect">
                      <a:avLst/>
                    </a:prstGeom>
                  </pic:spPr>
                </pic:pic>
              </a:graphicData>
            </a:graphic>
          </wp:inline>
        </w:drawing>
      </w:r>
    </w:p>
    <w:p w:rsidR="0092561C" w:rsidRDefault="00210E75">
      <w:r>
        <w:rPr>
          <w:noProof/>
          <w:lang w:eastAsia="en-GB"/>
        </w:rPr>
        <w:drawing>
          <wp:inline distT="0" distB="0" distL="0" distR="0" wp14:anchorId="1AAF748E" wp14:editId="581738C3">
            <wp:extent cx="4476467" cy="25180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00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43" cy="2531273"/>
                    </a:xfrm>
                    <a:prstGeom prst="rect">
                      <a:avLst/>
                    </a:prstGeom>
                  </pic:spPr>
                </pic:pic>
              </a:graphicData>
            </a:graphic>
          </wp:inline>
        </w:drawing>
      </w:r>
      <w:r w:rsidR="0092561C">
        <w:br w:type="page"/>
      </w:r>
    </w:p>
    <w:p w:rsidR="00210E75" w:rsidRDefault="00210E75" w:rsidP="00210E75">
      <w:pPr>
        <w:pStyle w:val="Heading1"/>
      </w:pPr>
      <w:r>
        <w:lastRenderedPageBreak/>
        <w:t xml:space="preserve">Appendix III: </w:t>
      </w:r>
      <w:proofErr w:type="spellStart"/>
      <w:r>
        <w:t>aCSF</w:t>
      </w:r>
      <w:proofErr w:type="spellEnd"/>
    </w:p>
    <w:p w:rsidR="00210E75" w:rsidRDefault="00210E75" w:rsidP="00210E75">
      <w:pPr>
        <w:pStyle w:val="ListParagraph"/>
        <w:numPr>
          <w:ilvl w:val="0"/>
          <w:numId w:val="2"/>
        </w:numPr>
      </w:pPr>
      <w:r>
        <w:t xml:space="preserve">Make stock solution for each component except </w:t>
      </w:r>
      <w:proofErr w:type="spellStart"/>
      <w:r>
        <w:t>NaCl</w:t>
      </w:r>
      <w:proofErr w:type="spellEnd"/>
      <w:r>
        <w:t xml:space="preserve"> (e.g. 40 mL of each, keep in Falcon tubes).</w:t>
      </w:r>
    </w:p>
    <w:p w:rsidR="00210E75" w:rsidRDefault="00210E75" w:rsidP="00210E75">
      <w:pPr>
        <w:pStyle w:val="ListParagraph"/>
        <w:numPr>
          <w:ilvl w:val="0"/>
          <w:numId w:val="2"/>
        </w:numPr>
      </w:pPr>
      <w:r>
        <w:t xml:space="preserve">For 1 L of </w:t>
      </w:r>
      <w:proofErr w:type="spellStart"/>
      <w:r>
        <w:t>aCSF</w:t>
      </w:r>
      <w:proofErr w:type="spellEnd"/>
      <w:r>
        <w:t xml:space="preserve"> add </w:t>
      </w:r>
      <w:proofErr w:type="spellStart"/>
      <w:r>
        <w:t>NaCl</w:t>
      </w:r>
      <w:proofErr w:type="spellEnd"/>
      <w:r>
        <w:t xml:space="preserve"> (7.3 g) to ~900 mL dH</w:t>
      </w:r>
      <w:r w:rsidRPr="00210E75">
        <w:rPr>
          <w:vertAlign w:val="subscript"/>
        </w:rPr>
        <w:t>2</w:t>
      </w:r>
      <w:r>
        <w:t>O.</w:t>
      </w:r>
    </w:p>
    <w:p w:rsidR="00210E75" w:rsidRDefault="00210E75" w:rsidP="00210E75">
      <w:pPr>
        <w:pStyle w:val="ListParagraph"/>
        <w:numPr>
          <w:ilvl w:val="0"/>
          <w:numId w:val="2"/>
        </w:numPr>
      </w:pPr>
      <w:r>
        <w:t>Add 4 mL of each stock solution.</w:t>
      </w:r>
    </w:p>
    <w:p w:rsidR="00210E75" w:rsidRDefault="00210E75" w:rsidP="00210E75">
      <w:pPr>
        <w:pStyle w:val="ListParagraph"/>
        <w:numPr>
          <w:ilvl w:val="0"/>
          <w:numId w:val="2"/>
        </w:numPr>
      </w:pPr>
      <w:r>
        <w:t>Top up volume to 1 L with dH</w:t>
      </w:r>
      <w:r w:rsidRPr="00210E75">
        <w:rPr>
          <w:vertAlign w:val="subscript"/>
        </w:rPr>
        <w:t>2</w:t>
      </w:r>
      <w:r>
        <w:t>O.</w:t>
      </w:r>
    </w:p>
    <w:tbl>
      <w:tblPr>
        <w:tblStyle w:val="TableGrid"/>
        <w:tblpPr w:leftFromText="180" w:rightFromText="180" w:vertAnchor="text" w:horzAnchor="margin" w:tblpY="124"/>
        <w:tblW w:w="8315" w:type="dxa"/>
        <w:tblLook w:val="04A0" w:firstRow="1" w:lastRow="0" w:firstColumn="1" w:lastColumn="0" w:noHBand="0" w:noVBand="1"/>
      </w:tblPr>
      <w:tblGrid>
        <w:gridCol w:w="1193"/>
        <w:gridCol w:w="2940"/>
        <w:gridCol w:w="2112"/>
        <w:gridCol w:w="2070"/>
      </w:tblGrid>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p>
        </w:tc>
        <w:tc>
          <w:tcPr>
            <w:tcW w:w="2940" w:type="dxa"/>
            <w:noWrap/>
            <w:hideMark/>
          </w:tcPr>
          <w:p w:rsidR="00210E75" w:rsidRPr="0005698A" w:rsidRDefault="00210E75" w:rsidP="001703F2">
            <w:pPr>
              <w:rPr>
                <w:rFonts w:ascii="Calibri" w:eastAsia="Times New Roman" w:hAnsi="Calibri" w:cs="Times New Roman"/>
                <w:color w:val="000000"/>
              </w:rPr>
            </w:pPr>
          </w:p>
        </w:tc>
        <w:tc>
          <w:tcPr>
            <w:tcW w:w="2112"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final molarity (</w:t>
            </w:r>
            <w:proofErr w:type="spellStart"/>
            <w:r w:rsidRPr="0005698A">
              <w:rPr>
                <w:rFonts w:ascii="Calibri" w:eastAsia="Times New Roman" w:hAnsi="Calibri" w:cs="Times New Roman"/>
                <w:color w:val="000000"/>
              </w:rPr>
              <w:t>mM</w:t>
            </w:r>
            <w:proofErr w:type="spellEnd"/>
            <w:r w:rsidRPr="0005698A">
              <w:rPr>
                <w:rFonts w:ascii="Calibri" w:eastAsia="Times New Roman" w:hAnsi="Calibri" w:cs="Times New Roman"/>
                <w:color w:val="000000"/>
              </w:rPr>
              <w:t>)</w:t>
            </w:r>
          </w:p>
        </w:tc>
        <w:tc>
          <w:tcPr>
            <w:tcW w:w="207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stock molarity (M)</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proofErr w:type="spellStart"/>
            <w:r w:rsidRPr="0005698A">
              <w:rPr>
                <w:rFonts w:ascii="Calibri" w:eastAsia="Times New Roman" w:hAnsi="Calibri" w:cs="Times New Roman"/>
                <w:color w:val="000000"/>
              </w:rPr>
              <w:t>NaCl</w:t>
            </w:r>
            <w:proofErr w:type="spellEnd"/>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sodium chloride</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125</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n/a</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proofErr w:type="spellStart"/>
            <w:r w:rsidRPr="0005698A">
              <w:rPr>
                <w:rFonts w:ascii="Calibri" w:eastAsia="Times New Roman" w:hAnsi="Calibri" w:cs="Times New Roman"/>
                <w:color w:val="000000"/>
              </w:rPr>
              <w:t>KCl</w:t>
            </w:r>
            <w:proofErr w:type="spellEnd"/>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potassium chloride</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4</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1</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CaCl</w:t>
            </w:r>
            <w:r w:rsidRPr="0005698A">
              <w:rPr>
                <w:rFonts w:ascii="Calibri" w:eastAsia="Times New Roman" w:hAnsi="Calibri" w:cs="Times New Roman"/>
                <w:color w:val="000000"/>
                <w:vertAlign w:val="subscript"/>
              </w:rPr>
              <w:t>2</w:t>
            </w:r>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calcium chloride</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1.3</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0.325</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MgCl</w:t>
            </w:r>
            <w:r w:rsidRPr="0005698A">
              <w:rPr>
                <w:rFonts w:ascii="Calibri" w:eastAsia="Times New Roman" w:hAnsi="Calibri" w:cs="Times New Roman"/>
                <w:color w:val="000000"/>
                <w:vertAlign w:val="subscript"/>
              </w:rPr>
              <w:t>2</w:t>
            </w:r>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magnesium chloride</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1</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0.25</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Na</w:t>
            </w:r>
            <w:r w:rsidRPr="0005698A">
              <w:rPr>
                <w:rFonts w:ascii="Calibri" w:eastAsia="Times New Roman" w:hAnsi="Calibri" w:cs="Times New Roman"/>
                <w:color w:val="000000"/>
                <w:vertAlign w:val="subscript"/>
              </w:rPr>
              <w:t>2</w:t>
            </w:r>
            <w:r w:rsidRPr="0005698A">
              <w:rPr>
                <w:rFonts w:ascii="Calibri" w:eastAsia="Times New Roman" w:hAnsi="Calibri" w:cs="Times New Roman"/>
                <w:color w:val="000000"/>
              </w:rPr>
              <w:t>HPO</w:t>
            </w:r>
            <w:r w:rsidRPr="0005698A">
              <w:rPr>
                <w:rFonts w:ascii="Calibri" w:eastAsia="Times New Roman" w:hAnsi="Calibri" w:cs="Times New Roman"/>
                <w:color w:val="000000"/>
                <w:vertAlign w:val="subscript"/>
              </w:rPr>
              <w:t>4</w:t>
            </w:r>
            <w:r>
              <w:rPr>
                <w:rFonts w:ascii="Calibri" w:eastAsia="Times New Roman" w:hAnsi="Calibri" w:cs="Times New Roman"/>
                <w:color w:val="000000"/>
              </w:rPr>
              <w:t>*</w:t>
            </w:r>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sodium phosphate dibasic</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2</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0.5</w:t>
            </w:r>
          </w:p>
        </w:tc>
      </w:tr>
      <w:tr w:rsidR="00210E75" w:rsidRPr="0005698A" w:rsidTr="001703F2">
        <w:trPr>
          <w:trHeight w:val="300"/>
        </w:trPr>
        <w:tc>
          <w:tcPr>
            <w:tcW w:w="1193"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NaH</w:t>
            </w:r>
            <w:r w:rsidRPr="0005698A">
              <w:rPr>
                <w:rFonts w:ascii="Calibri" w:eastAsia="Times New Roman" w:hAnsi="Calibri" w:cs="Times New Roman"/>
                <w:color w:val="000000"/>
                <w:vertAlign w:val="subscript"/>
              </w:rPr>
              <w:t>2</w:t>
            </w:r>
            <w:r w:rsidRPr="0005698A">
              <w:rPr>
                <w:rFonts w:ascii="Calibri" w:eastAsia="Times New Roman" w:hAnsi="Calibri" w:cs="Times New Roman"/>
                <w:color w:val="000000"/>
              </w:rPr>
              <w:t>PO</w:t>
            </w:r>
            <w:r w:rsidRPr="0005698A">
              <w:rPr>
                <w:rFonts w:ascii="Calibri" w:eastAsia="Times New Roman" w:hAnsi="Calibri" w:cs="Times New Roman"/>
                <w:color w:val="000000"/>
                <w:vertAlign w:val="subscript"/>
              </w:rPr>
              <w:t>4</w:t>
            </w:r>
          </w:p>
        </w:tc>
        <w:tc>
          <w:tcPr>
            <w:tcW w:w="2940" w:type="dxa"/>
            <w:noWrap/>
            <w:hideMark/>
          </w:tcPr>
          <w:p w:rsidR="00210E75" w:rsidRPr="0005698A" w:rsidRDefault="00210E75" w:rsidP="001703F2">
            <w:pPr>
              <w:rPr>
                <w:rFonts w:ascii="Calibri" w:eastAsia="Times New Roman" w:hAnsi="Calibri" w:cs="Times New Roman"/>
                <w:color w:val="000000"/>
              </w:rPr>
            </w:pPr>
            <w:r w:rsidRPr="0005698A">
              <w:rPr>
                <w:rFonts w:ascii="Calibri" w:eastAsia="Times New Roman" w:hAnsi="Calibri" w:cs="Times New Roman"/>
                <w:color w:val="000000"/>
              </w:rPr>
              <w:t>sodium phosphate monobasic</w:t>
            </w:r>
          </w:p>
        </w:tc>
        <w:tc>
          <w:tcPr>
            <w:tcW w:w="2112"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0.66</w:t>
            </w:r>
          </w:p>
        </w:tc>
        <w:tc>
          <w:tcPr>
            <w:tcW w:w="2070" w:type="dxa"/>
            <w:noWrap/>
            <w:hideMark/>
          </w:tcPr>
          <w:p w:rsidR="00210E75" w:rsidRPr="0005698A" w:rsidRDefault="00210E75" w:rsidP="001703F2">
            <w:pPr>
              <w:jc w:val="right"/>
              <w:rPr>
                <w:rFonts w:ascii="Calibri" w:eastAsia="Times New Roman" w:hAnsi="Calibri" w:cs="Times New Roman"/>
                <w:color w:val="000000"/>
              </w:rPr>
            </w:pPr>
            <w:r w:rsidRPr="0005698A">
              <w:rPr>
                <w:rFonts w:ascii="Calibri" w:eastAsia="Times New Roman" w:hAnsi="Calibri" w:cs="Times New Roman"/>
                <w:color w:val="000000"/>
              </w:rPr>
              <w:t>0.165</w:t>
            </w:r>
          </w:p>
        </w:tc>
      </w:tr>
    </w:tbl>
    <w:p w:rsidR="00210E75" w:rsidRDefault="00210E75" w:rsidP="00210E75"/>
    <w:p w:rsidR="00210E75" w:rsidRDefault="00210E75" w:rsidP="00210E75"/>
    <w:p w:rsidR="00210E75" w:rsidRDefault="00210E75" w:rsidP="00210E75">
      <w:pPr>
        <w:pStyle w:val="ListParagraph"/>
        <w:ind w:left="630"/>
      </w:pPr>
    </w:p>
    <w:p w:rsidR="00210E75" w:rsidRDefault="00210E75" w:rsidP="00210E75">
      <w:pPr>
        <w:pStyle w:val="ListParagraph"/>
        <w:ind w:left="630"/>
      </w:pPr>
    </w:p>
    <w:p w:rsidR="00210E75" w:rsidRDefault="00210E75" w:rsidP="00210E75">
      <w:pPr>
        <w:pStyle w:val="ListParagraph"/>
        <w:ind w:left="630"/>
      </w:pPr>
    </w:p>
    <w:p w:rsidR="00210E75" w:rsidRDefault="00210E75" w:rsidP="00210E75">
      <w:pPr>
        <w:pStyle w:val="ListParagraph"/>
        <w:ind w:left="630"/>
      </w:pPr>
    </w:p>
    <w:p w:rsidR="00210E75" w:rsidRDefault="00210E75" w:rsidP="00210E75">
      <w:pPr>
        <w:pStyle w:val="ListParagraph"/>
        <w:ind w:left="630"/>
      </w:pPr>
    </w:p>
    <w:p w:rsidR="00210E75" w:rsidRDefault="00210E75" w:rsidP="00210E75">
      <w:pPr>
        <w:pStyle w:val="ListParagraph"/>
        <w:ind w:left="630"/>
      </w:pPr>
    </w:p>
    <w:p w:rsidR="00210E75" w:rsidRDefault="00210E75" w:rsidP="00210E75">
      <w:pPr>
        <w:pStyle w:val="ListParagraph"/>
        <w:ind w:left="630"/>
      </w:pPr>
      <w:r>
        <w:t xml:space="preserve">* </w:t>
      </w:r>
      <w:proofErr w:type="gramStart"/>
      <w:r>
        <w:t>stock</w:t>
      </w:r>
      <w:proofErr w:type="gramEnd"/>
      <w:r>
        <w:t xml:space="preserve"> cannot be kept in fridge</w:t>
      </w:r>
    </w:p>
    <w:p w:rsidR="00210E75" w:rsidRDefault="00210E75" w:rsidP="00210E75"/>
    <w:p w:rsidR="00210E75" w:rsidRDefault="00210E75" w:rsidP="00210E75">
      <w:r>
        <w:br w:type="page"/>
      </w:r>
    </w:p>
    <w:p w:rsidR="00210E75" w:rsidRDefault="00210E75"/>
    <w:sectPr w:rsidR="00210E7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DF" w:rsidRDefault="00F618DF" w:rsidP="006E5DE4">
      <w:pPr>
        <w:spacing w:after="0" w:line="240" w:lineRule="auto"/>
      </w:pPr>
      <w:r>
        <w:separator/>
      </w:r>
    </w:p>
  </w:endnote>
  <w:endnote w:type="continuationSeparator" w:id="0">
    <w:p w:rsidR="00F618DF" w:rsidRDefault="00F618DF" w:rsidP="006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24551"/>
      <w:docPartObj>
        <w:docPartGallery w:val="Page Numbers (Bottom of Page)"/>
        <w:docPartUnique/>
      </w:docPartObj>
    </w:sdtPr>
    <w:sdtEndPr>
      <w:rPr>
        <w:noProof/>
      </w:rPr>
    </w:sdtEndPr>
    <w:sdtContent>
      <w:p w:rsidR="006E5DE4" w:rsidRDefault="006E5DE4">
        <w:pPr>
          <w:pStyle w:val="Footer"/>
          <w:jc w:val="center"/>
        </w:pPr>
        <w:r>
          <w:fldChar w:fldCharType="begin"/>
        </w:r>
        <w:r>
          <w:instrText xml:space="preserve"> PAGE   \* MERGEFORMAT </w:instrText>
        </w:r>
        <w:r>
          <w:fldChar w:fldCharType="separate"/>
        </w:r>
        <w:r w:rsidR="0005338B">
          <w:rPr>
            <w:noProof/>
          </w:rPr>
          <w:t>2</w:t>
        </w:r>
        <w:r>
          <w:rPr>
            <w:noProof/>
          </w:rPr>
          <w:fldChar w:fldCharType="end"/>
        </w:r>
      </w:p>
    </w:sdtContent>
  </w:sdt>
  <w:p w:rsidR="006E5DE4" w:rsidRDefault="006E5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DF" w:rsidRDefault="00F618DF" w:rsidP="006E5DE4">
      <w:pPr>
        <w:spacing w:after="0" w:line="240" w:lineRule="auto"/>
      </w:pPr>
      <w:r>
        <w:separator/>
      </w:r>
    </w:p>
  </w:footnote>
  <w:footnote w:type="continuationSeparator" w:id="0">
    <w:p w:rsidR="00F618DF" w:rsidRDefault="00F618DF" w:rsidP="006E5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E4" w:rsidRDefault="006E5DE4" w:rsidP="006E5DE4">
    <w:pPr>
      <w:pStyle w:val="Header"/>
      <w:jc w:val="right"/>
    </w:pPr>
    <w:r>
      <w:t xml:space="preserve">Instructions for </w:t>
    </w:r>
    <w:r w:rsidR="0092561C">
      <w:t xml:space="preserve">the </w:t>
    </w:r>
    <w:proofErr w:type="spellStart"/>
    <w:r>
      <w:t>Sinkala</w:t>
    </w:r>
    <w:proofErr w:type="spellEnd"/>
    <w:r>
      <w:t xml:space="preserve"> Cell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A2B3F"/>
    <w:multiLevelType w:val="hybridMultilevel"/>
    <w:tmpl w:val="98D6B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F90177"/>
    <w:multiLevelType w:val="hybridMultilevel"/>
    <w:tmpl w:val="D3B4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0450BC"/>
    <w:multiLevelType w:val="hybridMultilevel"/>
    <w:tmpl w:val="EE9EA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9A5D5A"/>
    <w:multiLevelType w:val="hybridMultilevel"/>
    <w:tmpl w:val="1318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2C4665"/>
    <w:multiLevelType w:val="hybridMultilevel"/>
    <w:tmpl w:val="8378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21"/>
    <w:rsid w:val="0005338B"/>
    <w:rsid w:val="0005596E"/>
    <w:rsid w:val="00116098"/>
    <w:rsid w:val="001531CA"/>
    <w:rsid w:val="00185138"/>
    <w:rsid w:val="001D3306"/>
    <w:rsid w:val="00210E75"/>
    <w:rsid w:val="002709E2"/>
    <w:rsid w:val="00354F3E"/>
    <w:rsid w:val="00364C56"/>
    <w:rsid w:val="004144E7"/>
    <w:rsid w:val="004150C3"/>
    <w:rsid w:val="004574A4"/>
    <w:rsid w:val="004A67A0"/>
    <w:rsid w:val="004B779D"/>
    <w:rsid w:val="004C78D0"/>
    <w:rsid w:val="005A2BAC"/>
    <w:rsid w:val="006E5DE4"/>
    <w:rsid w:val="00763569"/>
    <w:rsid w:val="007A6083"/>
    <w:rsid w:val="007E0D7C"/>
    <w:rsid w:val="00893777"/>
    <w:rsid w:val="0092561C"/>
    <w:rsid w:val="00B75918"/>
    <w:rsid w:val="00BE23CF"/>
    <w:rsid w:val="00C639EC"/>
    <w:rsid w:val="00CE2B4E"/>
    <w:rsid w:val="00D10848"/>
    <w:rsid w:val="00D852C1"/>
    <w:rsid w:val="00E76650"/>
    <w:rsid w:val="00F25121"/>
    <w:rsid w:val="00F61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E2"/>
    <w:rPr>
      <w:rFonts w:ascii="Arial" w:hAnsi="Arial"/>
    </w:rPr>
  </w:style>
  <w:style w:type="paragraph" w:styleId="Heading1">
    <w:name w:val="heading 1"/>
    <w:basedOn w:val="Normal"/>
    <w:next w:val="Normal"/>
    <w:link w:val="Heading1Char"/>
    <w:uiPriority w:val="9"/>
    <w:qFormat/>
    <w:rsid w:val="004A67A0"/>
    <w:pPr>
      <w:outlineLvl w:val="0"/>
    </w:pPr>
    <w:rPr>
      <w:sz w:val="28"/>
    </w:rPr>
  </w:style>
  <w:style w:type="paragraph" w:styleId="Heading2">
    <w:name w:val="heading 2"/>
    <w:basedOn w:val="Normal"/>
    <w:next w:val="Normal"/>
    <w:link w:val="Heading2Char"/>
    <w:uiPriority w:val="9"/>
    <w:unhideWhenUsed/>
    <w:qFormat/>
    <w:rsid w:val="004B779D"/>
    <w:pPr>
      <w:outlineLvl w:val="1"/>
    </w:pPr>
    <w:rPr>
      <w:color w:val="4472C4" w:themeColor="accent5"/>
      <w:sz w:val="24"/>
    </w:rPr>
  </w:style>
  <w:style w:type="paragraph" w:styleId="Heading3">
    <w:name w:val="heading 3"/>
    <w:basedOn w:val="Normal"/>
    <w:next w:val="Normal"/>
    <w:link w:val="Heading3Char"/>
    <w:uiPriority w:val="9"/>
    <w:unhideWhenUsed/>
    <w:qFormat/>
    <w:rsid w:val="00BE23CF"/>
    <w:pPr>
      <w:outlineLvl w:val="2"/>
    </w:pPr>
    <w:rPr>
      <w:b/>
    </w:rPr>
  </w:style>
  <w:style w:type="paragraph" w:styleId="Heading4">
    <w:name w:val="heading 4"/>
    <w:basedOn w:val="Normal"/>
    <w:next w:val="Normal"/>
    <w:link w:val="Heading4Char"/>
    <w:uiPriority w:val="9"/>
    <w:unhideWhenUsed/>
    <w:qFormat/>
    <w:rsid w:val="004A67A0"/>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121"/>
    <w:pPr>
      <w:ind w:left="720"/>
      <w:contextualSpacing/>
    </w:pPr>
  </w:style>
  <w:style w:type="character" w:customStyle="1" w:styleId="Heading1Char">
    <w:name w:val="Heading 1 Char"/>
    <w:basedOn w:val="DefaultParagraphFont"/>
    <w:link w:val="Heading1"/>
    <w:uiPriority w:val="9"/>
    <w:rsid w:val="004A67A0"/>
    <w:rPr>
      <w:sz w:val="28"/>
    </w:rPr>
  </w:style>
  <w:style w:type="character" w:customStyle="1" w:styleId="Heading2Char">
    <w:name w:val="Heading 2 Char"/>
    <w:basedOn w:val="DefaultParagraphFont"/>
    <w:link w:val="Heading2"/>
    <w:uiPriority w:val="9"/>
    <w:rsid w:val="004B779D"/>
    <w:rPr>
      <w:rFonts w:ascii="Arial" w:hAnsi="Arial"/>
      <w:color w:val="4472C4" w:themeColor="accent5"/>
      <w:sz w:val="24"/>
    </w:rPr>
  </w:style>
  <w:style w:type="character" w:customStyle="1" w:styleId="Heading3Char">
    <w:name w:val="Heading 3 Char"/>
    <w:basedOn w:val="DefaultParagraphFont"/>
    <w:link w:val="Heading3"/>
    <w:uiPriority w:val="9"/>
    <w:rsid w:val="00BE23CF"/>
    <w:rPr>
      <w:b/>
    </w:rPr>
  </w:style>
  <w:style w:type="character" w:customStyle="1" w:styleId="Heading4Char">
    <w:name w:val="Heading 4 Char"/>
    <w:basedOn w:val="DefaultParagraphFont"/>
    <w:link w:val="Heading4"/>
    <w:uiPriority w:val="9"/>
    <w:rsid w:val="004A67A0"/>
    <w:rPr>
      <w:i/>
    </w:rPr>
  </w:style>
  <w:style w:type="paragraph" w:styleId="Header">
    <w:name w:val="header"/>
    <w:basedOn w:val="Normal"/>
    <w:link w:val="HeaderChar"/>
    <w:uiPriority w:val="99"/>
    <w:unhideWhenUsed/>
    <w:rsid w:val="006E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DE4"/>
  </w:style>
  <w:style w:type="paragraph" w:styleId="Footer">
    <w:name w:val="footer"/>
    <w:basedOn w:val="Normal"/>
    <w:link w:val="FooterChar"/>
    <w:uiPriority w:val="99"/>
    <w:unhideWhenUsed/>
    <w:rsid w:val="006E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DE4"/>
  </w:style>
  <w:style w:type="character" w:styleId="Hyperlink">
    <w:name w:val="Hyperlink"/>
    <w:basedOn w:val="DefaultParagraphFont"/>
    <w:uiPriority w:val="99"/>
    <w:unhideWhenUsed/>
    <w:rsid w:val="004C78D0"/>
    <w:rPr>
      <w:color w:val="0563C1" w:themeColor="hyperlink"/>
      <w:u w:val="single"/>
    </w:rPr>
  </w:style>
  <w:style w:type="table" w:styleId="TableGrid">
    <w:name w:val="Table Grid"/>
    <w:basedOn w:val="TableNormal"/>
    <w:uiPriority w:val="59"/>
    <w:rsid w:val="00210E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9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E2"/>
    <w:rPr>
      <w:rFonts w:ascii="Arial" w:hAnsi="Arial"/>
    </w:rPr>
  </w:style>
  <w:style w:type="paragraph" w:styleId="Heading1">
    <w:name w:val="heading 1"/>
    <w:basedOn w:val="Normal"/>
    <w:next w:val="Normal"/>
    <w:link w:val="Heading1Char"/>
    <w:uiPriority w:val="9"/>
    <w:qFormat/>
    <w:rsid w:val="004A67A0"/>
    <w:pPr>
      <w:outlineLvl w:val="0"/>
    </w:pPr>
    <w:rPr>
      <w:sz w:val="28"/>
    </w:rPr>
  </w:style>
  <w:style w:type="paragraph" w:styleId="Heading2">
    <w:name w:val="heading 2"/>
    <w:basedOn w:val="Normal"/>
    <w:next w:val="Normal"/>
    <w:link w:val="Heading2Char"/>
    <w:uiPriority w:val="9"/>
    <w:unhideWhenUsed/>
    <w:qFormat/>
    <w:rsid w:val="004B779D"/>
    <w:pPr>
      <w:outlineLvl w:val="1"/>
    </w:pPr>
    <w:rPr>
      <w:color w:val="4472C4" w:themeColor="accent5"/>
      <w:sz w:val="24"/>
    </w:rPr>
  </w:style>
  <w:style w:type="paragraph" w:styleId="Heading3">
    <w:name w:val="heading 3"/>
    <w:basedOn w:val="Normal"/>
    <w:next w:val="Normal"/>
    <w:link w:val="Heading3Char"/>
    <w:uiPriority w:val="9"/>
    <w:unhideWhenUsed/>
    <w:qFormat/>
    <w:rsid w:val="00BE23CF"/>
    <w:pPr>
      <w:outlineLvl w:val="2"/>
    </w:pPr>
    <w:rPr>
      <w:b/>
    </w:rPr>
  </w:style>
  <w:style w:type="paragraph" w:styleId="Heading4">
    <w:name w:val="heading 4"/>
    <w:basedOn w:val="Normal"/>
    <w:next w:val="Normal"/>
    <w:link w:val="Heading4Char"/>
    <w:uiPriority w:val="9"/>
    <w:unhideWhenUsed/>
    <w:qFormat/>
    <w:rsid w:val="004A67A0"/>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121"/>
    <w:pPr>
      <w:ind w:left="720"/>
      <w:contextualSpacing/>
    </w:pPr>
  </w:style>
  <w:style w:type="character" w:customStyle="1" w:styleId="Heading1Char">
    <w:name w:val="Heading 1 Char"/>
    <w:basedOn w:val="DefaultParagraphFont"/>
    <w:link w:val="Heading1"/>
    <w:uiPriority w:val="9"/>
    <w:rsid w:val="004A67A0"/>
    <w:rPr>
      <w:sz w:val="28"/>
    </w:rPr>
  </w:style>
  <w:style w:type="character" w:customStyle="1" w:styleId="Heading2Char">
    <w:name w:val="Heading 2 Char"/>
    <w:basedOn w:val="DefaultParagraphFont"/>
    <w:link w:val="Heading2"/>
    <w:uiPriority w:val="9"/>
    <w:rsid w:val="004B779D"/>
    <w:rPr>
      <w:rFonts w:ascii="Arial" w:hAnsi="Arial"/>
      <w:color w:val="4472C4" w:themeColor="accent5"/>
      <w:sz w:val="24"/>
    </w:rPr>
  </w:style>
  <w:style w:type="character" w:customStyle="1" w:styleId="Heading3Char">
    <w:name w:val="Heading 3 Char"/>
    <w:basedOn w:val="DefaultParagraphFont"/>
    <w:link w:val="Heading3"/>
    <w:uiPriority w:val="9"/>
    <w:rsid w:val="00BE23CF"/>
    <w:rPr>
      <w:b/>
    </w:rPr>
  </w:style>
  <w:style w:type="character" w:customStyle="1" w:styleId="Heading4Char">
    <w:name w:val="Heading 4 Char"/>
    <w:basedOn w:val="DefaultParagraphFont"/>
    <w:link w:val="Heading4"/>
    <w:uiPriority w:val="9"/>
    <w:rsid w:val="004A67A0"/>
    <w:rPr>
      <w:i/>
    </w:rPr>
  </w:style>
  <w:style w:type="paragraph" w:styleId="Header">
    <w:name w:val="header"/>
    <w:basedOn w:val="Normal"/>
    <w:link w:val="HeaderChar"/>
    <w:uiPriority w:val="99"/>
    <w:unhideWhenUsed/>
    <w:rsid w:val="006E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DE4"/>
  </w:style>
  <w:style w:type="paragraph" w:styleId="Footer">
    <w:name w:val="footer"/>
    <w:basedOn w:val="Normal"/>
    <w:link w:val="FooterChar"/>
    <w:uiPriority w:val="99"/>
    <w:unhideWhenUsed/>
    <w:rsid w:val="006E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DE4"/>
  </w:style>
  <w:style w:type="character" w:styleId="Hyperlink">
    <w:name w:val="Hyperlink"/>
    <w:basedOn w:val="DefaultParagraphFont"/>
    <w:uiPriority w:val="99"/>
    <w:unhideWhenUsed/>
    <w:rsid w:val="004C78D0"/>
    <w:rPr>
      <w:color w:val="0563C1" w:themeColor="hyperlink"/>
      <w:u w:val="single"/>
    </w:rPr>
  </w:style>
  <w:style w:type="table" w:styleId="TableGrid">
    <w:name w:val="Table Grid"/>
    <w:basedOn w:val="TableNormal"/>
    <w:uiPriority w:val="59"/>
    <w:rsid w:val="00210E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868">
      <w:bodyDiv w:val="1"/>
      <w:marLeft w:val="0"/>
      <w:marRight w:val="0"/>
      <w:marTop w:val="0"/>
      <w:marBottom w:val="0"/>
      <w:divBdr>
        <w:top w:val="none" w:sz="0" w:space="0" w:color="auto"/>
        <w:left w:val="none" w:sz="0" w:space="0" w:color="auto"/>
        <w:bottom w:val="none" w:sz="0" w:space="0" w:color="auto"/>
        <w:right w:val="none" w:sz="0" w:space="0" w:color="auto"/>
      </w:divBdr>
    </w:div>
    <w:div w:id="632833777">
      <w:bodyDiv w:val="1"/>
      <w:marLeft w:val="0"/>
      <w:marRight w:val="0"/>
      <w:marTop w:val="0"/>
      <w:marBottom w:val="0"/>
      <w:divBdr>
        <w:top w:val="none" w:sz="0" w:space="0" w:color="auto"/>
        <w:left w:val="none" w:sz="0" w:space="0" w:color="auto"/>
        <w:bottom w:val="none" w:sz="0" w:space="0" w:color="auto"/>
        <w:right w:val="none" w:sz="0" w:space="0" w:color="auto"/>
      </w:divBdr>
    </w:div>
    <w:div w:id="966086797">
      <w:bodyDiv w:val="1"/>
      <w:marLeft w:val="0"/>
      <w:marRight w:val="0"/>
      <w:marTop w:val="0"/>
      <w:marBottom w:val="0"/>
      <w:divBdr>
        <w:top w:val="none" w:sz="0" w:space="0" w:color="auto"/>
        <w:left w:val="none" w:sz="0" w:space="0" w:color="auto"/>
        <w:bottom w:val="none" w:sz="0" w:space="0" w:color="auto"/>
        <w:right w:val="none" w:sz="0" w:space="0" w:color="auto"/>
      </w:divBdr>
    </w:div>
    <w:div w:id="1233007136">
      <w:bodyDiv w:val="1"/>
      <w:marLeft w:val="0"/>
      <w:marRight w:val="0"/>
      <w:marTop w:val="0"/>
      <w:marBottom w:val="0"/>
      <w:divBdr>
        <w:top w:val="none" w:sz="0" w:space="0" w:color="auto"/>
        <w:left w:val="none" w:sz="0" w:space="0" w:color="auto"/>
        <w:bottom w:val="none" w:sz="0" w:space="0" w:color="auto"/>
        <w:right w:val="none" w:sz="0" w:space="0" w:color="auto"/>
      </w:divBdr>
    </w:div>
    <w:div w:id="13279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piinc.com/products/laboratory-supplies/13160-100-male-luer-fitting-for-1-16-id-tubing/?query=%28category.ne.test%29.and.%28%28name.like.13160.or.misc0.like.13160.or.misc2.like.13160.or.misc3.like.13160.or.misc4.like.13160.or.misc5.like.13160.or.misc6.like.13160.or.misc7.like.13160.or.misc8.like.13160.or.misc9.like.13160%29%29&amp;xsearch_id=products_search_all&amp;xsearch%5b0%5d=13160&amp;back=products" TargetMode="External"/><Relationship Id="rId4" Type="http://schemas.microsoft.com/office/2007/relationships/stylesWithEffects" Target="stylesWithEffects.xml"/><Relationship Id="rId9" Type="http://schemas.openxmlformats.org/officeDocument/2006/relationships/hyperlink" Target="https://us.vwr.com/store/catalog/product.jsp?catalog_number=60916-101"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BA0CB-07A2-40A4-943D-4E83D682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LocalAdmin1</dc:creator>
  <cp:keywords/>
  <dc:description/>
  <cp:lastModifiedBy>James Rig</cp:lastModifiedBy>
  <cp:revision>12</cp:revision>
  <dcterms:created xsi:type="dcterms:W3CDTF">2017-03-27T09:39:00Z</dcterms:created>
  <dcterms:modified xsi:type="dcterms:W3CDTF">2018-06-20T12:01:00Z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b2deaa57-940e-3d5e-8f76-f85c6167bafe</vt:lpwstr>
  </property>
  <property fmtid="{D5CDD505-2E9C-101B-9397-08002B2CF9AE}" pid="24" name="Mendeley Citation Style_1">
    <vt:lpwstr>http://www.zotero.org/styles/the-journal-of-neuroscience</vt:lpwstr>
  </property>
</Properties>
</file>