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7B6009"/>
        <w:p w14:paraId="415D746A" w14:textId="77777777" w:rsidR="007B6009" w:rsidRDefault="007B6009" w:rsidP="007B6009">
          <w:pPr>
            <w:spacing w:after="160" w:line="259" w:lineRule="auto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7BAD64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5FF8" w14:textId="77777777" w:rsidR="007F274C" w:rsidRDefault="007F274C" w:rsidP="007B6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288E21" w14:textId="1C081D26" w:rsidR="007F274C" w:rsidRDefault="007F274C" w:rsidP="007B600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E14415" w14:textId="47A5B092" w:rsidR="007F274C" w:rsidRDefault="007F274C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8025FF8" w14:textId="77777777" w:rsidR="007F274C" w:rsidRDefault="007F274C" w:rsidP="007B600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288E21" w14:textId="1C081D26" w:rsidR="007F274C" w:rsidRDefault="007F274C" w:rsidP="007B600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7F274C" w:rsidRDefault="007F274C" w:rsidP="007B600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77777777" w:rsidR="007F274C" w:rsidRDefault="007F274C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77777777" w:rsidR="007F274C" w:rsidRDefault="007F274C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516193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7B6009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1F0829BF" w14:textId="71AF1310" w:rsidR="00B92326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516193" w:history="1">
            <w:r w:rsidR="00B92326" w:rsidRPr="00B93964">
              <w:rPr>
                <w:rStyle w:val="a5"/>
                <w:noProof/>
              </w:rPr>
              <w:t>Оглавление</w:t>
            </w:r>
            <w:r w:rsidR="00B92326">
              <w:rPr>
                <w:noProof/>
                <w:webHidden/>
              </w:rPr>
              <w:tab/>
            </w:r>
            <w:r w:rsidR="00B92326">
              <w:rPr>
                <w:noProof/>
                <w:webHidden/>
              </w:rPr>
              <w:fldChar w:fldCharType="begin"/>
            </w:r>
            <w:r w:rsidR="00B92326">
              <w:rPr>
                <w:noProof/>
                <w:webHidden/>
              </w:rPr>
              <w:instrText xml:space="preserve"> PAGEREF _Toc150516193 \h </w:instrText>
            </w:r>
            <w:r w:rsidR="00B92326">
              <w:rPr>
                <w:noProof/>
                <w:webHidden/>
              </w:rPr>
            </w:r>
            <w:r w:rsidR="00B92326">
              <w:rPr>
                <w:noProof/>
                <w:webHidden/>
              </w:rPr>
              <w:fldChar w:fldCharType="separate"/>
            </w:r>
            <w:r w:rsidR="00B92326">
              <w:rPr>
                <w:noProof/>
                <w:webHidden/>
              </w:rPr>
              <w:t>1</w:t>
            </w:r>
            <w:r w:rsidR="00B92326">
              <w:rPr>
                <w:noProof/>
                <w:webHidden/>
              </w:rPr>
              <w:fldChar w:fldCharType="end"/>
            </w:r>
          </w:hyperlink>
        </w:p>
        <w:p w14:paraId="1736437B" w14:textId="0E301304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4" w:history="1">
            <w:r w:rsidRPr="00B93964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76EA" w14:textId="55AD76FD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5" w:history="1">
            <w:r w:rsidRPr="00B9396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AF72" w14:textId="3E68B195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6" w:history="1">
            <w:r w:rsidRPr="00B93964">
              <w:rPr>
                <w:rStyle w:val="a5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8A59" w14:textId="50CF663C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7" w:history="1">
            <w:r w:rsidRPr="00B93964">
              <w:rPr>
                <w:rStyle w:val="a5"/>
                <w:noProof/>
              </w:rPr>
              <w:t>Глава 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3B52" w14:textId="10663922" w:rsidR="00B92326" w:rsidRDefault="00B923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8" w:history="1">
            <w:r w:rsidRPr="00B93964">
              <w:rPr>
                <w:rStyle w:val="a5"/>
                <w:noProof/>
              </w:rPr>
              <w:t>Раздел 2.1.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7B1A" w14:textId="36869C73" w:rsidR="00B92326" w:rsidRDefault="00B923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199" w:history="1">
            <w:r w:rsidRPr="00B93964">
              <w:rPr>
                <w:rStyle w:val="a5"/>
                <w:noProof/>
              </w:rPr>
              <w:t>Раздел 2.2.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64C5" w14:textId="59EF0E9A" w:rsidR="00B92326" w:rsidRDefault="00B923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0" w:history="1">
            <w:r w:rsidRPr="00B93964">
              <w:rPr>
                <w:rStyle w:val="a5"/>
                <w:noProof/>
              </w:rPr>
              <w:t>Раздел 2.3. Анализ п</w:t>
            </w:r>
            <w:r w:rsidRPr="00B93964">
              <w:rPr>
                <w:rStyle w:val="a5"/>
                <w:noProof/>
              </w:rPr>
              <w:t>р</w:t>
            </w:r>
            <w:r w:rsidRPr="00B93964">
              <w:rPr>
                <w:rStyle w:val="a5"/>
                <w:noProof/>
              </w:rPr>
              <w:t>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A89E" w14:textId="24449B48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1" w:history="1">
            <w:r w:rsidRPr="00B93964">
              <w:rPr>
                <w:rStyle w:val="a5"/>
                <w:noProof/>
              </w:rPr>
              <w:t>Глава 3. 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8114" w14:textId="65A030F6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2" w:history="1">
            <w:r w:rsidRPr="00B93964">
              <w:rPr>
                <w:rStyle w:val="a5"/>
                <w:noProof/>
              </w:rPr>
              <w:t>Глава 4. 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A146" w14:textId="69E86FDC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3" w:history="1">
            <w:r w:rsidRPr="00B93964">
              <w:rPr>
                <w:rStyle w:val="a5"/>
                <w:noProof/>
              </w:rPr>
              <w:t>Глава 5.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DF6F" w14:textId="1712C067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4" w:history="1">
            <w:r w:rsidRPr="00B9396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7979" w14:textId="278955AA" w:rsidR="00B92326" w:rsidRDefault="00B923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5" w:history="1">
            <w:r w:rsidRPr="00B93964">
              <w:rPr>
                <w:rStyle w:val="a5"/>
                <w:noProof/>
              </w:rPr>
              <w:t>Оценка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C9C1" w14:textId="788D3B54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6" w:history="1">
            <w:r w:rsidRPr="00B9396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F729" w14:textId="0FAD5D5A" w:rsidR="00B92326" w:rsidRDefault="00B92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516207" w:history="1">
            <w:r w:rsidRPr="00B93964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A2E" w14:textId="25C55986" w:rsidR="007B6009" w:rsidRDefault="007B6009" w:rsidP="007B6009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7B6009"/>
    <w:p w14:paraId="63482B0F" w14:textId="25D55237" w:rsidR="007B6009" w:rsidRDefault="007B6009" w:rsidP="00832A71">
      <w:pPr>
        <w:pStyle w:val="1"/>
        <w:numPr>
          <w:ilvl w:val="0"/>
          <w:numId w:val="0"/>
        </w:numPr>
        <w:jc w:val="center"/>
      </w:pPr>
      <w:bookmarkStart w:id="1" w:name="_Toc150516194"/>
      <w:r>
        <w:lastRenderedPageBreak/>
        <w:t>Реферат</w:t>
      </w:r>
      <w:bookmarkEnd w:id="1"/>
    </w:p>
    <w:p w14:paraId="03BFD3E3" w14:textId="62BD31ED" w:rsidR="00832A71" w:rsidRDefault="00832A71" w:rsidP="00832A71">
      <w:r>
        <w:t>Отчет по практике на тему:</w:t>
      </w:r>
    </w:p>
    <w:p w14:paraId="0F314DDB" w14:textId="35C1AD24" w:rsidR="00832A71" w:rsidRDefault="00832A71" w:rsidP="00832A71">
      <w:r>
        <w:t>Автор: Каспшицкий Алексей Александрович</w:t>
      </w:r>
    </w:p>
    <w:p w14:paraId="621C0735" w14:textId="4DE79A61" w:rsidR="00832A71" w:rsidRDefault="00832A71" w:rsidP="00832A71">
      <w:r>
        <w:t>Работа включает:</w:t>
      </w:r>
    </w:p>
    <w:p w14:paraId="6E658A58" w14:textId="06C4EFEA" w:rsidR="00832A71" w:rsidRDefault="00832A71" w:rsidP="00832A71">
      <w:r>
        <w:t>Ключевые слова:</w:t>
      </w:r>
    </w:p>
    <w:p w14:paraId="4C349636" w14:textId="09D103F9" w:rsidR="00832A71" w:rsidRDefault="00832A71" w:rsidP="00832A71">
      <w:r>
        <w:t>Цель работы:</w:t>
      </w:r>
    </w:p>
    <w:p w14:paraId="32921936" w14:textId="547A9BB1" w:rsidR="00832A71" w:rsidRPr="00832A71" w:rsidRDefault="00832A71" w:rsidP="00832A71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AD7C4C">
      <w:pPr>
        <w:pStyle w:val="1"/>
        <w:numPr>
          <w:ilvl w:val="0"/>
          <w:numId w:val="0"/>
        </w:numPr>
        <w:ind w:left="360"/>
        <w:jc w:val="center"/>
      </w:pPr>
      <w:bookmarkStart w:id="2" w:name="_Toc150516195"/>
      <w:r>
        <w:lastRenderedPageBreak/>
        <w:t>Введение</w:t>
      </w:r>
      <w:bookmarkEnd w:id="2"/>
    </w:p>
    <w:p w14:paraId="750EE98C" w14:textId="05F62380" w:rsidR="00832A71" w:rsidRPr="00A41A8D" w:rsidRDefault="00A55AC9" w:rsidP="00832A71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5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21180BC6" w:rsidR="00265CB6" w:rsidRDefault="00832A71" w:rsidP="0000436E">
      <w:pPr>
        <w:ind w:firstLine="360"/>
        <w:jc w:val="both"/>
      </w:pPr>
      <w:r w:rsidRPr="00A41A8D">
        <w:rPr>
          <w:color w:val="000000" w:themeColor="text1"/>
        </w:rPr>
        <w:t>В описании объекта закупки требуется, что бы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265CB6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7D43AE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265CB6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265CB6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265CB6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00436E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2DF56CA7" w:rsidR="007D43AE" w:rsidRDefault="007D43AE" w:rsidP="0000436E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A41A8D">
        <w:t xml:space="preserve">№1 - </w:t>
      </w:r>
      <w:r w:rsidR="00A41A8D" w:rsidRPr="007D43AE">
        <w:t>оформлени</w:t>
      </w:r>
      <w:r w:rsidR="00A41A8D">
        <w:t>е</w:t>
      </w:r>
      <w:r w:rsidR="00A41A8D" w:rsidRPr="007D43AE">
        <w:t xml:space="preserve"> права пользования лесным участком отдела учета земель и организации использования лесов</w:t>
      </w:r>
      <w:r w:rsidR="00832A71">
        <w:t>.</w:t>
      </w:r>
    </w:p>
    <w:p w14:paraId="68631ABE" w14:textId="519FE93D" w:rsidR="007B6009" w:rsidRDefault="002618F3" w:rsidP="0000436E">
      <w:pPr>
        <w:spacing w:after="0" w:line="240" w:lineRule="auto"/>
      </w:pPr>
      <w:r>
        <w:br w:type="page"/>
      </w:r>
    </w:p>
    <w:p w14:paraId="4F246EA0" w14:textId="37ED5D71" w:rsidR="002618F3" w:rsidRDefault="006C2830" w:rsidP="002618F3">
      <w:pPr>
        <w:pStyle w:val="1"/>
        <w:jc w:val="center"/>
      </w:pPr>
      <w:bookmarkStart w:id="3" w:name="_Toc150516196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77777777" w:rsidR="006C2830" w:rsidRPr="00A1396A" w:rsidRDefault="006C2830" w:rsidP="006C283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25FE3B62" w14:textId="457FAF69" w:rsidR="006C2830" w:rsidRDefault="006C2830" w:rsidP="00EF4B45">
      <w:pPr>
        <w:ind w:firstLine="360"/>
        <w:jc w:val="both"/>
      </w:pPr>
      <w:r>
        <w:t xml:space="preserve">В </w:t>
      </w:r>
      <w:proofErr w:type="spellStart"/>
      <w:r>
        <w:t>ГрК</w:t>
      </w:r>
      <w:proofErr w:type="spellEnd"/>
      <w:r>
        <w:t xml:space="preserve"> РФ законодатель обозначил понятие </w:t>
      </w:r>
      <w:r w:rsidRPr="006C2830">
        <w:rPr>
          <w:b/>
        </w:rPr>
        <w:t>линейные объекты</w:t>
      </w:r>
      <w:r>
        <w:t xml:space="preserve"> путем перечисления основных видов таких объектов. В силу п. 10.1 ст. 1 </w:t>
      </w:r>
      <w:proofErr w:type="spellStart"/>
      <w:r>
        <w:t>ГрК</w:t>
      </w:r>
      <w:proofErr w:type="spellEnd"/>
      <w:r>
        <w:t xml:space="preserve"> РФ</w:t>
      </w:r>
      <w:r w:rsidRPr="006C2830">
        <w:t xml:space="preserve"> (</w:t>
      </w:r>
      <w:hyperlink r:id="rId6" w:history="1">
        <w:r w:rsidRPr="00AA0F39">
          <w:rPr>
            <w:rStyle w:val="a5"/>
          </w:rPr>
          <w:t>https://logos-pravo.ru/statya-1-grk-rf-osnovnye-ponyatiya-ispolzuemye-v-nastoyashchem-kodekse</w:t>
        </w:r>
      </w:hyperlink>
      <w:r w:rsidRPr="006C2830">
        <w:t>)</w:t>
      </w:r>
      <w:r>
        <w:t xml:space="preserve"> к линейным объектам относятся: линии электропередачи, линии связи (в том числе линейно-кабельные сооружения), трубопроводы, автомобильные дороги, железнодорожные линии, другие подобные сооружения.</w:t>
      </w:r>
    </w:p>
    <w:p w14:paraId="38942055" w14:textId="34EC5A36" w:rsidR="006C2830" w:rsidRPr="006C2830" w:rsidRDefault="006C2830" w:rsidP="00EF4B45">
      <w:pPr>
        <w:ind w:firstLine="360"/>
        <w:jc w:val="both"/>
        <w:rPr>
          <w:color w:val="000000" w:themeColor="text1"/>
        </w:rPr>
      </w:pPr>
      <w:r w:rsidRPr="006C2830">
        <w:rPr>
          <w:b/>
          <w:color w:val="000000" w:themeColor="text1"/>
        </w:rPr>
        <w:t>Сервитут</w:t>
      </w:r>
      <w:r w:rsidRPr="006C2830">
        <w:rPr>
          <w:color w:val="000000" w:themeColor="text1"/>
        </w:rPr>
        <w:t xml:space="preserve"> – это право на ограниченное использование чужого недвижимого имущества в частных или общественных целях (проход, проезд, проведение коммуникаций и пр.) без нарушения и</w:t>
      </w:r>
      <w:r>
        <w:rPr>
          <w:color w:val="000000" w:themeColor="text1"/>
        </w:rPr>
        <w:t xml:space="preserve">мущественных прав собственника </w:t>
      </w:r>
      <w:r w:rsidRPr="006C2830">
        <w:rPr>
          <w:color w:val="000000" w:themeColor="text1"/>
        </w:rPr>
        <w:t>статья 23 (</w:t>
      </w:r>
      <w:hyperlink r:id="rId7" w:history="1">
        <w:r w:rsidRPr="00AA0F39">
          <w:rPr>
            <w:rStyle w:val="a5"/>
            <w:lang w:val="en-US"/>
          </w:rPr>
          <w:t>https</w:t>
        </w:r>
        <w:r w:rsidRPr="00AA0F39">
          <w:rPr>
            <w:rStyle w:val="a5"/>
          </w:rPr>
          <w:t>://</w:t>
        </w:r>
        <w:r w:rsidRPr="00AA0F39">
          <w:rPr>
            <w:rStyle w:val="a5"/>
            <w:lang w:val="en-US"/>
          </w:rPr>
          <w:t>www</w:t>
        </w:r>
        <w:r w:rsidRPr="00AA0F39">
          <w:rPr>
            <w:rStyle w:val="a5"/>
          </w:rPr>
          <w:t>.</w:t>
        </w:r>
        <w:r w:rsidRPr="00AA0F39">
          <w:rPr>
            <w:rStyle w:val="a5"/>
            <w:lang w:val="en-US"/>
          </w:rPr>
          <w:t>consultant</w:t>
        </w:r>
        <w:r w:rsidRPr="00AA0F39">
          <w:rPr>
            <w:rStyle w:val="a5"/>
          </w:rPr>
          <w:t>.</w:t>
        </w:r>
        <w:proofErr w:type="spellStart"/>
        <w:r w:rsidRPr="00AA0F39">
          <w:rPr>
            <w:rStyle w:val="a5"/>
            <w:lang w:val="en-US"/>
          </w:rPr>
          <w:t>ru</w:t>
        </w:r>
        <w:proofErr w:type="spellEnd"/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document</w:t>
        </w:r>
        <w:r w:rsidRPr="00AA0F39">
          <w:rPr>
            <w:rStyle w:val="a5"/>
          </w:rPr>
          <w:t>/</w:t>
        </w:r>
        <w:r w:rsidRPr="00AA0F39">
          <w:rPr>
            <w:rStyle w:val="a5"/>
            <w:lang w:val="en-US"/>
          </w:rPr>
          <w:t>cons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doc</w:t>
        </w:r>
        <w:r w:rsidRPr="00AA0F39">
          <w:rPr>
            <w:rStyle w:val="a5"/>
          </w:rPr>
          <w:t>_</w:t>
        </w:r>
        <w:r w:rsidRPr="00AA0F39">
          <w:rPr>
            <w:rStyle w:val="a5"/>
            <w:lang w:val="en-US"/>
          </w:rPr>
          <w:t>LAW</w:t>
        </w:r>
        <w:r w:rsidRPr="00AA0F39">
          <w:rPr>
            <w:rStyle w:val="a5"/>
          </w:rPr>
          <w:t>_33773/3</w:t>
        </w:r>
        <w:proofErr w:type="spellStart"/>
        <w:r w:rsidRPr="00AA0F39">
          <w:rPr>
            <w:rStyle w:val="a5"/>
            <w:lang w:val="en-US"/>
          </w:rPr>
          <w:t>fbb</w:t>
        </w:r>
        <w:proofErr w:type="spellEnd"/>
        <w:r w:rsidRPr="00AA0F39">
          <w:rPr>
            <w:rStyle w:val="a5"/>
          </w:rPr>
          <w:t>2872451363579</w:t>
        </w:r>
        <w:r w:rsidRPr="00AA0F39">
          <w:rPr>
            <w:rStyle w:val="a5"/>
            <w:lang w:val="en-US"/>
          </w:rPr>
          <w:t>e</w:t>
        </w:r>
        <w:r w:rsidRPr="00AA0F39">
          <w:rPr>
            <w:rStyle w:val="a5"/>
          </w:rPr>
          <w:t>7694966</w:t>
        </w:r>
        <w:r w:rsidRPr="00AA0F39">
          <w:rPr>
            <w:rStyle w:val="a5"/>
            <w:lang w:val="en-US"/>
          </w:rPr>
          <w:t>a</w:t>
        </w:r>
        <w:r w:rsidRPr="00AA0F39">
          <w:rPr>
            <w:rStyle w:val="a5"/>
          </w:rPr>
          <w:t>367224</w:t>
        </w:r>
        <w:r w:rsidRPr="00AA0F39">
          <w:rPr>
            <w:rStyle w:val="a5"/>
            <w:lang w:val="en-US"/>
          </w:rPr>
          <w:t>be</w:t>
        </w:r>
        <w:r w:rsidRPr="00AA0F39">
          <w:rPr>
            <w:rStyle w:val="a5"/>
          </w:rPr>
          <w:t>284102/</w:t>
        </w:r>
      </w:hyperlink>
      <w:r w:rsidRPr="006C2830">
        <w:rPr>
          <w:color w:val="000000" w:themeColor="text1"/>
        </w:rPr>
        <w:t>) Земельного кодекса РФ.</w:t>
      </w:r>
    </w:p>
    <w:p w14:paraId="315AA249" w14:textId="1592B504" w:rsidR="00B05938" w:rsidRDefault="00B05938" w:rsidP="00EF4B45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8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C2830">
        <w:rPr>
          <w:b/>
        </w:rPr>
        <w:t>самостоятельно государственный аппарат не может</w:t>
      </w:r>
      <w:r w:rsidRPr="00B05938">
        <w:t xml:space="preserve"> и для этого передает их субъектам РФ (ст. 83 ЛК РФ</w:t>
      </w:r>
      <w:r w:rsidR="00893A2B">
        <w:t xml:space="preserve">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участки, если леса находятся на территории земель иных категорий.</w:t>
      </w:r>
    </w:p>
    <w:p w14:paraId="5C0D9F94" w14:textId="0A79B131" w:rsidR="006C2830" w:rsidRPr="006C2830" w:rsidRDefault="006C2830" w:rsidP="00EF4B45">
      <w:pPr>
        <w:ind w:firstLine="360"/>
        <w:jc w:val="both"/>
      </w:pPr>
      <w:r>
        <w:lastRenderedPageBreak/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2635E662" w14:textId="77777777" w:rsidR="00A1396A" w:rsidRDefault="00A1396A" w:rsidP="00EF4B45">
      <w:pPr>
        <w:ind w:firstLine="360"/>
        <w:jc w:val="both"/>
      </w:pPr>
      <w:r>
        <w:t>При оформлении права пользования лесным участком выполняются следующие административные процедуры:</w:t>
      </w:r>
    </w:p>
    <w:p w14:paraId="7CD40AD9" w14:textId="77777777" w:rsidR="00A1396A" w:rsidRDefault="00A1396A" w:rsidP="00EF4B45">
      <w:pPr>
        <w:jc w:val="both"/>
      </w:pPr>
      <w:r>
        <w:t>1.</w:t>
      </w:r>
      <w:r>
        <w:tab/>
        <w:t xml:space="preserve">Рассмотрение проектной документации: </w:t>
      </w:r>
    </w:p>
    <w:p w14:paraId="6DB13172" w14:textId="77777777" w:rsidR="00A1396A" w:rsidRDefault="00A1396A" w:rsidP="00EF4B45">
      <w:pPr>
        <w:ind w:left="708"/>
        <w:jc w:val="both"/>
      </w:pPr>
      <w:r>
        <w:t>•</w:t>
      </w:r>
      <w:r>
        <w:tab/>
        <w:t>для строительства линейных объектов: направление заявителю решения о согласовании либо об отказе в согласовании проекта планировки территории и проекта межевания территории;</w:t>
      </w:r>
    </w:p>
    <w:p w14:paraId="41C2E41D" w14:textId="77777777" w:rsidR="00A1396A" w:rsidRDefault="00A1396A" w:rsidP="00EF4B45">
      <w:pPr>
        <w:ind w:left="708"/>
        <w:jc w:val="both"/>
      </w:pPr>
      <w:r>
        <w:t>•</w:t>
      </w:r>
      <w:r>
        <w:tab/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6CB6168E" w14:textId="77777777" w:rsidR="00A1396A" w:rsidRDefault="00A1396A" w:rsidP="00EF4B45">
      <w:pPr>
        <w:jc w:val="both"/>
      </w:pPr>
      <w:r>
        <w:t>2.</w:t>
      </w:r>
      <w:r>
        <w:tab/>
        <w:t>Прием и регистрация заявления на предварительное согласование лесного участка;</w:t>
      </w:r>
    </w:p>
    <w:p w14:paraId="208C469D" w14:textId="77777777" w:rsidR="00A1396A" w:rsidRDefault="00A1396A" w:rsidP="00EF4B45">
      <w:pPr>
        <w:jc w:val="both"/>
      </w:pPr>
      <w:r>
        <w:t>3.</w:t>
      </w:r>
      <w:r>
        <w:tab/>
        <w:t>Принятие решения о предварительном согласовании либо отказ в предварительном согласовании лесного участка;</w:t>
      </w:r>
    </w:p>
    <w:p w14:paraId="407DC6C8" w14:textId="77777777" w:rsidR="00A1396A" w:rsidRDefault="00A1396A" w:rsidP="00EF4B45">
      <w:pPr>
        <w:jc w:val="both"/>
      </w:pPr>
      <w:r>
        <w:t>4.</w:t>
      </w:r>
      <w:r>
        <w:tab/>
        <w:t>Прием и регистрация заявления о предоставлении в пределах земель лесного фонда лесного участка в пользование;</w:t>
      </w:r>
    </w:p>
    <w:p w14:paraId="343FC704" w14:textId="77777777" w:rsidR="00A1396A" w:rsidRDefault="00A1396A" w:rsidP="00EF4B45">
      <w:pPr>
        <w:jc w:val="both"/>
      </w:pPr>
      <w:r>
        <w:t>5.</w:t>
      </w:r>
      <w:r>
        <w:tab/>
        <w:t>Рассмотрение заявления о предоставлении в пределах земель лесного фонда лесного участка в пользование;</w:t>
      </w:r>
    </w:p>
    <w:p w14:paraId="0DC2AE90" w14:textId="77777777" w:rsidR="00A1396A" w:rsidRDefault="00A1396A" w:rsidP="00EF4B45">
      <w:pPr>
        <w:jc w:val="both"/>
      </w:pPr>
      <w:r>
        <w:t>6.</w:t>
      </w:r>
      <w:r>
        <w:tab/>
        <w:t>Формирование и направление межведомственных запросов в другие органы (организации);</w:t>
      </w:r>
    </w:p>
    <w:p w14:paraId="00AF7015" w14:textId="77777777" w:rsidR="00A1396A" w:rsidRDefault="00A1396A" w:rsidP="00EF4B45">
      <w:pPr>
        <w:jc w:val="both"/>
      </w:pPr>
      <w:r>
        <w:t>7.</w:t>
      </w:r>
      <w:r>
        <w:tab/>
        <w:t xml:space="preserve">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656B77B8" w14:textId="77777777" w:rsidR="00A1396A" w:rsidRDefault="00A1396A" w:rsidP="00EF4B45">
      <w:pPr>
        <w:jc w:val="both"/>
      </w:pPr>
      <w:r>
        <w:lastRenderedPageBreak/>
        <w:t>8.</w:t>
      </w:r>
      <w:r>
        <w:tab/>
        <w:t>Подготовка правоустанавливающего документа на лесной участок;</w:t>
      </w:r>
    </w:p>
    <w:p w14:paraId="66DCC07C" w14:textId="77777777" w:rsidR="00A1396A" w:rsidRDefault="00A1396A" w:rsidP="00EF4B45">
      <w:pPr>
        <w:jc w:val="both"/>
      </w:pPr>
      <w:r>
        <w:t>9.</w:t>
      </w:r>
      <w:r>
        <w:tab/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DD136E7" w14:textId="77777777" w:rsidR="00A1396A" w:rsidRDefault="00A1396A" w:rsidP="00EF4B45">
      <w:pPr>
        <w:ind w:firstLine="426"/>
        <w:jc w:val="both"/>
      </w:pPr>
      <w:r>
        <w:t>Для заключения соглашения об установлении сервитута в отношении лесного участка в границах земель лесного фонда выполняются следующие административные процедуры:</w:t>
      </w:r>
    </w:p>
    <w:p w14:paraId="1E341E4D" w14:textId="77777777" w:rsidR="00A1396A" w:rsidRDefault="00A1396A" w:rsidP="00EF4B45">
      <w:pPr>
        <w:jc w:val="both"/>
      </w:pPr>
      <w:r>
        <w:t>1.</w:t>
      </w:r>
      <w:r>
        <w:tab/>
        <w:t>Прием и регистрация заявления об установлении сервитута;</w:t>
      </w:r>
    </w:p>
    <w:p w14:paraId="507B3668" w14:textId="77777777" w:rsidR="00A1396A" w:rsidRDefault="00A1396A" w:rsidP="00EF4B45">
      <w:pPr>
        <w:jc w:val="both"/>
      </w:pPr>
      <w:r>
        <w:t>2.</w:t>
      </w:r>
      <w:r>
        <w:tab/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21E303BB" w14:textId="77777777" w:rsidR="00A1396A" w:rsidRDefault="00A1396A" w:rsidP="00EF4B45">
      <w:pPr>
        <w:jc w:val="both"/>
      </w:pPr>
      <w:r>
        <w:t>3.</w:t>
      </w:r>
      <w:r>
        <w:tab/>
        <w:t>Заключение соглашения об установлении сервитута.</w:t>
      </w:r>
    </w:p>
    <w:p w14:paraId="1D12EF82" w14:textId="538214B3" w:rsidR="00A1396A" w:rsidRDefault="00A1396A" w:rsidP="00EF4B45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A1396A"/>
    <w:p w14:paraId="3DDDFFBA" w14:textId="77777777" w:rsidR="00A1396A" w:rsidRDefault="00A1396A" w:rsidP="00EF4B45">
      <w:pPr>
        <w:keepNext/>
        <w:ind w:left="-1276"/>
      </w:pPr>
      <w:r>
        <w:rPr>
          <w:noProof/>
          <w:lang w:eastAsia="ru-RU"/>
        </w:rPr>
        <w:lastRenderedPageBreak/>
        <w:drawing>
          <wp:inline distT="0" distB="0" distL="0" distR="0" wp14:anchorId="3D8F1E16" wp14:editId="7755AE3D">
            <wp:extent cx="7042150" cy="5911850"/>
            <wp:effectExtent l="0" t="0" r="6350" b="0"/>
            <wp:docPr id="2" name="ole_rId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8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91" cy="591230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59F1" w14:textId="77777777" w:rsidR="00A1396A" w:rsidRPr="0000436E" w:rsidRDefault="00A1396A" w:rsidP="00A1396A">
      <w:pPr>
        <w:pStyle w:val="a7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35D4C032" w14:textId="77777777" w:rsidR="00A1396A" w:rsidRPr="00A1396A" w:rsidRDefault="00A1396A" w:rsidP="00A1396A"/>
    <w:p w14:paraId="190425A2" w14:textId="08700905" w:rsidR="002618F3" w:rsidRPr="002618F3" w:rsidRDefault="002618F3" w:rsidP="0000436E">
      <w:pPr>
        <w:spacing w:after="0" w:line="24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403AB8">
      <w:pPr>
        <w:pStyle w:val="1"/>
        <w:jc w:val="center"/>
      </w:pPr>
      <w:bookmarkStart w:id="5" w:name="_Toc150516197"/>
      <w:r>
        <w:lastRenderedPageBreak/>
        <w:t>П</w:t>
      </w:r>
      <w:r w:rsidR="00403AB8">
        <w:t>остановка задачи</w:t>
      </w:r>
      <w:bookmarkEnd w:id="5"/>
    </w:p>
    <w:p w14:paraId="20399968" w14:textId="564EB16B" w:rsidR="00A1396A" w:rsidRDefault="00A1396A" w:rsidP="00EF4B45">
      <w:pPr>
        <w:pStyle w:val="2"/>
        <w:jc w:val="center"/>
      </w:pPr>
      <w:bookmarkStart w:id="6" w:name="_Toc150516198"/>
      <w:r>
        <w:t>Цель и задачи</w:t>
      </w:r>
      <w:bookmarkEnd w:id="6"/>
    </w:p>
    <w:p w14:paraId="23F93C4D" w14:textId="6D905F0D" w:rsidR="00B92326" w:rsidRPr="00B92326" w:rsidRDefault="00B92326" w:rsidP="00B92326">
      <w:pPr>
        <w:rPr>
          <w:color w:val="FF0000"/>
        </w:rPr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</w:p>
    <w:p w14:paraId="43E527EB" w14:textId="77777777" w:rsidR="002618F3" w:rsidRDefault="002618F3" w:rsidP="00EF4B45">
      <w:pPr>
        <w:jc w:val="both"/>
      </w:pPr>
      <w:r>
        <w:t xml:space="preserve">Целью данной работы является </w:t>
      </w:r>
      <w:r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4939371D" w14:textId="77777777" w:rsidR="002618F3" w:rsidRDefault="002618F3" w:rsidP="00EF4B45">
      <w:pPr>
        <w:jc w:val="both"/>
      </w:pPr>
      <w:r>
        <w:t>Для достижения цели были поставлены следующие задачи:</w:t>
      </w:r>
    </w:p>
    <w:p w14:paraId="33043E16" w14:textId="77777777" w:rsidR="002618F3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>Провести анализ предметной области,</w:t>
      </w:r>
    </w:p>
    <w:p w14:paraId="44CE90B5" w14:textId="2DDA3C3F" w:rsidR="002618F3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>оформление права пользования лесным участком</w:t>
      </w:r>
    </w:p>
    <w:p w14:paraId="43924ADE" w14:textId="77777777" w:rsidR="002618F3" w:rsidRPr="00AD7C4C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r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5E4EFBB1" w14:textId="77777777" w:rsidR="002618F3" w:rsidRPr="00AD7C4C" w:rsidRDefault="002618F3" w:rsidP="00EF4B45">
      <w:pPr>
        <w:pStyle w:val="a6"/>
        <w:numPr>
          <w:ilvl w:val="6"/>
          <w:numId w:val="1"/>
        </w:numPr>
        <w:ind w:left="0" w:firstLine="0"/>
        <w:jc w:val="both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6C8BA27B" w14:textId="74F52E64" w:rsidR="002618F3" w:rsidRDefault="00A1396A" w:rsidP="00EF4B45">
      <w:pPr>
        <w:pStyle w:val="2"/>
        <w:jc w:val="both"/>
      </w:pPr>
      <w:bookmarkStart w:id="7" w:name="_Toc150516199"/>
      <w:r>
        <w:t>Требования к системе</w:t>
      </w:r>
      <w:bookmarkEnd w:id="7"/>
    </w:p>
    <w:p w14:paraId="7D01A3EA" w14:textId="6AA5A08E" w:rsidR="0046270E" w:rsidRPr="0046270E" w:rsidRDefault="0046270E" w:rsidP="00EF4B45">
      <w:pPr>
        <w:jc w:val="both"/>
        <w:rPr>
          <w:b/>
        </w:rPr>
      </w:pPr>
      <w:r>
        <w:rPr>
          <w:b/>
        </w:rPr>
        <w:t>Требования к архитектуре</w:t>
      </w:r>
      <w:r w:rsidRPr="0046270E">
        <w:rPr>
          <w:b/>
        </w:rPr>
        <w:t xml:space="preserve">: </w:t>
      </w:r>
    </w:p>
    <w:p w14:paraId="6FA2DDF6" w14:textId="77777777" w:rsidR="00A1396A" w:rsidRDefault="00A1396A" w:rsidP="00EF4B45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F4B45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F4B45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F4B45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F4B45">
      <w:pPr>
        <w:ind w:firstLine="360"/>
        <w:jc w:val="both"/>
      </w:pPr>
      <w:r>
        <w:lastRenderedPageBreak/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A1396A">
      <w:pPr>
        <w:ind w:firstLine="360"/>
      </w:pPr>
    </w:p>
    <w:p w14:paraId="1BE5E577" w14:textId="01EB13E3" w:rsidR="00F21F23" w:rsidRDefault="00A1396A" w:rsidP="00A1396A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>
      <w:pPr>
        <w:spacing w:after="0" w:line="240" w:lineRule="auto"/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46270E">
      <w:pPr>
        <w:pStyle w:val="2"/>
        <w:jc w:val="center"/>
      </w:pPr>
      <w:bookmarkStart w:id="8" w:name="_Toc150516200"/>
      <w:r>
        <w:lastRenderedPageBreak/>
        <w:t>Анализ прецедентов</w:t>
      </w:r>
      <w:bookmarkEnd w:id="8"/>
    </w:p>
    <w:p w14:paraId="4AD3BCFB" w14:textId="77777777" w:rsidR="007302A2" w:rsidRDefault="00E4468C" w:rsidP="0046270E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69FA852B" w:rsidR="00E4468C" w:rsidRPr="00E4468C" w:rsidRDefault="00E4468C" w:rsidP="0046270E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</w:p>
    <w:p w14:paraId="4FC15196" w14:textId="6BF604A7" w:rsidR="00E4468C" w:rsidRDefault="00E4468C" w:rsidP="0046270E">
      <w:r w:rsidRPr="00E4468C"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46270E"/>
    <w:p w14:paraId="04E76484" w14:textId="6B4A1364" w:rsidR="00E4468C" w:rsidRPr="00E4468C" w:rsidRDefault="00E4468C" w:rsidP="00E4468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4468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4468C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4468C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4468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4468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4468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4468C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4468C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7302A2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7302A2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4468C"/>
    <w:p w14:paraId="1BC011CB" w14:textId="40AF2F03" w:rsidR="00E4468C" w:rsidRDefault="00E4468C" w:rsidP="00E4468C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4468C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4468C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4468C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4468C"/>
    <w:p w14:paraId="77818E93" w14:textId="5FDA50F8" w:rsidR="00E4468C" w:rsidRPr="00E76901" w:rsidRDefault="00E76901" w:rsidP="00E4468C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7690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7690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76901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76901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1D77C4EE" w:rsidR="00E76901" w:rsidRDefault="00E76901" w:rsidP="00E76901">
            <w:pPr>
              <w:pStyle w:val="a6"/>
              <w:ind w:left="319"/>
            </w:pP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76901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4468C"/>
    <w:p w14:paraId="588732E0" w14:textId="04A139C8" w:rsidR="00E76901" w:rsidRDefault="00E76901" w:rsidP="00E76901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76901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E76901">
            <w:pPr>
              <w:pStyle w:val="a6"/>
              <w:ind w:left="-120"/>
            </w:pPr>
            <w:r>
              <w:lastRenderedPageBreak/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76901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Default="00E4468C" w:rsidP="00E4468C">
      <w:pPr>
        <w:rPr>
          <w:lang w:val="en-US"/>
        </w:rPr>
      </w:pPr>
    </w:p>
    <w:p w14:paraId="35247DDA" w14:textId="77777777" w:rsidR="00FF0FEF" w:rsidRDefault="00FF0FEF" w:rsidP="00FF0FEF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FF0FEF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E88DD" w14:textId="77777777" w:rsidR="00FF0FEF" w:rsidRPr="00E76901" w:rsidRDefault="00FF0FEF" w:rsidP="00FF0FEF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FF0FEF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FF0FEF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FF0FEF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FF0FEF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FF0FEF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406B12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lastRenderedPageBreak/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406B12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406B12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406B12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4468C"/>
    <w:p w14:paraId="1CCB4D42" w14:textId="3A3B104D" w:rsidR="00AB3FD1" w:rsidRDefault="00AB3FD1" w:rsidP="00AB3FD1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AB3FD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AB3FD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AB3FD1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AB3FD1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7F274C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AB3FD1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4468C"/>
    <w:p w14:paraId="6435E621" w14:textId="71D15497" w:rsidR="007F274C" w:rsidRDefault="007F274C" w:rsidP="007F274C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7F274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7F274C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7F274C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7F274C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lastRenderedPageBreak/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1D75EE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7F274C"/>
    <w:p w14:paraId="1DD2B191" w14:textId="1AA55A87" w:rsidR="00AB3FD1" w:rsidRDefault="007F274C" w:rsidP="00E4468C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7F274C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7F274C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7F274C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7F274C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7F274C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7F274C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7F274C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7F274C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D9117D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4468C"/>
    <w:p w14:paraId="4E881716" w14:textId="242B0293" w:rsidR="00842889" w:rsidRPr="00842889" w:rsidRDefault="00B92326" w:rsidP="00842889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842889">
        <w:rPr>
          <w:b/>
        </w:rPr>
        <w:t>Удаление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84288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77777777" w:rsidR="00842889" w:rsidRPr="00842889" w:rsidRDefault="00842889" w:rsidP="0084288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51D9923F" w14:textId="4316C85E" w:rsidR="00842889" w:rsidRPr="00E4468C" w:rsidRDefault="00842889" w:rsidP="0084288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3C1F1A">
        <w:tc>
          <w:tcPr>
            <w:tcW w:w="4672" w:type="dxa"/>
          </w:tcPr>
          <w:p w14:paraId="22CC5447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3C1F1A">
        <w:tc>
          <w:tcPr>
            <w:tcW w:w="4672" w:type="dxa"/>
          </w:tcPr>
          <w:p w14:paraId="1FE05205" w14:textId="1F208788" w:rsidR="00842889" w:rsidRDefault="00B92326" w:rsidP="00B92326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B92326">
            <w:pPr>
              <w:pStyle w:val="a6"/>
              <w:ind w:left="319"/>
            </w:pPr>
          </w:p>
        </w:tc>
      </w:tr>
      <w:tr w:rsidR="00842889" w14:paraId="20859AC4" w14:textId="77777777" w:rsidTr="003C1F1A">
        <w:tc>
          <w:tcPr>
            <w:tcW w:w="4672" w:type="dxa"/>
          </w:tcPr>
          <w:p w14:paraId="70C3ED7B" w14:textId="3946059E" w:rsidR="00842889" w:rsidRDefault="00842889" w:rsidP="00B92326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B9232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4468C"/>
    <w:p w14:paraId="137ABB7A" w14:textId="47A6E4B9" w:rsidR="00842889" w:rsidRPr="00842889" w:rsidRDefault="00842889" w:rsidP="00E4468C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842889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00766446" w:rsidR="00842889" w:rsidRPr="00842889" w:rsidRDefault="00842889" w:rsidP="00842889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по сценарию 1а.</w:t>
      </w:r>
    </w:p>
    <w:p w14:paraId="62977382" w14:textId="597B06DA" w:rsidR="00842889" w:rsidRPr="00E4468C" w:rsidRDefault="00842889" w:rsidP="00842889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3C1F1A">
        <w:tc>
          <w:tcPr>
            <w:tcW w:w="4672" w:type="dxa"/>
          </w:tcPr>
          <w:p w14:paraId="67373F6E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3C1F1A">
        <w:tc>
          <w:tcPr>
            <w:tcW w:w="4672" w:type="dxa"/>
          </w:tcPr>
          <w:p w14:paraId="6AE4EFA3" w14:textId="73542FE2" w:rsidR="00842889" w:rsidRDefault="00842889" w:rsidP="00842889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</w:t>
            </w:r>
            <w:r>
              <w:t>Удалить</w:t>
            </w:r>
            <w:r>
              <w:t>»</w:t>
            </w:r>
          </w:p>
        </w:tc>
        <w:tc>
          <w:tcPr>
            <w:tcW w:w="4673" w:type="dxa"/>
          </w:tcPr>
          <w:p w14:paraId="6BCA25BE" w14:textId="29170C49" w:rsidR="00842889" w:rsidRDefault="00842889" w:rsidP="00842889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Открыть </w:t>
            </w:r>
            <w:r>
              <w:t>модальное окно «Подтвердите удаление заявления»</w:t>
            </w:r>
          </w:p>
        </w:tc>
      </w:tr>
      <w:tr w:rsidR="00842889" w14:paraId="05252DCA" w14:textId="77777777" w:rsidTr="003C1F1A">
        <w:tc>
          <w:tcPr>
            <w:tcW w:w="4672" w:type="dxa"/>
          </w:tcPr>
          <w:p w14:paraId="161CBEC2" w14:textId="4D35F7C3" w:rsidR="00842889" w:rsidRDefault="00842889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842889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4468C"/>
    <w:p w14:paraId="354C3072" w14:textId="6F148ADD" w:rsidR="00842889" w:rsidRPr="00842889" w:rsidRDefault="00B92326" w:rsidP="00842889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842889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3C1F1A">
        <w:tc>
          <w:tcPr>
            <w:tcW w:w="4672" w:type="dxa"/>
          </w:tcPr>
          <w:p w14:paraId="4CBB08EB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3C1F1A">
        <w:tc>
          <w:tcPr>
            <w:tcW w:w="4672" w:type="dxa"/>
          </w:tcPr>
          <w:p w14:paraId="527D0030" w14:textId="6E6FFC83" w:rsidR="00842889" w:rsidRDefault="00842889" w:rsidP="00842889">
            <w:pPr>
              <w:pStyle w:val="a6"/>
              <w:ind w:left="-120"/>
            </w:pPr>
            <w:r>
              <w:t>3а. Нажать на кнопку «отмена»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842889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4468C"/>
    <w:p w14:paraId="5AEDF79F" w14:textId="4561F9B3" w:rsidR="007302A2" w:rsidRDefault="00B92326" w:rsidP="007302A2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>
      <w:pPr>
        <w:spacing w:after="0" w:line="240" w:lineRule="auto"/>
      </w:pPr>
      <w:r w:rsidRPr="007302A2"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2F3221">
      <w:pPr>
        <w:rPr>
          <w:b/>
        </w:rPr>
      </w:pPr>
    </w:p>
    <w:p w14:paraId="53CC6E70" w14:textId="6C4D2958" w:rsidR="002F3221" w:rsidRPr="00E76901" w:rsidRDefault="002F3221" w:rsidP="002F3221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3C1F1A">
        <w:tc>
          <w:tcPr>
            <w:tcW w:w="4672" w:type="dxa"/>
          </w:tcPr>
          <w:p w14:paraId="2D13005C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3C1F1A">
        <w:tc>
          <w:tcPr>
            <w:tcW w:w="4672" w:type="dxa"/>
          </w:tcPr>
          <w:p w14:paraId="48EA28FF" w14:textId="77777777" w:rsidR="007302A2" w:rsidRDefault="007302A2" w:rsidP="007302A2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3C1F1A">
        <w:tc>
          <w:tcPr>
            <w:tcW w:w="4672" w:type="dxa"/>
          </w:tcPr>
          <w:p w14:paraId="6EB00532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3C1F1A">
            <w:pPr>
              <w:pStyle w:val="a6"/>
              <w:ind w:left="319"/>
            </w:pPr>
          </w:p>
        </w:tc>
      </w:tr>
      <w:tr w:rsidR="007302A2" w14:paraId="112825DE" w14:textId="77777777" w:rsidTr="003C1F1A">
        <w:tc>
          <w:tcPr>
            <w:tcW w:w="4672" w:type="dxa"/>
          </w:tcPr>
          <w:p w14:paraId="04048718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3C1F1A">
            <w:pPr>
              <w:pStyle w:val="a6"/>
              <w:numPr>
                <w:ilvl w:val="6"/>
                <w:numId w:val="1"/>
              </w:numPr>
              <w:ind w:left="319"/>
            </w:pPr>
            <w:r>
              <w:t>О</w:t>
            </w:r>
            <w:r>
              <w:t>ткрыть главную страницу</w:t>
            </w:r>
          </w:p>
        </w:tc>
      </w:tr>
    </w:tbl>
    <w:p w14:paraId="4C4179FC" w14:textId="77777777" w:rsidR="007302A2" w:rsidRDefault="007302A2" w:rsidP="007302A2"/>
    <w:p w14:paraId="06F18534" w14:textId="77777777" w:rsidR="007302A2" w:rsidRDefault="007302A2" w:rsidP="007302A2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7302A2">
      <w:pPr>
        <w:jc w:val="center"/>
        <w:rPr>
          <w:b/>
        </w:rPr>
      </w:pPr>
      <w:r w:rsidRPr="00E4468C">
        <w:rPr>
          <w:b/>
        </w:rPr>
        <w:lastRenderedPageBreak/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3C1F1A">
        <w:tc>
          <w:tcPr>
            <w:tcW w:w="4672" w:type="dxa"/>
          </w:tcPr>
          <w:p w14:paraId="7907C6D8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3C1F1A">
        <w:tc>
          <w:tcPr>
            <w:tcW w:w="4672" w:type="dxa"/>
          </w:tcPr>
          <w:p w14:paraId="7CC678E2" w14:textId="77777777" w:rsidR="007302A2" w:rsidRDefault="007302A2" w:rsidP="003C1F1A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3C1F1A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243796A" w14:textId="77389DBA" w:rsidR="00D9117D" w:rsidRPr="00E76901" w:rsidRDefault="00D9117D" w:rsidP="00D9117D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D9117D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D9117D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3C1F1A">
        <w:tc>
          <w:tcPr>
            <w:tcW w:w="4672" w:type="dxa"/>
          </w:tcPr>
          <w:p w14:paraId="2A177CF5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3C1F1A">
        <w:tc>
          <w:tcPr>
            <w:tcW w:w="4672" w:type="dxa"/>
          </w:tcPr>
          <w:p w14:paraId="416EC2F9" w14:textId="77777777" w:rsidR="00D9117D" w:rsidRDefault="00D9117D" w:rsidP="00D9117D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77777777" w:rsidR="00D9117D" w:rsidRDefault="00D9117D" w:rsidP="003C1F1A">
            <w:pPr>
              <w:pStyle w:val="a6"/>
              <w:ind w:left="319"/>
            </w:pPr>
          </w:p>
        </w:tc>
      </w:tr>
      <w:tr w:rsidR="00D9117D" w14:paraId="7C033DBA" w14:textId="77777777" w:rsidTr="003C1F1A">
        <w:tc>
          <w:tcPr>
            <w:tcW w:w="4672" w:type="dxa"/>
          </w:tcPr>
          <w:p w14:paraId="7105DE13" w14:textId="6A3F6C8B" w:rsidR="00D9117D" w:rsidRDefault="00D9117D" w:rsidP="00D9117D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</w:t>
            </w:r>
            <w:r>
              <w:t xml:space="preserve"> на </w:t>
            </w:r>
            <w:r>
              <w:t xml:space="preserve">выпадающий список </w:t>
            </w:r>
            <w:r>
              <w:t>«Заявления»</w:t>
            </w:r>
          </w:p>
        </w:tc>
        <w:tc>
          <w:tcPr>
            <w:tcW w:w="4673" w:type="dxa"/>
          </w:tcPr>
          <w:p w14:paraId="09256E40" w14:textId="625964F6" w:rsidR="00D9117D" w:rsidRDefault="00D9117D" w:rsidP="00D9117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Вывести </w:t>
            </w:r>
            <w:r>
              <w:t>список доступных страниц с заявлениями</w:t>
            </w:r>
          </w:p>
        </w:tc>
      </w:tr>
      <w:tr w:rsidR="00D9117D" w14:paraId="73151E34" w14:textId="77777777" w:rsidTr="003C1F1A">
        <w:tc>
          <w:tcPr>
            <w:tcW w:w="4672" w:type="dxa"/>
          </w:tcPr>
          <w:p w14:paraId="4D13073B" w14:textId="2D0629D8" w:rsidR="00D9117D" w:rsidRDefault="00D9117D" w:rsidP="00D9117D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D9117D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D9117D"/>
    <w:p w14:paraId="4CF12570" w14:textId="50AE1045" w:rsidR="00D9117D" w:rsidRDefault="00D9117D" w:rsidP="00D9117D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</w:t>
      </w:r>
      <w:r>
        <w:t>необходимо посмотреть заявления со статусом «новое»</w:t>
      </w:r>
    </w:p>
    <w:p w14:paraId="5A3606DD" w14:textId="1679E258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3C1F1A">
        <w:tc>
          <w:tcPr>
            <w:tcW w:w="4672" w:type="dxa"/>
          </w:tcPr>
          <w:p w14:paraId="65B22992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3C1F1A">
        <w:tc>
          <w:tcPr>
            <w:tcW w:w="4672" w:type="dxa"/>
          </w:tcPr>
          <w:p w14:paraId="048763A2" w14:textId="660F5E3A" w:rsidR="00D9117D" w:rsidRPr="00E76901" w:rsidRDefault="00D9117D" w:rsidP="00D9117D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</w:t>
            </w:r>
            <w:r>
              <w:t>На регистрации</w:t>
            </w:r>
            <w:r>
              <w:t>»</w:t>
            </w:r>
          </w:p>
        </w:tc>
        <w:tc>
          <w:tcPr>
            <w:tcW w:w="4673" w:type="dxa"/>
          </w:tcPr>
          <w:p w14:paraId="5905E1AB" w14:textId="769EB301" w:rsidR="00D9117D" w:rsidRDefault="00D9117D" w:rsidP="003C1F1A">
            <w:pPr>
              <w:pStyle w:val="a6"/>
              <w:ind w:left="0"/>
            </w:pPr>
          </w:p>
        </w:tc>
      </w:tr>
    </w:tbl>
    <w:p w14:paraId="5FDFBD4E" w14:textId="77777777" w:rsidR="007302A2" w:rsidRDefault="007302A2">
      <w:pPr>
        <w:spacing w:after="0" w:line="240" w:lineRule="auto"/>
      </w:pPr>
    </w:p>
    <w:p w14:paraId="0655C6A7" w14:textId="7D8D2C77" w:rsidR="00D9117D" w:rsidRDefault="00D9117D" w:rsidP="00D9117D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</w:t>
      </w:r>
      <w:r>
        <w:t>Итоговый документ на подписании</w:t>
      </w:r>
      <w:r>
        <w:t>»</w:t>
      </w:r>
    </w:p>
    <w:p w14:paraId="23B299FC" w14:textId="167B58B2" w:rsidR="00D9117D" w:rsidRPr="00E4468C" w:rsidRDefault="00D9117D" w:rsidP="00D9117D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3C1F1A">
        <w:tc>
          <w:tcPr>
            <w:tcW w:w="4672" w:type="dxa"/>
          </w:tcPr>
          <w:p w14:paraId="15CA1D8F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3C1F1A">
        <w:tc>
          <w:tcPr>
            <w:tcW w:w="4672" w:type="dxa"/>
          </w:tcPr>
          <w:p w14:paraId="5137772A" w14:textId="4FE43080" w:rsidR="00D9117D" w:rsidRPr="00E76901" w:rsidRDefault="00D9117D" w:rsidP="002F3221">
            <w:pPr>
              <w:pStyle w:val="a6"/>
              <w:ind w:left="-120"/>
            </w:pPr>
            <w:r>
              <w:lastRenderedPageBreak/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3C1F1A">
            <w:pPr>
              <w:pStyle w:val="a6"/>
              <w:ind w:left="0"/>
            </w:pPr>
          </w:p>
        </w:tc>
      </w:tr>
    </w:tbl>
    <w:p w14:paraId="7F7CE953" w14:textId="77777777" w:rsidR="00D9117D" w:rsidRDefault="00D9117D">
      <w:pPr>
        <w:spacing w:after="0" w:line="240" w:lineRule="auto"/>
      </w:pPr>
    </w:p>
    <w:p w14:paraId="14B79F2B" w14:textId="208A1351" w:rsidR="002F3221" w:rsidRDefault="002F3221" w:rsidP="002F3221">
      <w:r>
        <w:rPr>
          <w:b/>
        </w:rPr>
        <w:t>Сценарий 2</w:t>
      </w:r>
      <w:r>
        <w:rPr>
          <w:b/>
        </w:rPr>
        <w:t>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3C1F1A">
        <w:tc>
          <w:tcPr>
            <w:tcW w:w="4672" w:type="dxa"/>
          </w:tcPr>
          <w:p w14:paraId="40060240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3C1F1A">
        <w:tc>
          <w:tcPr>
            <w:tcW w:w="4672" w:type="dxa"/>
          </w:tcPr>
          <w:p w14:paraId="10973C51" w14:textId="00256C5B" w:rsidR="002F3221" w:rsidRPr="00E76901" w:rsidRDefault="002F3221" w:rsidP="003C1F1A">
            <w:pPr>
              <w:pStyle w:val="a6"/>
              <w:ind w:left="-12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3C1F1A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>
      <w:pPr>
        <w:spacing w:after="0" w:line="240" w:lineRule="auto"/>
      </w:pPr>
    </w:p>
    <w:p w14:paraId="224F794B" w14:textId="22566076" w:rsidR="002F3221" w:rsidRPr="00842889" w:rsidRDefault="002F3221" w:rsidP="002F3221">
      <w:pPr>
        <w:rPr>
          <w:b/>
        </w:rPr>
      </w:pPr>
      <w:r>
        <w:rPr>
          <w:b/>
        </w:rPr>
        <w:t>№</w:t>
      </w:r>
      <w:r>
        <w:rPr>
          <w:b/>
        </w:rPr>
        <w:t>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>
        <w:t xml:space="preserve"> №2</w:t>
      </w:r>
      <w:r>
        <w:t xml:space="preserve"> по сценарию </w:t>
      </w:r>
      <w:r>
        <w:t>2в</w:t>
      </w:r>
      <w:r>
        <w:t>.</w:t>
      </w:r>
    </w:p>
    <w:p w14:paraId="7A6F7EF4" w14:textId="608114BE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3C1F1A">
        <w:tc>
          <w:tcPr>
            <w:tcW w:w="4672" w:type="dxa"/>
          </w:tcPr>
          <w:p w14:paraId="22665619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3C1F1A">
        <w:tc>
          <w:tcPr>
            <w:tcW w:w="4672" w:type="dxa"/>
          </w:tcPr>
          <w:p w14:paraId="7758F5AE" w14:textId="6F870534" w:rsidR="002F3221" w:rsidRDefault="002F3221" w:rsidP="002F3221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</w:t>
            </w:r>
            <w:r>
              <w:t>В работу</w:t>
            </w:r>
            <w:r>
              <w:t>»</w:t>
            </w:r>
          </w:p>
        </w:tc>
        <w:tc>
          <w:tcPr>
            <w:tcW w:w="4673" w:type="dxa"/>
          </w:tcPr>
          <w:p w14:paraId="2AD6038E" w14:textId="6C59BD2C" w:rsidR="002F3221" w:rsidRDefault="002F3221" w:rsidP="002F3221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>
      <w:pPr>
        <w:spacing w:after="0" w:line="240" w:lineRule="auto"/>
      </w:pPr>
    </w:p>
    <w:p w14:paraId="265210A6" w14:textId="5BC1F7E4" w:rsidR="002F3221" w:rsidRPr="00842889" w:rsidRDefault="002F3221" w:rsidP="002F3221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2F3221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2A574502" w14:textId="77777777" w:rsidR="002F3221" w:rsidRPr="00842889" w:rsidRDefault="002F3221" w:rsidP="002F3221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7777777" w:rsidR="002F3221" w:rsidRPr="00E4468C" w:rsidRDefault="002F3221" w:rsidP="002F3221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3C1F1A">
        <w:tc>
          <w:tcPr>
            <w:tcW w:w="4672" w:type="dxa"/>
          </w:tcPr>
          <w:p w14:paraId="06ED0AEB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3C1F1A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3C1F1A">
        <w:tc>
          <w:tcPr>
            <w:tcW w:w="4672" w:type="dxa"/>
          </w:tcPr>
          <w:p w14:paraId="322B127F" w14:textId="32D233BC" w:rsidR="002F3221" w:rsidRDefault="002F322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3C1F1A">
        <w:tc>
          <w:tcPr>
            <w:tcW w:w="4672" w:type="dxa"/>
          </w:tcPr>
          <w:p w14:paraId="5C6070BC" w14:textId="7030A0C3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3C1F1A">
        <w:tc>
          <w:tcPr>
            <w:tcW w:w="4672" w:type="dxa"/>
          </w:tcPr>
          <w:p w14:paraId="5E7350A5" w14:textId="2279F650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3C1F1A">
        <w:tc>
          <w:tcPr>
            <w:tcW w:w="4672" w:type="dxa"/>
          </w:tcPr>
          <w:p w14:paraId="403306C7" w14:textId="6F74394F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B81331">
            <w:pPr>
              <w:pStyle w:val="a6"/>
              <w:numPr>
                <w:ilvl w:val="6"/>
                <w:numId w:val="14"/>
              </w:numPr>
              <w:ind w:left="316"/>
            </w:pPr>
            <w:r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B81331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>
      <w:pPr>
        <w:spacing w:after="0" w:line="240" w:lineRule="auto"/>
      </w:pPr>
    </w:p>
    <w:p w14:paraId="430ADBC6" w14:textId="77777777" w:rsidR="002F3221" w:rsidRDefault="002F3221">
      <w:pPr>
        <w:spacing w:after="0" w:line="240" w:lineRule="auto"/>
      </w:pPr>
    </w:p>
    <w:p w14:paraId="576CC5C5" w14:textId="77777777" w:rsidR="002F3221" w:rsidRDefault="002F3221">
      <w:pPr>
        <w:spacing w:after="0" w:line="240" w:lineRule="auto"/>
      </w:pPr>
      <w:bookmarkStart w:id="9" w:name="_GoBack"/>
      <w:bookmarkEnd w:id="9"/>
    </w:p>
    <w:p w14:paraId="31588D1C" w14:textId="77777777" w:rsidR="002F3221" w:rsidRDefault="002F3221">
      <w:pPr>
        <w:spacing w:after="0" w:line="240" w:lineRule="auto"/>
      </w:pPr>
    </w:p>
    <w:p w14:paraId="462B54DB" w14:textId="77777777" w:rsidR="002F3221" w:rsidRDefault="002F3221">
      <w:pPr>
        <w:spacing w:after="0" w:line="240" w:lineRule="auto"/>
      </w:pPr>
    </w:p>
    <w:p w14:paraId="036BCA3D" w14:textId="77777777" w:rsidR="002F3221" w:rsidRDefault="002F3221">
      <w:pPr>
        <w:spacing w:after="0" w:line="240" w:lineRule="auto"/>
      </w:pPr>
    </w:p>
    <w:p w14:paraId="2A434E12" w14:textId="77777777" w:rsidR="002F3221" w:rsidRDefault="002F3221">
      <w:pPr>
        <w:spacing w:after="0" w:line="240" w:lineRule="auto"/>
      </w:pPr>
    </w:p>
    <w:p w14:paraId="4B1ACCE8" w14:textId="77777777" w:rsidR="002F3221" w:rsidRDefault="002F3221">
      <w:pPr>
        <w:spacing w:after="0" w:line="240" w:lineRule="auto"/>
      </w:pPr>
    </w:p>
    <w:p w14:paraId="045DA792" w14:textId="77777777" w:rsidR="002F3221" w:rsidRDefault="002F3221">
      <w:pPr>
        <w:spacing w:after="0" w:line="240" w:lineRule="auto"/>
      </w:pPr>
    </w:p>
    <w:p w14:paraId="450DEA85" w14:textId="77777777" w:rsidR="002F3221" w:rsidRDefault="002F3221">
      <w:pPr>
        <w:spacing w:after="0" w:line="240" w:lineRule="auto"/>
      </w:pPr>
    </w:p>
    <w:p w14:paraId="670F7590" w14:textId="77777777" w:rsidR="002F3221" w:rsidRDefault="002F3221">
      <w:pPr>
        <w:spacing w:after="0" w:line="240" w:lineRule="auto"/>
      </w:pPr>
    </w:p>
    <w:p w14:paraId="36EA491C" w14:textId="77777777" w:rsidR="002F3221" w:rsidRDefault="002F3221">
      <w:pPr>
        <w:spacing w:after="0" w:line="240" w:lineRule="auto"/>
      </w:pPr>
    </w:p>
    <w:p w14:paraId="04FBB079" w14:textId="77777777" w:rsidR="002F3221" w:rsidRDefault="002F3221">
      <w:pPr>
        <w:spacing w:after="0" w:line="240" w:lineRule="auto"/>
      </w:pPr>
    </w:p>
    <w:p w14:paraId="12FD8AB1" w14:textId="77777777" w:rsidR="002F3221" w:rsidRDefault="002F3221">
      <w:pPr>
        <w:spacing w:after="0" w:line="240" w:lineRule="auto"/>
      </w:pPr>
    </w:p>
    <w:p w14:paraId="573005D8" w14:textId="77777777" w:rsidR="002F3221" w:rsidRDefault="002F3221">
      <w:pPr>
        <w:spacing w:after="0" w:line="240" w:lineRule="auto"/>
      </w:pPr>
    </w:p>
    <w:p w14:paraId="5817C0E2" w14:textId="77777777" w:rsidR="002F3221" w:rsidRDefault="002F3221">
      <w:pPr>
        <w:spacing w:after="0" w:line="240" w:lineRule="auto"/>
      </w:pPr>
    </w:p>
    <w:p w14:paraId="359FCE9C" w14:textId="685D2315" w:rsidR="00D9117D" w:rsidRPr="00D9117D" w:rsidRDefault="00F21F23">
      <w:pPr>
        <w:spacing w:after="0" w:line="240" w:lineRule="auto"/>
      </w:pPr>
      <w:r>
        <w:br w:type="page"/>
      </w:r>
    </w:p>
    <w:p w14:paraId="7329F06C" w14:textId="56DB62F0" w:rsidR="00A1396A" w:rsidRDefault="00F21F23" w:rsidP="00406B12">
      <w:pPr>
        <w:pStyle w:val="1"/>
        <w:jc w:val="center"/>
      </w:pPr>
      <w:bookmarkStart w:id="10" w:name="_Toc150516201"/>
      <w:r>
        <w:lastRenderedPageBreak/>
        <w:t>Проектирование информационного обеспечения</w:t>
      </w:r>
      <w:bookmarkEnd w:id="10"/>
    </w:p>
    <w:p w14:paraId="396F6808" w14:textId="3F701B55" w:rsidR="00F21F23" w:rsidRDefault="00F21F23" w:rsidP="00F21F23">
      <w:pPr>
        <w:ind w:left="360"/>
      </w:pPr>
      <w:r>
        <w:t>Для выполнения функций оператора</w:t>
      </w:r>
    </w:p>
    <w:p w14:paraId="4AD54F2A" w14:textId="19BDAB2A" w:rsidR="00406B12" w:rsidRPr="00406B12" w:rsidRDefault="00406B12" w:rsidP="00F21F23">
      <w:pPr>
        <w:ind w:left="360"/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0C24FD02" w14:textId="5D3F86D2" w:rsidR="00406B12" w:rsidRDefault="00406B12">
      <w:pPr>
        <w:spacing w:after="0" w:line="240" w:lineRule="auto"/>
      </w:pPr>
      <w:r>
        <w:br w:type="page"/>
      </w:r>
    </w:p>
    <w:p w14:paraId="61972764" w14:textId="7F582977" w:rsidR="00406B12" w:rsidRDefault="00406B12" w:rsidP="00406B12">
      <w:pPr>
        <w:pStyle w:val="1"/>
        <w:jc w:val="center"/>
      </w:pPr>
      <w:bookmarkStart w:id="11" w:name="_Toc150516202"/>
      <w:r>
        <w:lastRenderedPageBreak/>
        <w:t>Проектирование программного обеспечения</w:t>
      </w:r>
      <w:bookmarkEnd w:id="11"/>
    </w:p>
    <w:p w14:paraId="743BB350" w14:textId="0CD0C05B" w:rsidR="00406B12" w:rsidRPr="00406B12" w:rsidRDefault="00406B12" w:rsidP="00406B12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090D957E" w14:textId="615C8DDB" w:rsidR="00406B12" w:rsidRDefault="00406B12">
      <w:pPr>
        <w:spacing w:after="0" w:line="240" w:lineRule="auto"/>
      </w:pPr>
      <w:r>
        <w:br w:type="page"/>
      </w:r>
    </w:p>
    <w:p w14:paraId="36BAF5C8" w14:textId="01FE70D7" w:rsidR="00406B12" w:rsidRDefault="00406B12" w:rsidP="007F274C">
      <w:pPr>
        <w:pStyle w:val="1"/>
        <w:jc w:val="center"/>
      </w:pPr>
      <w:bookmarkStart w:id="12" w:name="_Toc150516203"/>
      <w:r>
        <w:lastRenderedPageBreak/>
        <w:t>Разработка программного обеспечения</w:t>
      </w:r>
      <w:bookmarkEnd w:id="12"/>
    </w:p>
    <w:p w14:paraId="193B8687" w14:textId="195F9197" w:rsidR="00406B12" w:rsidRPr="00406B12" w:rsidRDefault="00406B12" w:rsidP="00406B12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</w:p>
    <w:p w14:paraId="1CE5496E" w14:textId="77777777" w:rsidR="007B6009" w:rsidRDefault="007B6009" w:rsidP="00A1396A">
      <w:pPr>
        <w:pStyle w:val="1"/>
        <w:numPr>
          <w:ilvl w:val="0"/>
          <w:numId w:val="0"/>
        </w:numPr>
        <w:jc w:val="center"/>
      </w:pPr>
      <w:bookmarkStart w:id="13" w:name="_Toc150516204"/>
      <w:r>
        <w:lastRenderedPageBreak/>
        <w:t>Заключение</w:t>
      </w:r>
      <w:bookmarkEnd w:id="13"/>
    </w:p>
    <w:p w14:paraId="233ED1F6" w14:textId="77777777" w:rsidR="007B6009" w:rsidRDefault="007B6009" w:rsidP="007B6009">
      <w:pPr>
        <w:pStyle w:val="2"/>
        <w:numPr>
          <w:ilvl w:val="0"/>
          <w:numId w:val="0"/>
        </w:numPr>
        <w:ind w:left="360"/>
      </w:pPr>
      <w:bookmarkStart w:id="14" w:name="_Toc150516205"/>
      <w:r>
        <w:t>Оценка достижения цели</w:t>
      </w:r>
      <w:bookmarkEnd w:id="14"/>
    </w:p>
    <w:p w14:paraId="3C098B68" w14:textId="77777777" w:rsidR="007B6009" w:rsidRDefault="007B6009" w:rsidP="007B6009">
      <w:pPr>
        <w:pStyle w:val="1"/>
        <w:numPr>
          <w:ilvl w:val="0"/>
          <w:numId w:val="0"/>
        </w:numPr>
      </w:pPr>
      <w:bookmarkStart w:id="15" w:name="_Toc150516206"/>
      <w:r>
        <w:lastRenderedPageBreak/>
        <w:t>Список использованных источников</w:t>
      </w:r>
      <w:bookmarkEnd w:id="15"/>
    </w:p>
    <w:p w14:paraId="5535E1BB" w14:textId="77777777" w:rsidR="007B6009" w:rsidRDefault="007B6009" w:rsidP="00A1396A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7B6009"/>
    <w:p w14:paraId="1AAA2586" w14:textId="77777777" w:rsidR="007B6009" w:rsidRPr="00360B0F" w:rsidRDefault="007B6009" w:rsidP="007B6009">
      <w:pPr>
        <w:pStyle w:val="1"/>
        <w:numPr>
          <w:ilvl w:val="0"/>
          <w:numId w:val="0"/>
        </w:numPr>
      </w:pPr>
      <w:bookmarkStart w:id="16" w:name="_Toc150516207"/>
      <w:r>
        <w:lastRenderedPageBreak/>
        <w:t>Приложение</w:t>
      </w:r>
      <w:bookmarkEnd w:id="16"/>
    </w:p>
    <w:p w14:paraId="062F8459" w14:textId="77777777" w:rsidR="00053716" w:rsidRDefault="00053716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53716"/>
    <w:rsid w:val="000E39AC"/>
    <w:rsid w:val="002618F3"/>
    <w:rsid w:val="00265CB6"/>
    <w:rsid w:val="00285B26"/>
    <w:rsid w:val="002A3698"/>
    <w:rsid w:val="002F3221"/>
    <w:rsid w:val="00395A0F"/>
    <w:rsid w:val="00403AB8"/>
    <w:rsid w:val="00406B12"/>
    <w:rsid w:val="0046270E"/>
    <w:rsid w:val="006C2830"/>
    <w:rsid w:val="007302A2"/>
    <w:rsid w:val="007B6009"/>
    <w:rsid w:val="007D43AE"/>
    <w:rsid w:val="007F274C"/>
    <w:rsid w:val="007F3EFE"/>
    <w:rsid w:val="00832A71"/>
    <w:rsid w:val="00842889"/>
    <w:rsid w:val="00893A2B"/>
    <w:rsid w:val="009573CD"/>
    <w:rsid w:val="00A1396A"/>
    <w:rsid w:val="00A41A8D"/>
    <w:rsid w:val="00A55AC9"/>
    <w:rsid w:val="00AB3FD1"/>
    <w:rsid w:val="00AD7C4C"/>
    <w:rsid w:val="00B05938"/>
    <w:rsid w:val="00B81331"/>
    <w:rsid w:val="00B92326"/>
    <w:rsid w:val="00B9551A"/>
    <w:rsid w:val="00C37501"/>
    <w:rsid w:val="00C83A07"/>
    <w:rsid w:val="00D9117D"/>
    <w:rsid w:val="00E4468C"/>
    <w:rsid w:val="00E76901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221"/>
    <w:pPr>
      <w:spacing w:after="120"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00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600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c0eac51ce047cbfa8e73b3ccb07e34e00104db4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3773/3fbb2872451363579e7694966a367224be284102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-pravo.ru/statya-1-grk-rf-osnovnye-ponyatiya-ispolzuemye-v-nastoyashchem-kodekse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zakupki.gov.ru/epz/order/notice/ok20/view/common-info.html?regNumber=01622000118220007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33773/6dbea352632956be60b07d5059c4c7811cc30c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64299/071761b7ed057c6c5ee474b9ec8dce1554520df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31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 Александрович</cp:lastModifiedBy>
  <cp:revision>4</cp:revision>
  <dcterms:created xsi:type="dcterms:W3CDTF">2023-11-08T11:05:00Z</dcterms:created>
  <dcterms:modified xsi:type="dcterms:W3CDTF">2023-11-10T09:26:00Z</dcterms:modified>
</cp:coreProperties>
</file>