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87DC0" w14:textId="77777777" w:rsidR="00F00F02" w:rsidRDefault="00F00F02">
      <w:r>
        <w:br w:type="page"/>
      </w:r>
    </w:p>
    <w:p w14:paraId="5E6C7850" w14:textId="1533BB3C" w:rsidR="00F00F02" w:rsidRDefault="00F00F02" w:rsidP="0075032E">
      <w:pPr>
        <w:pStyle w:val="1"/>
        <w:numPr>
          <w:ilvl w:val="0"/>
          <w:numId w:val="5"/>
        </w:numPr>
        <w:tabs>
          <w:tab w:val="left" w:pos="5245"/>
        </w:tabs>
        <w:jc w:val="center"/>
      </w:pPr>
      <w:r>
        <w:lastRenderedPageBreak/>
        <w:t>Основные положения.</w:t>
      </w:r>
    </w:p>
    <w:p w14:paraId="4F4C4963" w14:textId="0D504D86" w:rsidR="00053716" w:rsidRDefault="00F00F02" w:rsidP="008B773D">
      <w:pPr>
        <w:pStyle w:val="tdtoccaptionlevel2"/>
      </w:pPr>
      <w:r>
        <w:t>Наименование и условное обозначение системы.</w:t>
      </w:r>
    </w:p>
    <w:p w14:paraId="5CBAD682" w14:textId="13EB588D" w:rsidR="00F00F02" w:rsidRDefault="00F00F02" w:rsidP="00EA252B">
      <w:pPr>
        <w:ind w:left="426" w:firstLine="283"/>
      </w:pPr>
      <w:r>
        <w:t xml:space="preserve">Полное наименование системы: </w:t>
      </w:r>
      <w:r w:rsidR="00EA252B">
        <w:t>Ведомственная информационная Система «Лесопользование Свердловской области».</w:t>
      </w:r>
    </w:p>
    <w:p w14:paraId="46B0C9DA" w14:textId="5A8EC2FB" w:rsidR="00EA252B" w:rsidRDefault="00EA252B" w:rsidP="00F00F02">
      <w:pPr>
        <w:ind w:left="426"/>
      </w:pPr>
      <w:r>
        <w:t>Краткое наименование: ВИС «Лесопользование»</w:t>
      </w:r>
    </w:p>
    <w:p w14:paraId="3BD83140" w14:textId="77777777" w:rsidR="00940BFF" w:rsidRPr="00EA252B" w:rsidRDefault="00940BFF" w:rsidP="008B773D">
      <w:pPr>
        <w:pStyle w:val="tdtoccaptionlevel2"/>
      </w:pPr>
      <w:r w:rsidRPr="00EA252B">
        <w:t>Наименование предприятий (объединений) разработчика и заказчика (пользователя) системы и их реквизиты</w:t>
      </w:r>
      <w:r>
        <w:t>.</w:t>
      </w:r>
    </w:p>
    <w:p w14:paraId="6FE642F5" w14:textId="77777777" w:rsidR="00940BFF" w:rsidRPr="00F00F02" w:rsidRDefault="00940BFF" w:rsidP="00940BFF">
      <w:r>
        <w:t>Заказчик:</w:t>
      </w:r>
    </w:p>
    <w:p w14:paraId="6FA3A19E" w14:textId="77777777" w:rsidR="00940BFF" w:rsidRDefault="00940BFF" w:rsidP="00940BFF">
      <w:r>
        <w:tab/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Default="00940BFF" w:rsidP="00940BFF">
      <w:r>
        <w:t xml:space="preserve">Функциональный заказчик: </w:t>
      </w:r>
    </w:p>
    <w:p w14:paraId="7D86A72C" w14:textId="77777777" w:rsidR="00940BFF" w:rsidRDefault="00940BFF" w:rsidP="00940BFF">
      <w:pPr>
        <w:ind w:firstLine="708"/>
      </w:pPr>
      <w:r>
        <w:t>Министерство природных ресурсов и экологии Свердловской области</w:t>
      </w:r>
    </w:p>
    <w:p w14:paraId="31C8394C" w14:textId="77777777" w:rsidR="00940BFF" w:rsidRDefault="00940BFF" w:rsidP="00940BFF">
      <w:r>
        <w:t>Адрес: 620004, Екатеринбург, ул. Малышева, 101.</w:t>
      </w:r>
    </w:p>
    <w:p w14:paraId="694AEB41" w14:textId="77777777" w:rsidR="00940BFF" w:rsidRDefault="00940BFF" w:rsidP="00940BFF">
      <w:r>
        <w:t xml:space="preserve">Исполнитель:  </w:t>
      </w:r>
    </w:p>
    <w:p w14:paraId="7A3003DC" w14:textId="77777777" w:rsidR="00940BFF" w:rsidRDefault="00940BFF" w:rsidP="00940BFF">
      <w:r>
        <w:tab/>
        <w:t>ООО «</w:t>
      </w:r>
      <w:proofErr w:type="spellStart"/>
      <w:r>
        <w:t>Техноком</w:t>
      </w:r>
      <w:proofErr w:type="spellEnd"/>
      <w:r>
        <w:t xml:space="preserve">» Адрес: 625013, РФ, Тюменская область, г. </w:t>
      </w:r>
      <w:proofErr w:type="spellStart"/>
      <w:proofErr w:type="gramStart"/>
      <w:r>
        <w:t>Тюмень,ул</w:t>
      </w:r>
      <w:proofErr w:type="spellEnd"/>
      <w:r>
        <w:t>.</w:t>
      </w:r>
      <w:proofErr w:type="gramEnd"/>
      <w:r>
        <w:t xml:space="preserve"> Пермякова, дом 1, строение 5, офис 904, Бизнес-центр «Нобель-Парк»</w:t>
      </w:r>
    </w:p>
    <w:p w14:paraId="31DB0EEC" w14:textId="77777777" w:rsidR="00940BFF" w:rsidRPr="00EA252B" w:rsidRDefault="00940BFF" w:rsidP="00F00F02">
      <w:pPr>
        <w:ind w:left="426"/>
      </w:pPr>
    </w:p>
    <w:p w14:paraId="680978A2" w14:textId="1F02BF6D" w:rsidR="00940BFF" w:rsidRPr="00940BFF" w:rsidRDefault="00940BFF" w:rsidP="00940BFF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940BFF">
        <w:t>Перечень документов, на основании которых создается система</w:t>
      </w:r>
    </w:p>
    <w:p w14:paraId="4E65DB4F" w14:textId="77777777" w:rsidR="00940BFF" w:rsidRDefault="00940BFF" w:rsidP="00940BFF">
      <w: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Default="00940BFF" w:rsidP="00940BFF">
      <w:r>
        <w:t></w:t>
      </w:r>
      <w: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A44302">
          <w:rPr>
            <w:rStyle w:val="a4"/>
          </w:rPr>
          <w:t>http://kremlin.ru/acts/bank/24157</w:t>
        </w:r>
      </w:hyperlink>
      <w:r>
        <w:t>)</w:t>
      </w:r>
    </w:p>
    <w:p w14:paraId="412F5655" w14:textId="340ED841" w:rsidR="00940BFF" w:rsidRPr="00940BFF" w:rsidRDefault="00940BFF" w:rsidP="00940BFF">
      <w:r>
        <w:t></w:t>
      </w:r>
      <w:r>
        <w:tab/>
        <w:t>Федеральный закон от 27.07.2006 № 152-ФЗ «О персональных данных»; (</w:t>
      </w:r>
      <w:hyperlink r:id="rId6" w:history="1">
        <w:r w:rsidRPr="00A44302">
          <w:rPr>
            <w:rStyle w:val="a4"/>
          </w:rPr>
          <w:t>http://kremlin.ru/acts/bank/24154</w:t>
        </w:r>
      </w:hyperlink>
      <w:r>
        <w:t>)</w:t>
      </w:r>
    </w:p>
    <w:p w14:paraId="500FDCBC" w14:textId="00855061" w:rsidR="00940BFF" w:rsidRDefault="00940BFF" w:rsidP="00940BFF">
      <w:r>
        <w:t></w:t>
      </w:r>
      <w:r>
        <w:tab/>
        <w:t>Федеральный закон от 27.07.2010 № 210-ФЗ «Об организации предоставления государственных и муниципальных услуг»;</w:t>
      </w:r>
      <w:r w:rsidR="009F440D">
        <w:t xml:space="preserve"> (</w:t>
      </w:r>
      <w:hyperlink r:id="rId7" w:history="1">
        <w:r w:rsidR="009F440D" w:rsidRPr="00A44302">
          <w:rPr>
            <w:rStyle w:val="a4"/>
          </w:rPr>
          <w:t>http://kremlin.ru/acts/bank/31584</w:t>
        </w:r>
      </w:hyperlink>
      <w:r w:rsidR="009F440D">
        <w:t>)</w:t>
      </w:r>
    </w:p>
    <w:p w14:paraId="0B93FAAE" w14:textId="77777777" w:rsidR="00940BFF" w:rsidRDefault="00940BFF" w:rsidP="00940BFF">
      <w:r>
        <w:t></w:t>
      </w:r>
      <w:r>
        <w:tab/>
        <w:t>Федеральный закон от 30.12.2015 № 431-ФЗ «О геодезии, картографии</w:t>
      </w:r>
    </w:p>
    <w:p w14:paraId="4704ABA5" w14:textId="5A8EDA2C" w:rsidR="00940BFF" w:rsidRDefault="00940BFF" w:rsidP="00940BFF">
      <w:r>
        <w:lastRenderedPageBreak/>
        <w:t>и пространственных данных и о внесении изменений в отдельные законодательные акты Российской Федерации»;</w:t>
      </w:r>
      <w:r w:rsidR="009F440D">
        <w:t xml:space="preserve"> (</w:t>
      </w:r>
      <w:hyperlink r:id="rId8" w:history="1">
        <w:r w:rsidR="009F440D" w:rsidRPr="00A44302">
          <w:rPr>
            <w:rStyle w:val="a4"/>
          </w:rPr>
          <w:t>http://kremlin.ru/acts/bank/40372</w:t>
        </w:r>
      </w:hyperlink>
      <w:r w:rsidR="009F440D">
        <w:t>)</w:t>
      </w:r>
    </w:p>
    <w:p w14:paraId="1939A8E5" w14:textId="16DCC151" w:rsidR="00940BFF" w:rsidRDefault="00940BFF" w:rsidP="00940BFF">
      <w:r>
        <w:t></w:t>
      </w:r>
      <w: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>
        <w:t xml:space="preserve"> (</w:t>
      </w:r>
      <w:r w:rsidR="009F440D" w:rsidRPr="009F440D">
        <w:t xml:space="preserve"> </w:t>
      </w:r>
      <w:hyperlink r:id="rId9" w:history="1">
        <w:r w:rsidR="009F440D" w:rsidRPr="00A44302">
          <w:rPr>
            <w:rStyle w:val="a4"/>
          </w:rPr>
          <w:t>http://kremlin.ru/acts/bank/41927</w:t>
        </w:r>
      </w:hyperlink>
      <w:r w:rsidR="009F440D">
        <w:t>)</w:t>
      </w:r>
    </w:p>
    <w:p w14:paraId="2C08FA57" w14:textId="0E690627" w:rsidR="00940BFF" w:rsidRDefault="00940BFF" w:rsidP="00940BFF">
      <w:r>
        <w:t></w:t>
      </w:r>
      <w:r>
        <w:tab/>
        <w:t>Постановление Правительства Российской Федерации от 21.03.2012 № 211</w:t>
      </w:r>
      <w:r w:rsidR="009F440D">
        <w:t xml:space="preserve"> </w:t>
      </w:r>
      <w: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>
        <w:t xml:space="preserve"> (</w:t>
      </w:r>
      <w:hyperlink r:id="rId10" w:history="1">
        <w:r w:rsidR="00F86A05" w:rsidRPr="00A44302">
          <w:rPr>
            <w:rStyle w:val="a4"/>
          </w:rPr>
          <w:t>http://kremlin.ru/acts/bank/41925</w:t>
        </w:r>
      </w:hyperlink>
      <w:r w:rsidR="00F86A05">
        <w:t>)</w:t>
      </w:r>
    </w:p>
    <w:p w14:paraId="6F789EBD" w14:textId="77777777" w:rsidR="00940BFF" w:rsidRDefault="00940BFF" w:rsidP="00940BFF">
      <w: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Default="00940BFF" w:rsidP="00940BFF">
      <w:r>
        <w:t></w:t>
      </w:r>
      <w:r>
        <w:tab/>
        <w:t>Постановление Правительства Российской Федерации от 01.11.2012 № 1119</w:t>
      </w:r>
      <w:r w:rsidR="00F86A05">
        <w:t xml:space="preserve"> </w:t>
      </w:r>
      <w:r>
        <w:t>«Об утверждении требований к защите персональных данных при их обработке</w:t>
      </w:r>
      <w:r w:rsidR="00F86A05">
        <w:t xml:space="preserve"> </w:t>
      </w:r>
      <w:r>
        <w:t>в информационных системах персональных данных»;</w:t>
      </w:r>
      <w:r w:rsidR="00F86A05">
        <w:t xml:space="preserve"> (</w:t>
      </w:r>
      <w:hyperlink r:id="rId11" w:history="1">
        <w:r w:rsidR="00F86A05" w:rsidRPr="00A44302">
          <w:rPr>
            <w:rStyle w:val="a4"/>
          </w:rPr>
          <w:t>http://kremlin.ru/acts/bank/35900</w:t>
        </w:r>
      </w:hyperlink>
      <w:r w:rsidR="00F86A05">
        <w:t>)</w:t>
      </w:r>
    </w:p>
    <w:p w14:paraId="368EB71A" w14:textId="0B72AEA9" w:rsidR="00940BFF" w:rsidRDefault="00940BFF" w:rsidP="00940BFF">
      <w:r>
        <w:t></w:t>
      </w:r>
      <w:r>
        <w:tab/>
        <w:t>Постановление Правительства Российской Федерации от 06.07.2015 № 676</w:t>
      </w:r>
      <w:r w:rsidR="00F86A05">
        <w:t xml:space="preserve"> </w:t>
      </w:r>
      <w:r>
        <w:t>«О требованиях к порядку создания, развития, ввода в эксплуатацию, эксплуатации</w:t>
      </w:r>
      <w:r w:rsidR="00F86A05">
        <w:t xml:space="preserve"> </w:t>
      </w:r>
      <w: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>
        <w:t xml:space="preserve"> (</w:t>
      </w:r>
      <w:hyperlink r:id="rId12" w:history="1">
        <w:r w:rsidR="00F86A05" w:rsidRPr="00A44302">
          <w:rPr>
            <w:rStyle w:val="a4"/>
          </w:rPr>
          <w:t>https://base.garant.ru/71120998/</w:t>
        </w:r>
      </w:hyperlink>
      <w:r w:rsidR="00F86A05">
        <w:t>)</w:t>
      </w:r>
    </w:p>
    <w:p w14:paraId="1C132109" w14:textId="2E4B414F" w:rsidR="00940BFF" w:rsidRDefault="00940BFF" w:rsidP="00940BFF">
      <w:r>
        <w:t></w:t>
      </w:r>
      <w: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>
        <w:t xml:space="preserve"> (</w:t>
      </w:r>
      <w:hyperlink r:id="rId13" w:history="1">
        <w:r w:rsidR="00F86A05" w:rsidRPr="00A44302">
          <w:rPr>
            <w:rStyle w:val="a4"/>
          </w:rPr>
          <w:t>https://base.garant.ru/70807806/</w:t>
        </w:r>
      </w:hyperlink>
      <w:r w:rsidR="00F86A05">
        <w:t>)</w:t>
      </w:r>
    </w:p>
    <w:p w14:paraId="24E71FC7" w14:textId="0A11B779" w:rsidR="00940BFF" w:rsidRDefault="00940BFF" w:rsidP="00940BFF">
      <w:r>
        <w:t></w:t>
      </w:r>
      <w:r>
        <w:tab/>
        <w:t xml:space="preserve">Постановление Правительства </w:t>
      </w:r>
      <w:r w:rsidR="00F86A05">
        <w:t>С</w:t>
      </w:r>
      <w: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>
        <w:t>С</w:t>
      </w:r>
      <w:r>
        <w:t>вердловской области»;</w:t>
      </w:r>
    </w:p>
    <w:p w14:paraId="51BAD009" w14:textId="5B6BBCA8" w:rsidR="00940BFF" w:rsidRDefault="00940BFF" w:rsidP="00940BFF">
      <w:r>
        <w:t></w:t>
      </w:r>
      <w:r>
        <w:tab/>
        <w:t>«Лесной кодекс Российской Федерации» от 04.12.2006 № 200-ФЗ;</w:t>
      </w:r>
      <w:r w:rsidR="00F86A05">
        <w:t xml:space="preserve"> (</w:t>
      </w:r>
      <w:hyperlink r:id="rId14" w:history="1">
        <w:r w:rsidR="00F86A05" w:rsidRPr="00A44302">
          <w:rPr>
            <w:rStyle w:val="a4"/>
          </w:rPr>
          <w:t>http://kremlin.ru/acts/bank/24637</w:t>
        </w:r>
      </w:hyperlink>
      <w:r w:rsidR="00F86A05">
        <w:t>)</w:t>
      </w:r>
    </w:p>
    <w:p w14:paraId="06CBD2B3" w14:textId="77CBF5EC" w:rsidR="00940BFF" w:rsidRDefault="00940BFF" w:rsidP="00940BFF">
      <w:r>
        <w:lastRenderedPageBreak/>
        <w:t></w:t>
      </w:r>
      <w:r>
        <w:tab/>
        <w:t>«Земельный кодекс Российской Федерации» от 25.10.2001 № 136-ФЗ;</w:t>
      </w:r>
      <w:r w:rsidR="00F86A05">
        <w:t xml:space="preserve"> (</w:t>
      </w:r>
      <w:hyperlink r:id="rId15" w:history="1">
        <w:r w:rsidR="00F86A05" w:rsidRPr="00A44302">
          <w:rPr>
            <w:rStyle w:val="a4"/>
          </w:rPr>
          <w:t>http://kremlin.ru/acts/bank/17478</w:t>
        </w:r>
      </w:hyperlink>
      <w:r w:rsidR="00F86A05">
        <w:t>)</w:t>
      </w:r>
    </w:p>
    <w:p w14:paraId="545EBFF1" w14:textId="4EA76F7F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>
        <w:t xml:space="preserve"> </w:t>
      </w:r>
      <w:r w:rsidR="00193C64">
        <w:t>(</w:t>
      </w:r>
      <w:hyperlink r:id="rId16" w:history="1">
        <w:r w:rsidR="00193C64" w:rsidRPr="00A44302">
          <w:rPr>
            <w:rStyle w:val="a4"/>
          </w:rPr>
          <w:t>http://kremlin.ru/acts/bank/46312</w:t>
        </w:r>
      </w:hyperlink>
      <w:r w:rsidR="00193C64">
        <w:t>)</w:t>
      </w:r>
    </w:p>
    <w:p w14:paraId="76AB1552" w14:textId="0E5CD038" w:rsidR="00940BFF" w:rsidRDefault="00940BFF" w:rsidP="00940BFF">
      <w:r>
        <w:t></w:t>
      </w:r>
      <w:r>
        <w:tab/>
        <w:t>Приказ Министерства природных ресурсов Российской Федерации от 31.10.2007</w:t>
      </w:r>
      <w:r w:rsidR="00193C64">
        <w:t xml:space="preserve"> </w:t>
      </w:r>
      <w: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>
        <w:t xml:space="preserve"> (</w:t>
      </w:r>
      <w:hyperlink r:id="rId17" w:history="1">
        <w:r w:rsidR="00110EF5" w:rsidRPr="00A44302">
          <w:rPr>
            <w:rStyle w:val="a4"/>
          </w:rPr>
          <w:t>http://leskom.nov.ru/docs/entry/242</w:t>
        </w:r>
      </w:hyperlink>
      <w:r w:rsidR="00110EF5">
        <w:t>)</w:t>
      </w:r>
    </w:p>
    <w:p w14:paraId="1C5DD950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Default="00940BFF" w:rsidP="00940BFF">
      <w:r>
        <w:t></w:t>
      </w:r>
      <w: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25.10.2016 № 558 Об утверждении «Административного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Default="00940BFF" w:rsidP="00940BFF">
      <w:r>
        <w:t></w:t>
      </w:r>
      <w:r>
        <w:tab/>
        <w:t xml:space="preserve"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</w:t>
      </w:r>
      <w:r>
        <w:lastRenderedPageBreak/>
        <w:t>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Default="00940BFF" w:rsidP="00940BFF">
      <w:r>
        <w:t></w:t>
      </w:r>
      <w: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Default="00940BFF" w:rsidP="00940BFF">
      <w:r>
        <w:lastRenderedPageBreak/>
        <w:t></w:t>
      </w:r>
      <w: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Default="008B773D" w:rsidP="00940BFF"/>
    <w:p w14:paraId="7BE19631" w14:textId="77777777" w:rsidR="008B773D" w:rsidRDefault="008B773D" w:rsidP="008B773D">
      <w:pPr>
        <w:pStyle w:val="tdtoccaptionlevel2"/>
        <w:rPr>
          <w:rFonts w:eastAsia="Calibri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>
        <w:rPr>
          <w:rFonts w:eastAsia="Calibri"/>
        </w:rPr>
        <w:t xml:space="preserve">Плановые сроки </w:t>
      </w:r>
      <w:bookmarkEnd w:id="0"/>
      <w:bookmarkEnd w:id="1"/>
      <w:bookmarkEnd w:id="2"/>
      <w:bookmarkEnd w:id="3"/>
      <w:r>
        <w:rPr>
          <w:rFonts w:eastAsia="Calibri"/>
        </w:rPr>
        <w:t>выполнения работ</w:t>
      </w:r>
      <w:bookmarkEnd w:id="4"/>
    </w:p>
    <w:p w14:paraId="4D52F407" w14:textId="3B5881A9" w:rsidR="008B773D" w:rsidRDefault="008B773D" w:rsidP="008B773D">
      <w:pPr>
        <w:spacing w:before="120" w:line="288" w:lineRule="auto"/>
        <w:ind w:firstLine="709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 xml:space="preserve">Срок выполнения Работ – с момента </w:t>
      </w:r>
      <w:r>
        <w:rPr>
          <w:rFonts w:ascii="Liberation Serif" w:eastAsia="Calibri" w:hAnsi="Liberation Serif" w:cs="Liberation Serif"/>
          <w:spacing w:val="2"/>
        </w:rPr>
        <w:t>начала 8 учебного семестра до предварительной защиты дипломной работы.</w:t>
      </w:r>
    </w:p>
    <w:p w14:paraId="0458456D" w14:textId="77777777" w:rsidR="00B535F0" w:rsidRDefault="00B535F0" w:rsidP="00B535F0">
      <w:pPr>
        <w:pStyle w:val="tdtoccaptionlevel2"/>
        <w:rPr>
          <w:rFonts w:eastAsia="Calibri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>
        <w:rPr>
          <w:rFonts w:eastAsia="Calibri"/>
        </w:rPr>
        <w:t xml:space="preserve">Порядок оформления и предъявления результатов </w:t>
      </w:r>
      <w:bookmarkEnd w:id="5"/>
      <w:bookmarkEnd w:id="6"/>
      <w:bookmarkEnd w:id="7"/>
      <w:bookmarkEnd w:id="8"/>
      <w:r>
        <w:rPr>
          <w:rFonts w:eastAsia="Calibri"/>
        </w:rPr>
        <w:t>работ</w:t>
      </w:r>
      <w:bookmarkEnd w:id="9"/>
    </w:p>
    <w:p w14:paraId="555903BE" w14:textId="444A1E7B" w:rsidR="00B535F0" w:rsidRPr="00B535F0" w:rsidRDefault="00B535F0" w:rsidP="00B535F0">
      <w:pPr>
        <w:ind w:firstLine="426"/>
        <w:rPr>
          <w:rFonts w:ascii="Liberation Serif" w:hAnsi="Liberation Serif" w:cs="Liberation Serif"/>
          <w:color w:val="FF0000"/>
        </w:rPr>
      </w:pPr>
      <w:r w:rsidRPr="00B535F0">
        <w:rPr>
          <w:rFonts w:ascii="Liberation Serif" w:hAnsi="Liberation Serif" w:cs="Liberation Serif"/>
          <w:color w:val="FF0000"/>
        </w:rPr>
        <w:t>???????</w:t>
      </w:r>
    </w:p>
    <w:p w14:paraId="72CB49F8" w14:textId="3CE216C0" w:rsidR="008B773D" w:rsidRDefault="00B535F0" w:rsidP="00B535F0">
      <w:pPr>
        <w:pStyle w:val="tdtoccaptionlevel2"/>
      </w:pPr>
      <w: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B535F0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B535F0" w:rsidRDefault="00B535F0" w:rsidP="00B535F0">
            <w:pPr>
              <w:rPr>
                <w:lang w:val="en-US" w:eastAsia="ru-RU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B535F0" w:rsidRDefault="00B535F0" w:rsidP="00B535F0">
            <w:pPr>
              <w:rPr>
                <w:lang w:val="en-US" w:eastAsia="ru-RU"/>
              </w:rPr>
            </w:pPr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англ</w:t>
            </w:r>
            <w:proofErr w:type="spellEnd"/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Liberation Serif" w:hAnsi="Liberation Serif"/>
                <w:sz w:val="22"/>
                <w:szCs w:val="22"/>
              </w:rPr>
              <w:t>А</w:t>
            </w:r>
            <w:proofErr w:type="spellStart"/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>pplication</w:t>
            </w:r>
            <w:proofErr w:type="spellEnd"/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 xml:space="preserve"> Programming Interface) </w:t>
            </w:r>
            <w:r>
              <w:rPr>
                <w:rFonts w:ascii="Liberation Serif" w:hAnsi="Liberation Serif"/>
                <w:sz w:val="22"/>
                <w:szCs w:val="22"/>
              </w:rPr>
              <w:t>программный</w:t>
            </w:r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iberation Serif" w:hAnsi="Liberation Serif"/>
                <w:sz w:val="22"/>
                <w:szCs w:val="22"/>
              </w:rPr>
              <w:t>интерфейс</w:t>
            </w:r>
            <w:r w:rsidRPr="00B535F0">
              <w:rPr>
                <w:rFonts w:ascii="Liberation Serif" w:hAnsi="Liberation Serif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iberation Serif" w:hAnsi="Liberation Serif"/>
                <w:sz w:val="22"/>
                <w:szCs w:val="22"/>
              </w:rPr>
              <w:t>приложения</w:t>
            </w:r>
          </w:p>
        </w:tc>
      </w:tr>
      <w:tr w:rsidR="00B535F0" w:rsidRPr="00B535F0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B535F0" w:rsidRDefault="00B535F0" w:rsidP="00B535F0">
            <w:pPr>
              <w:rPr>
                <w:lang w:val="en-US" w:eastAsia="ru-RU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B535F0" w:rsidRDefault="00B535F0" w:rsidP="00B535F0">
            <w:pPr>
              <w:rPr>
                <w:lang w:eastAsia="ru-RU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(англ. 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Entity-Relationship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B535F0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B535F0" w:rsidRDefault="00B535F0" w:rsidP="00B535F0">
            <w:pPr>
              <w:rPr>
                <w:lang w:val="en-US" w:eastAsia="ru-RU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B535F0" w:rsidRDefault="00B535F0" w:rsidP="00B535F0">
            <w:pPr>
              <w:rPr>
                <w:lang w:eastAsia="ru-RU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(англ. 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Unified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Modeling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Language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 диаграмма унифицированного языка моделирования)</w:t>
            </w:r>
          </w:p>
        </w:tc>
      </w:tr>
      <w:tr w:rsidR="00B535F0" w:rsidRPr="00B535F0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B535F0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База данных</w:t>
            </w:r>
          </w:p>
        </w:tc>
      </w:tr>
      <w:tr w:rsidR="00B535F0" w:rsidRPr="00B535F0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20DF8F5" w:rsidR="00B535F0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Государственное бюджетное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учереждение</w:t>
            </w:r>
            <w:proofErr w:type="spellEnd"/>
          </w:p>
        </w:tc>
      </w:tr>
      <w:tr w:rsidR="00B535F0" w14:paraId="0C8DAFAF" w14:textId="77777777" w:rsidTr="00DE071A">
        <w:tc>
          <w:tcPr>
            <w:tcW w:w="2972" w:type="dxa"/>
          </w:tcPr>
          <w:p w14:paraId="743C75DF" w14:textId="0EE89DC3" w:rsidR="00B535F0" w:rsidRDefault="00B535F0" w:rsidP="00DC72DD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Default="00B535F0" w:rsidP="00DC72DD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Государственный контракт</w:t>
            </w:r>
          </w:p>
        </w:tc>
      </w:tr>
      <w:tr w:rsidR="00B535F0" w14:paraId="0143B83A" w14:textId="77777777" w:rsidTr="00DE071A">
        <w:tc>
          <w:tcPr>
            <w:tcW w:w="2972" w:type="dxa"/>
          </w:tcPr>
          <w:p w14:paraId="32998153" w14:textId="7373BECB" w:rsidR="00B535F0" w:rsidRDefault="00B535F0" w:rsidP="00DC72DD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0541DEA4" w:rsidR="00B535F0" w:rsidRPr="00DE071A" w:rsidRDefault="00B535F0" w:rsidP="00B535F0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Единая государственная АИС учета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древисины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и сделок с ней</w:t>
            </w:r>
          </w:p>
        </w:tc>
      </w:tr>
      <w:tr w:rsidR="00DE071A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 система</w:t>
            </w:r>
          </w:p>
        </w:tc>
      </w:tr>
      <w:tr w:rsidR="00DE071A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Локально-нормативные акты</w:t>
            </w:r>
          </w:p>
        </w:tc>
      </w:tr>
      <w:tr w:rsidR="00DE071A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Несанкционированный доступ</w:t>
            </w:r>
          </w:p>
        </w:tc>
      </w:tr>
      <w:tr w:rsidR="00DE071A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Операционная система</w:t>
            </w:r>
          </w:p>
        </w:tc>
      </w:tr>
      <w:tr w:rsidR="00DE071A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Опытная эксплуатация</w:t>
            </w:r>
          </w:p>
        </w:tc>
      </w:tr>
      <w:tr w:rsidR="00DE071A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Программное обеспечение</w:t>
            </w:r>
          </w:p>
        </w:tc>
      </w:tr>
      <w:tr w:rsidR="00DE071A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lastRenderedPageBreak/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Свердловская область</w:t>
            </w:r>
          </w:p>
        </w:tc>
      </w:tr>
      <w:tr w:rsidR="00DE071A" w14:paraId="079AC13A" w14:textId="77777777" w:rsidTr="00DE071A">
        <w:tc>
          <w:tcPr>
            <w:tcW w:w="2972" w:type="dxa"/>
          </w:tcPr>
          <w:p w14:paraId="4E162408" w14:textId="5E1B732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Default="00DE071A" w:rsidP="00DE071A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14:paraId="12ED0319" w14:textId="77777777" w:rsidTr="00DE071A">
        <w:tc>
          <w:tcPr>
            <w:tcW w:w="2972" w:type="dxa"/>
          </w:tcPr>
          <w:p w14:paraId="0B9011A2" w14:textId="299C914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Default="00DE071A" w:rsidP="00DE071A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Default="00DE071A" w:rsidP="00DE071A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Default="0075032E">
      <w:pPr>
        <w:spacing w:line="240" w:lineRule="auto"/>
        <w:jc w:val="left"/>
      </w:pPr>
      <w:r>
        <w:br w:type="page"/>
      </w:r>
    </w:p>
    <w:p w14:paraId="6C252D51" w14:textId="5CF711FA" w:rsidR="00DE071A" w:rsidRDefault="0075032E" w:rsidP="0075032E">
      <w:pPr>
        <w:pStyle w:val="1"/>
        <w:numPr>
          <w:ilvl w:val="0"/>
          <w:numId w:val="5"/>
        </w:numPr>
        <w:jc w:val="center"/>
      </w:pPr>
      <w:r>
        <w:lastRenderedPageBreak/>
        <w:t>Ц</w:t>
      </w:r>
      <w:r>
        <w:t>ели создания системы</w:t>
      </w:r>
    </w:p>
    <w:p w14:paraId="089EF251" w14:textId="4CB83B4F" w:rsidR="0075032E" w:rsidRDefault="0075032E" w:rsidP="0075032E">
      <w:pPr>
        <w:ind w:firstLine="360"/>
      </w:pPr>
      <w:r w:rsidRPr="0075032E">
        <w:t>Целью создания Системы является повышение эффективности принятия решений по управлению лесным хозяйством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</w:p>
    <w:p w14:paraId="518E4BA3" w14:textId="5AF88AD9" w:rsidR="0075032E" w:rsidRDefault="0075032E" w:rsidP="0075032E"/>
    <w:p w14:paraId="0BF3907C" w14:textId="676A3B7B" w:rsidR="0075032E" w:rsidRDefault="0075032E">
      <w:pPr>
        <w:spacing w:line="240" w:lineRule="auto"/>
        <w:jc w:val="left"/>
      </w:pPr>
      <w:r>
        <w:br w:type="page"/>
      </w:r>
    </w:p>
    <w:p w14:paraId="7178D378" w14:textId="5444105D" w:rsidR="0075032E" w:rsidRDefault="0075032E" w:rsidP="0075032E">
      <w:pPr>
        <w:pStyle w:val="a3"/>
        <w:numPr>
          <w:ilvl w:val="0"/>
          <w:numId w:val="5"/>
        </w:numPr>
      </w:pPr>
      <w:bookmarkStart w:id="10" w:name="_Toc81309855"/>
      <w:bookmarkStart w:id="11" w:name="_Toc97713589"/>
      <w:r w:rsidRPr="0075032E">
        <w:rPr>
          <w:rFonts w:ascii="Liberation Serif" w:hAnsi="Liberation Serif" w:cs="Liberation Serif"/>
          <w:b/>
          <w:caps/>
          <w:color w:val="auto"/>
          <w:sz w:val="24"/>
        </w:rPr>
        <w:lastRenderedPageBreak/>
        <w:t>Характеристика объекта автоматизации</w:t>
      </w:r>
      <w:bookmarkEnd w:id="10"/>
      <w:bookmarkEnd w:id="11"/>
    </w:p>
    <w:p w14:paraId="7DBE50DD" w14:textId="77777777" w:rsidR="0075032E" w:rsidRDefault="0075032E" w:rsidP="0075032E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Субъектом автоматизации является Минприроды Свердловской области.</w:t>
      </w:r>
    </w:p>
    <w:p w14:paraId="0931201B" w14:textId="77777777" w:rsidR="0075032E" w:rsidRDefault="0075032E" w:rsidP="0075032E">
      <w:pPr>
        <w:pStyle w:val="Abzatsotstup"/>
        <w:ind w:firstLine="360"/>
        <w:rPr>
          <w:rFonts w:ascii="Liberation Serif" w:eastAsiaTheme="minorHAnsi" w:hAnsi="Liberation Serif" w:cs="Liberation Serif"/>
          <w:color w:val="000000" w:themeColor="text1"/>
        </w:rPr>
      </w:pPr>
      <w:r>
        <w:rPr>
          <w:rFonts w:ascii="Liberation Serif" w:eastAsiaTheme="minorHAnsi" w:hAnsi="Liberation Serif" w:cs="Liberation Serif"/>
          <w:color w:val="000000" w:themeColor="text1"/>
        </w:rPr>
        <w:t>Объектом для автоматизации является совокупность взаимосвязанных бизнес-процессов Минприроды Свердловской области:</w:t>
      </w:r>
    </w:p>
    <w:p w14:paraId="3CA95BFD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Оформление права пользования лесным участком:</w:t>
      </w:r>
    </w:p>
    <w:p w14:paraId="483ACAE2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постоянное (бессрочное) пользование лесным участком;</w:t>
      </w:r>
    </w:p>
    <w:p w14:paraId="12860F01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ограниченное пользование чужим лесным участком (сервитут, публичный сервитут);</w:t>
      </w:r>
    </w:p>
    <w:p w14:paraId="3BFA571B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аренда лесного участка;</w:t>
      </w:r>
    </w:p>
    <w:p w14:paraId="0DEC7410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безвозмездное пользование лесным участком.</w:t>
      </w:r>
    </w:p>
    <w:p w14:paraId="432D47B4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Проведение государственной экспертизы проектов освоения лесов, расположенных на землях лесного фонда.</w:t>
      </w:r>
    </w:p>
    <w:p w14:paraId="3B249F94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Согласование проекта рекультивации нарушенных земель/ проекта лесовосстановления.</w:t>
      </w:r>
    </w:p>
    <w:p w14:paraId="070ACCC8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Прием лесной декларации и отчетов об использовании лесов: </w:t>
      </w:r>
    </w:p>
    <w:p w14:paraId="445ECA3B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об использовании лесов;</w:t>
      </w:r>
    </w:p>
    <w:p w14:paraId="03810E68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об охране и защите лесов;</w:t>
      </w:r>
    </w:p>
    <w:p w14:paraId="09125E83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воспроизводстве лесов и лесоразведении;</w:t>
      </w:r>
    </w:p>
    <w:p w14:paraId="20C079F2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охране лесов от пожаров;</w:t>
      </w:r>
    </w:p>
    <w:p w14:paraId="1312EECA" w14:textId="77777777" w:rsidR="0075032E" w:rsidRDefault="0075032E" w:rsidP="0075032E">
      <w:pPr>
        <w:pStyle w:val="a3"/>
        <w:numPr>
          <w:ilvl w:val="0"/>
          <w:numId w:val="7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об охране лесов от загрязнения и иного негативного воздействия. </w:t>
      </w:r>
    </w:p>
    <w:p w14:paraId="585F85DC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Формирование акта о лесном пожаре.</w:t>
      </w:r>
    </w:p>
    <w:p w14:paraId="639F37E4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Утверждение акта лесопатологического обследования.</w:t>
      </w:r>
    </w:p>
    <w:p w14:paraId="6E30000A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Предоставление выписки из государственного лесного реестра.</w:t>
      </w:r>
    </w:p>
    <w:p w14:paraId="427E7426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Выдача</w:t>
      </w:r>
      <w:bookmarkStart w:id="12" w:name="_GoBack"/>
      <w:bookmarkEnd w:id="12"/>
      <w:r>
        <w:rPr>
          <w:rFonts w:ascii="Liberation Serif" w:hAnsi="Liberation Serif" w:cs="Liberation Serif"/>
          <w:sz w:val="24"/>
        </w:rPr>
        <w:t xml:space="preserve">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РФ.</w:t>
      </w:r>
    </w:p>
    <w:p w14:paraId="083A9AAB" w14:textId="77777777" w:rsidR="0075032E" w:rsidRDefault="0075032E" w:rsidP="0075032E">
      <w:pPr>
        <w:pStyle w:val="a3"/>
        <w:numPr>
          <w:ilvl w:val="0"/>
          <w:numId w:val="6"/>
        </w:numPr>
        <w:suppressAutoHyphens/>
        <w:spacing w:after="160" w:line="259" w:lineRule="auto"/>
        <w:jc w:val="lef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Информирование населения о введении особых противопожарных режимов и классов пожарной опасности по условиям погоды.</w:t>
      </w:r>
    </w:p>
    <w:p w14:paraId="3E60D6DA" w14:textId="77777777" w:rsidR="0075032E" w:rsidRPr="0075032E" w:rsidRDefault="0075032E" w:rsidP="0075032E"/>
    <w:sectPr w:rsidR="0075032E" w:rsidRPr="00750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5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A10827"/>
    <w:multiLevelType w:val="hybridMultilevel"/>
    <w:tmpl w:val="4144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A4"/>
    <w:rsid w:val="00053716"/>
    <w:rsid w:val="00110EF5"/>
    <w:rsid w:val="00193C64"/>
    <w:rsid w:val="0075032E"/>
    <w:rsid w:val="008B773D"/>
    <w:rsid w:val="00940BFF"/>
    <w:rsid w:val="009F440D"/>
    <w:rsid w:val="00AC6BA4"/>
    <w:rsid w:val="00B535F0"/>
    <w:rsid w:val="00DE071A"/>
    <w:rsid w:val="00EA252B"/>
    <w:rsid w:val="00F00F02"/>
    <w:rsid w:val="00F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52B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EA252B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A252B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A252B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A252B"/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8</cp:revision>
  <dcterms:created xsi:type="dcterms:W3CDTF">2023-11-08T11:10:00Z</dcterms:created>
  <dcterms:modified xsi:type="dcterms:W3CDTF">2023-11-20T09:02:00Z</dcterms:modified>
</cp:coreProperties>
</file>