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720" w:firstLine="0"/>
        <w:jc w:val="center"/>
        <w:rPr>
          <w:sz w:val="32"/>
          <w:szCs w:val="32"/>
        </w:rPr>
      </w:pPr>
      <w:bookmarkStart w:colFirst="0" w:colLast="0" w:name="_heading=h.p6fitkch5ili" w:id="0"/>
      <w:bookmarkEnd w:id="0"/>
      <w:r w:rsidDel="00000000" w:rsidR="00000000" w:rsidRPr="00000000">
        <w:rPr>
          <w:sz w:val="32"/>
          <w:szCs w:val="32"/>
          <w:rtl w:val="0"/>
        </w:rPr>
        <w:t xml:space="preserve">Burn Care Data Use Cases: Real-World Examples</w:t>
      </w:r>
    </w:p>
    <w:p w:rsidR="00000000" w:rsidDel="00000000" w:rsidP="00000000" w:rsidRDefault="00000000" w:rsidRPr="00000000" w14:paraId="00000002">
      <w:pPr>
        <w:rPr/>
      </w:pPr>
      <w:r w:rsidDel="00000000" w:rsidR="00000000" w:rsidRPr="00000000">
        <w:rPr>
          <w:b w:val="1"/>
          <w:bCs w:val="1"/>
          <w:rtl w:val="0"/>
        </w:rPr>
        <w:t xml:space="preserve">Section 1: Burn Care Referral Networks</w:t>
      </w:r>
      <w:r w:rsidDel="00000000" w:rsidR="00000000" w:rsidRPr="00000000">
        <w:rPr>
          <w:rtl w:val="0"/>
        </w:rPr>
      </w:r>
    </w:p>
    <w:p w:rsidR="00000000" w:rsidDel="00000000" w:rsidP="00000000" w:rsidRDefault="00000000" w:rsidRPr="00000000" w14:paraId="00000003">
      <w:pPr>
        <w:numPr>
          <w:ilvl w:val="0"/>
          <w:numId w:val="2"/>
        </w:numPr>
        <w:ind w:left="720" w:hanging="360"/>
        <w:rPr>
          <w:u w:val="none"/>
        </w:rPr>
      </w:pPr>
      <w:r w:rsidDel="00000000" w:rsidR="00000000" w:rsidRPr="00000000">
        <w:rPr>
          <w:b w:val="1"/>
          <w:bCs w:val="1"/>
          <w:sz w:val="20"/>
          <w:szCs w:val="20"/>
          <w:rtl w:val="0"/>
        </w:rPr>
        <w:t xml:space="preserve">Published</w:t>
      </w:r>
      <w:r w:rsidDel="00000000" w:rsidR="00000000" w:rsidRPr="00000000">
        <w:rPr>
          <w:sz w:val="20"/>
          <w:szCs w:val="20"/>
          <w:rtl w:val="0"/>
        </w:rPr>
        <w:t xml:space="preserve">: 2023; </w:t>
      </w:r>
      <w:r w:rsidDel="00000000" w:rsidR="00000000" w:rsidRPr="00000000">
        <w:rPr>
          <w:b w:val="1"/>
          <w:bCs w:val="1"/>
          <w:sz w:val="20"/>
          <w:szCs w:val="20"/>
          <w:rtl w:val="0"/>
        </w:rPr>
        <w:t xml:space="preserve">Title</w:t>
      </w:r>
      <w:r w:rsidDel="00000000" w:rsidR="00000000" w:rsidRPr="00000000">
        <w:rPr>
          <w:sz w:val="20"/>
          <w:szCs w:val="20"/>
          <w:rtl w:val="0"/>
        </w:rPr>
        <w:t xml:space="preserve">: Palliative Care and Burn Care: Empirically Derived Referral Criteria; </w:t>
      </w:r>
      <w:r w:rsidDel="00000000" w:rsidR="00000000" w:rsidRPr="00000000">
        <w:rPr>
          <w:b w:val="1"/>
          <w:bCs w:val="1"/>
          <w:sz w:val="20"/>
          <w:szCs w:val="20"/>
          <w:rtl w:val="0"/>
        </w:rPr>
        <w:t xml:space="preserve">Authors</w:t>
      </w:r>
      <w:r w:rsidDel="00000000" w:rsidR="00000000" w:rsidRPr="00000000">
        <w:rPr>
          <w:sz w:val="20"/>
          <w:szCs w:val="20"/>
          <w:rtl w:val="0"/>
        </w:rPr>
        <w:t xml:space="preserve">: </w:t>
      </w:r>
      <w:r w:rsidDel="00000000" w:rsidR="00000000" w:rsidRPr="00000000">
        <w:rPr>
          <w:color w:val="2a2a2a"/>
          <w:sz w:val="20"/>
          <w:szCs w:val="20"/>
          <w:rtl w:val="0"/>
        </w:rPr>
        <w:t xml:space="preserve">Daniel H. Grossoehme, Valerie, Shaner, Sarah Friebert, Miraides Brown, Stephanie Steiner, Anjay Khandewal, Shari W. Eickmeyer, Esterh Teo, Carrie Brown, Ricahrd Lou</w:t>
      </w:r>
      <w:r w:rsidDel="00000000" w:rsidR="00000000" w:rsidRPr="00000000">
        <w:rPr>
          <w:rtl w:val="0"/>
        </w:rPr>
      </w:r>
    </w:p>
    <w:p w:rsidR="00000000" w:rsidDel="00000000" w:rsidP="00000000" w:rsidRDefault="00000000" w:rsidRPr="00000000" w14:paraId="00000004">
      <w:pPr>
        <w:numPr>
          <w:ilvl w:val="1"/>
          <w:numId w:val="2"/>
        </w:numPr>
        <w:ind w:left="1440" w:hanging="360"/>
        <w:rPr>
          <w:u w:val="none"/>
        </w:rPr>
      </w:pPr>
      <w:r w:rsidDel="00000000" w:rsidR="00000000" w:rsidRPr="00000000">
        <w:rPr>
          <w:b w:val="1"/>
          <w:bCs w:val="1"/>
          <w:sz w:val="20"/>
          <w:szCs w:val="20"/>
          <w:rtl w:val="0"/>
        </w:rPr>
        <w:t xml:space="preserve">Summary</w:t>
      </w:r>
      <w:r w:rsidDel="00000000" w:rsidR="00000000" w:rsidRPr="00000000">
        <w:rPr>
          <w:rtl w:val="0"/>
        </w:rPr>
      </w:r>
    </w:p>
    <w:p w:rsidR="00000000" w:rsidDel="00000000" w:rsidP="00000000" w:rsidRDefault="00000000" w:rsidRPr="00000000" w14:paraId="00000005">
      <w:pPr>
        <w:ind w:left="1440" w:firstLine="0"/>
        <w:rPr>
          <w:sz w:val="20"/>
          <w:szCs w:val="20"/>
        </w:rPr>
      </w:pPr>
      <w:r w:rsidDel="00000000" w:rsidR="00000000" w:rsidRPr="00000000">
        <w:rPr>
          <w:sz w:val="20"/>
          <w:szCs w:val="20"/>
          <w:rtl w:val="0"/>
        </w:rPr>
        <w:t xml:space="preserve">This mixed-methods study developed empirically derived referral criteria to guide when hospitalized burn patients should be referred to specialist palliative care (PC). Using retrospective data from a Midwestern ABA-accredited burn center, the authors compared patients who received PC consultation with matched controls who did not, using propensity score matching on age and total body surface area burned. Quantitative analyses identified significant differences between groups, while qualitative thematic analysis of PC provider notes characterized the types of services delivered. </w:t>
      </w:r>
    </w:p>
    <w:p w:rsidR="00000000" w:rsidDel="00000000" w:rsidP="00000000" w:rsidRDefault="00000000" w:rsidRPr="00000000" w14:paraId="00000006">
      <w:pPr>
        <w:ind w:left="1440" w:firstLine="0"/>
        <w:rPr>
          <w:sz w:val="20"/>
          <w:szCs w:val="20"/>
        </w:rPr>
      </w:pPr>
      <w:r w:rsidDel="00000000" w:rsidR="00000000" w:rsidRPr="00000000">
        <w:rPr>
          <w:sz w:val="20"/>
          <w:szCs w:val="20"/>
          <w:rtl w:val="0"/>
        </w:rPr>
        <w:t xml:space="preserve">Only 9.6% of admitted burn patients during the study period were referred to palliative care, despite evidence that PC addressed needs beyond end-of-life care. Patients referred to PC were more likely to die in the burn center, experience prolonged mechanical ventilation, and be part of multi-victim events. Qualitative findings revealed four core domains of PC involvement: symptom management, clarification of goals of care, end-of-life care, and psychosocial and family support. Expert panel review refined these findings into a structured set of referral criteria, incorporating clinical severity, psychosocial distress, prolonged recovery trajectories, and complex decision-making needs.</w:t>
      </w:r>
    </w:p>
    <w:p w:rsidR="00000000" w:rsidDel="00000000" w:rsidP="00000000" w:rsidRDefault="00000000" w:rsidRPr="00000000" w14:paraId="00000007">
      <w:pPr>
        <w:numPr>
          <w:ilvl w:val="1"/>
          <w:numId w:val="2"/>
        </w:numPr>
        <w:ind w:left="1440" w:hanging="360"/>
        <w:rPr>
          <w:b w:val="1"/>
          <w:bCs w:val="1"/>
          <w:sz w:val="20"/>
          <w:szCs w:val="20"/>
          <w:u w:val="none"/>
        </w:rPr>
      </w:pPr>
      <w:r w:rsidDel="00000000" w:rsidR="00000000" w:rsidRPr="00000000">
        <w:rPr>
          <w:b w:val="1"/>
          <w:bCs w:val="1"/>
          <w:sz w:val="20"/>
          <w:szCs w:val="20"/>
          <w:rtl w:val="0"/>
        </w:rPr>
        <w:t xml:space="preserve">Relevance to Referral Patterns Use Case </w:t>
      </w:r>
      <w:r w:rsidDel="00000000" w:rsidR="00000000" w:rsidRPr="00000000">
        <w:rPr>
          <w:rtl w:val="0"/>
        </w:rPr>
      </w:r>
    </w:p>
    <w:p w:rsidR="00000000" w:rsidDel="00000000" w:rsidP="00000000" w:rsidRDefault="00000000" w:rsidRPr="00000000" w14:paraId="00000008">
      <w:pPr>
        <w:ind w:left="1440" w:firstLine="0"/>
        <w:rPr>
          <w:sz w:val="20"/>
          <w:szCs w:val="20"/>
        </w:rPr>
      </w:pPr>
      <w:r w:rsidDel="00000000" w:rsidR="00000000" w:rsidRPr="00000000">
        <w:rPr>
          <w:sz w:val="20"/>
          <w:szCs w:val="20"/>
          <w:rtl w:val="0"/>
        </w:rPr>
        <w:t xml:space="preserve">This study directly informs referral pattern optimization by demonstrating that referrals to palliative care in burn centers are infrequent, inconsistent, and influenced by severity-driven rather than needs-based criteria. By establishing standardized, data-driven referral criteria, the work highlights how systematic approaches can reduce variability in care pathways and ensure that limited specialty resources are allocated to patients most likely to benefit. This aligns with broader goals of improving referral consistency across burn systems of care.</w:t>
      </w:r>
    </w:p>
    <w:p w:rsidR="00000000" w:rsidDel="00000000" w:rsidP="00000000" w:rsidRDefault="00000000" w:rsidRPr="00000000" w14:paraId="00000009">
      <w:pPr>
        <w:ind w:left="1440" w:firstLine="0"/>
        <w:rPr>
          <w:sz w:val="20"/>
          <w:szCs w:val="20"/>
        </w:rPr>
      </w:pPr>
      <w:r w:rsidDel="00000000" w:rsidR="00000000" w:rsidRPr="00000000">
        <w:rPr>
          <w:rtl w:val="0"/>
        </w:rPr>
      </w:r>
    </w:p>
    <w:p w:rsidR="00000000" w:rsidDel="00000000" w:rsidP="00000000" w:rsidRDefault="00000000" w:rsidRPr="00000000" w14:paraId="0000000A">
      <w:pPr>
        <w:numPr>
          <w:ilvl w:val="0"/>
          <w:numId w:val="2"/>
        </w:numPr>
        <w:ind w:left="720" w:hanging="360"/>
        <w:rPr>
          <w:sz w:val="20"/>
          <w:szCs w:val="20"/>
          <w:u w:val="none"/>
        </w:rPr>
      </w:pPr>
      <w:r w:rsidDel="00000000" w:rsidR="00000000" w:rsidRPr="00000000">
        <w:rPr>
          <w:b w:val="1"/>
          <w:bCs w:val="1"/>
          <w:sz w:val="20"/>
          <w:szCs w:val="20"/>
          <w:rtl w:val="0"/>
        </w:rPr>
        <w:t xml:space="preserve">Published</w:t>
      </w:r>
      <w:r w:rsidDel="00000000" w:rsidR="00000000" w:rsidRPr="00000000">
        <w:rPr>
          <w:sz w:val="20"/>
          <w:szCs w:val="20"/>
          <w:rtl w:val="0"/>
        </w:rPr>
        <w:t xml:space="preserve">: 2023; </w:t>
      </w:r>
      <w:r w:rsidDel="00000000" w:rsidR="00000000" w:rsidRPr="00000000">
        <w:rPr>
          <w:b w:val="1"/>
          <w:bCs w:val="1"/>
          <w:sz w:val="20"/>
          <w:szCs w:val="20"/>
          <w:rtl w:val="0"/>
        </w:rPr>
        <w:t xml:space="preserve">Title</w:t>
      </w:r>
      <w:r w:rsidDel="00000000" w:rsidR="00000000" w:rsidRPr="00000000">
        <w:rPr>
          <w:sz w:val="20"/>
          <w:szCs w:val="20"/>
          <w:rtl w:val="0"/>
        </w:rPr>
        <w:t xml:space="preserve">: Integrating Palliative Care into Burn Care: A Retrospective Application of Criteria for Appropriate Referral; </w:t>
      </w:r>
      <w:r w:rsidDel="00000000" w:rsidR="00000000" w:rsidRPr="00000000">
        <w:rPr>
          <w:b w:val="1"/>
          <w:bCs w:val="1"/>
          <w:sz w:val="20"/>
          <w:szCs w:val="20"/>
          <w:rtl w:val="0"/>
        </w:rPr>
        <w:t xml:space="preserve">Authors</w:t>
      </w:r>
      <w:r w:rsidDel="00000000" w:rsidR="00000000" w:rsidRPr="00000000">
        <w:rPr>
          <w:sz w:val="20"/>
          <w:szCs w:val="20"/>
          <w:rtl w:val="0"/>
        </w:rPr>
        <w:t xml:space="preserve">: </w:t>
      </w:r>
      <w:r w:rsidDel="00000000" w:rsidR="00000000" w:rsidRPr="00000000">
        <w:rPr>
          <w:color w:val="2a2a2a"/>
          <w:sz w:val="20"/>
          <w:szCs w:val="20"/>
          <w:rtl w:val="0"/>
        </w:rPr>
        <w:t xml:space="preserve">Daniel H. Grossoehme, Brianna M. Bish, Lou Richard, Anjay Khandelwal, Miraides Brown, Carrie Brown, Esther Teo, Sarah Friebert</w:t>
      </w:r>
      <w:r w:rsidDel="00000000" w:rsidR="00000000" w:rsidRPr="00000000">
        <w:rPr>
          <w:rtl w:val="0"/>
        </w:rPr>
      </w:r>
    </w:p>
    <w:p w:rsidR="00000000" w:rsidDel="00000000" w:rsidP="00000000" w:rsidRDefault="00000000" w:rsidRPr="00000000" w14:paraId="0000000B">
      <w:pPr>
        <w:numPr>
          <w:ilvl w:val="1"/>
          <w:numId w:val="2"/>
        </w:numPr>
        <w:ind w:left="1440" w:hanging="360"/>
        <w:rPr>
          <w:b w:val="1"/>
          <w:bCs w:val="1"/>
          <w:color w:val="2a2a2a"/>
          <w:sz w:val="20"/>
          <w:szCs w:val="20"/>
        </w:rPr>
      </w:pPr>
      <w:r w:rsidDel="00000000" w:rsidR="00000000" w:rsidRPr="00000000">
        <w:rPr>
          <w:b w:val="1"/>
          <w:bCs w:val="1"/>
          <w:color w:val="2a2a2a"/>
          <w:sz w:val="20"/>
          <w:szCs w:val="20"/>
          <w:rtl w:val="0"/>
        </w:rPr>
        <w:t xml:space="preserve">Summary</w:t>
      </w:r>
    </w:p>
    <w:p w:rsidR="00000000" w:rsidDel="00000000" w:rsidP="00000000" w:rsidRDefault="00000000" w:rsidRPr="00000000" w14:paraId="0000000C">
      <w:pPr>
        <w:ind w:left="1440" w:firstLine="0"/>
        <w:rPr>
          <w:color w:val="2a2a2a"/>
          <w:sz w:val="20"/>
          <w:szCs w:val="20"/>
        </w:rPr>
      </w:pPr>
      <w:r w:rsidDel="00000000" w:rsidR="00000000" w:rsidRPr="00000000">
        <w:rPr>
          <w:color w:val="2a2a2a"/>
          <w:sz w:val="20"/>
          <w:szCs w:val="20"/>
          <w:rtl w:val="0"/>
        </w:rPr>
        <w:t xml:space="preserve">This retrospective study evaluates the performance of structured referral criteria for specialist palliative care (PC) consultation in an adult and pediatric burn center, addressing a well-documented gap in burn care where PC is consulted in only ~2% of burn admissions nationally. The authors reviewed 388 burn admissions over 15 months, applying previously developed consultation criteria and assessing their sensitivity, specificity, and predictive value. The referral criteria demonstrated high sensitivity (96%) and specificity (90%), though a low positive predictive value (43%), reflecting the low baseline prevalence of PC consultations. Patients who met consultation criteria were &gt;240 times more likely to receive a PC consult than those who did not. Characteristics significantly associated with PC consultation included longer length of stay (&gt;1 week), clinical deterioration events, presence of advance directives or Allow Natural Death (AND) orders, higher total body surface area burned, and higher modified Baux scores. Importantly, no significant differences in PC consultation were observed by race, ethnicity, sex, or age, suggesting that structured criteria may help mitigate inequities in referral practices. The authors propose refinements to the criteria—particularly lowering the modified Baux score threshold—to better identify patients likely to benefit from early PC involvement.</w:t>
      </w:r>
    </w:p>
    <w:p w:rsidR="00000000" w:rsidDel="00000000" w:rsidP="00000000" w:rsidRDefault="00000000" w:rsidRPr="00000000" w14:paraId="0000000D">
      <w:pPr>
        <w:numPr>
          <w:ilvl w:val="1"/>
          <w:numId w:val="2"/>
        </w:numPr>
        <w:ind w:left="1440" w:hanging="360"/>
        <w:rPr>
          <w:b w:val="1"/>
          <w:bCs w:val="1"/>
          <w:color w:val="2a2a2a"/>
          <w:sz w:val="20"/>
          <w:szCs w:val="20"/>
        </w:rPr>
      </w:pPr>
      <w:r w:rsidDel="00000000" w:rsidR="00000000" w:rsidRPr="00000000">
        <w:rPr>
          <w:b w:val="1"/>
          <w:bCs w:val="1"/>
          <w:color w:val="2a2a2a"/>
          <w:sz w:val="20"/>
          <w:szCs w:val="20"/>
          <w:rtl w:val="0"/>
        </w:rPr>
        <w:t xml:space="preserve">Relevance to Referral Patterns Use Case</w:t>
      </w:r>
    </w:p>
    <w:p w:rsidR="00000000" w:rsidDel="00000000" w:rsidP="00000000" w:rsidRDefault="00000000" w:rsidRPr="00000000" w14:paraId="0000000E">
      <w:pPr>
        <w:ind w:left="1440" w:firstLine="0"/>
        <w:rPr>
          <w:color w:val="2a2a2a"/>
          <w:sz w:val="20"/>
          <w:szCs w:val="20"/>
        </w:rPr>
      </w:pPr>
      <w:r w:rsidDel="00000000" w:rsidR="00000000" w:rsidRPr="00000000">
        <w:rPr>
          <w:color w:val="2a2a2a"/>
          <w:sz w:val="20"/>
          <w:szCs w:val="20"/>
          <w:rtl w:val="0"/>
        </w:rPr>
        <w:t xml:space="preserve">This article directly supports the referral patterns use case by demonstrating how data-driven, standardized criteria can guide appropriate specialty referral in burn care. Rather than relying on subjective judgment or late-stage clinical deterioration, the use of explicit referral thresholds enables earlier, more consistent consultation, improving care coordination and reducing variability across providers.</w:t>
      </w:r>
    </w:p>
    <w:p w:rsidR="00000000" w:rsidDel="00000000" w:rsidP="00000000" w:rsidRDefault="00000000" w:rsidRPr="00000000" w14:paraId="0000000F">
      <w:pPr>
        <w:ind w:left="1440" w:firstLine="0"/>
        <w:rPr>
          <w:color w:val="2a2a2a"/>
          <w:sz w:val="20"/>
          <w:szCs w:val="20"/>
        </w:rPr>
      </w:pPr>
      <w:r w:rsidDel="00000000" w:rsidR="00000000" w:rsidRPr="00000000">
        <w:rPr>
          <w:rtl w:val="0"/>
        </w:rPr>
      </w:r>
    </w:p>
    <w:p w:rsidR="00000000" w:rsidDel="00000000" w:rsidP="00000000" w:rsidRDefault="00000000" w:rsidRPr="00000000" w14:paraId="00000010">
      <w:pPr>
        <w:numPr>
          <w:ilvl w:val="0"/>
          <w:numId w:val="2"/>
        </w:numPr>
        <w:ind w:left="720" w:hanging="360"/>
        <w:rPr>
          <w:b w:val="1"/>
          <w:bCs w:val="1"/>
          <w:color w:val="2a2a2a"/>
          <w:sz w:val="20"/>
          <w:szCs w:val="20"/>
        </w:rPr>
      </w:pPr>
      <w:r w:rsidDel="00000000" w:rsidR="00000000" w:rsidRPr="00000000">
        <w:rPr>
          <w:b w:val="1"/>
          <w:bCs w:val="1"/>
          <w:color w:val="2a2a2a"/>
          <w:sz w:val="20"/>
          <w:szCs w:val="20"/>
          <w:rtl w:val="0"/>
        </w:rPr>
        <w:t xml:space="preserve">Published</w:t>
      </w:r>
      <w:r w:rsidDel="00000000" w:rsidR="00000000" w:rsidRPr="00000000">
        <w:rPr>
          <w:color w:val="2a2a2a"/>
          <w:sz w:val="20"/>
          <w:szCs w:val="20"/>
          <w:rtl w:val="0"/>
        </w:rPr>
        <w:t xml:space="preserve">: 2021; </w:t>
      </w:r>
      <w:r w:rsidDel="00000000" w:rsidR="00000000" w:rsidRPr="00000000">
        <w:rPr>
          <w:b w:val="1"/>
          <w:bCs w:val="1"/>
          <w:color w:val="2a2a2a"/>
          <w:sz w:val="20"/>
          <w:szCs w:val="20"/>
          <w:rtl w:val="0"/>
        </w:rPr>
        <w:t xml:space="preserve">Title</w:t>
      </w:r>
      <w:r w:rsidDel="00000000" w:rsidR="00000000" w:rsidRPr="00000000">
        <w:rPr>
          <w:color w:val="2a2a2a"/>
          <w:sz w:val="20"/>
          <w:szCs w:val="20"/>
          <w:rtl w:val="0"/>
        </w:rPr>
        <w:t xml:space="preserve">: Burn Center Referral Practice Evaluation and Treatment Outcomes Comparison Among Verified, Nonverified Burn Centers, and Nonburn Centers: A Statewide Perspective; </w:t>
      </w:r>
      <w:r w:rsidDel="00000000" w:rsidR="00000000" w:rsidRPr="00000000">
        <w:rPr>
          <w:b w:val="1"/>
          <w:bCs w:val="1"/>
          <w:color w:val="2a2a2a"/>
          <w:sz w:val="20"/>
          <w:szCs w:val="20"/>
          <w:rtl w:val="0"/>
        </w:rPr>
        <w:t xml:space="preserve">Authors</w:t>
      </w:r>
      <w:r w:rsidDel="00000000" w:rsidR="00000000" w:rsidRPr="00000000">
        <w:rPr>
          <w:color w:val="2a2a2a"/>
          <w:sz w:val="20"/>
          <w:szCs w:val="20"/>
          <w:rtl w:val="0"/>
        </w:rPr>
        <w:t xml:space="preserve">: Zhenna Huang, Linda Forst, and Lee S. Friedman</w:t>
      </w:r>
    </w:p>
    <w:p w:rsidR="00000000" w:rsidDel="00000000" w:rsidP="00000000" w:rsidRDefault="00000000" w:rsidRPr="00000000" w14:paraId="00000011">
      <w:pPr>
        <w:numPr>
          <w:ilvl w:val="1"/>
          <w:numId w:val="2"/>
        </w:numPr>
        <w:ind w:left="1440" w:hanging="360"/>
        <w:rPr>
          <w:b w:val="1"/>
          <w:bCs w:val="1"/>
          <w:color w:val="2a2a2a"/>
          <w:sz w:val="20"/>
          <w:szCs w:val="20"/>
        </w:rPr>
      </w:pPr>
      <w:r w:rsidDel="00000000" w:rsidR="00000000" w:rsidRPr="00000000">
        <w:rPr>
          <w:b w:val="1"/>
          <w:bCs w:val="1"/>
          <w:color w:val="2a2a2a"/>
          <w:sz w:val="20"/>
          <w:szCs w:val="20"/>
          <w:rtl w:val="0"/>
        </w:rPr>
        <w:t xml:space="preserve">Summary</w:t>
      </w:r>
    </w:p>
    <w:p w:rsidR="00000000" w:rsidDel="00000000" w:rsidP="00000000" w:rsidRDefault="00000000" w:rsidRPr="00000000" w14:paraId="00000012">
      <w:pPr>
        <w:ind w:left="1440" w:firstLine="0"/>
        <w:rPr>
          <w:color w:val="2a2a2a"/>
          <w:sz w:val="20"/>
          <w:szCs w:val="20"/>
        </w:rPr>
      </w:pPr>
      <w:r w:rsidDel="00000000" w:rsidR="00000000" w:rsidRPr="00000000">
        <w:rPr>
          <w:color w:val="2a2a2a"/>
          <w:sz w:val="20"/>
          <w:szCs w:val="20"/>
          <w:rtl w:val="0"/>
        </w:rPr>
        <w:t xml:space="preserve">This retrospective, statewide study evaluates adherence to American Burn Association (ABA) burn center referral criteria and compares treatment outcomes among patients treated at verified burn centers (VB), nonverified burn centers (NVB), and facilities without burn units (OF). Using comprehensive Illinois inpatient and outpatient hospital data from 2010–2015, the authors analyzed more than 96,000 burn cases, including detailed demographic, geographic, clinical, and outcome variables. Multivariable regression models were used to identify predictors of nonreferral and to assess differences in outcomes across facility types.</w:t>
      </w:r>
    </w:p>
    <w:p w:rsidR="00000000" w:rsidDel="00000000" w:rsidP="00000000" w:rsidRDefault="00000000" w:rsidRPr="00000000" w14:paraId="00000013">
      <w:pPr>
        <w:ind w:left="1440" w:firstLine="0"/>
        <w:rPr>
          <w:color w:val="2a2a2a"/>
          <w:sz w:val="20"/>
          <w:szCs w:val="20"/>
        </w:rPr>
      </w:pPr>
      <w:r w:rsidDel="00000000" w:rsidR="00000000" w:rsidRPr="00000000">
        <w:rPr>
          <w:color w:val="2a2a2a"/>
          <w:sz w:val="20"/>
          <w:szCs w:val="20"/>
          <w:rtl w:val="0"/>
        </w:rPr>
        <w:t xml:space="preserve">The study found substantial under-referral to burn centers: 66% of patients treated in facilities without specialized burn teams met ABA referral criteria, indicating missed opportunities for specialized care. Patients who were older, lived farther from burn centers, had multiple comorbidities, or were initially treated at Level I trauma centers without burn units were significantly less likely to be transferred, even when referral criteria were met. Distance to the nearest burn center emerged as a strong predictor of nonreferral.</w:t>
      </w:r>
    </w:p>
    <w:p w:rsidR="00000000" w:rsidDel="00000000" w:rsidP="00000000" w:rsidRDefault="00000000" w:rsidRPr="00000000" w14:paraId="00000014">
      <w:pPr>
        <w:ind w:left="1440" w:firstLine="0"/>
        <w:rPr>
          <w:b w:val="1"/>
          <w:bCs w:val="1"/>
          <w:color w:val="2a2a2a"/>
          <w:sz w:val="20"/>
          <w:szCs w:val="20"/>
        </w:rPr>
      </w:pPr>
      <w:r w:rsidDel="00000000" w:rsidR="00000000" w:rsidRPr="00000000">
        <w:rPr>
          <w:color w:val="2a2a2a"/>
          <w:sz w:val="20"/>
          <w:szCs w:val="20"/>
          <w:rtl w:val="0"/>
        </w:rPr>
        <w:t xml:space="preserve">Despite treating more severe injuries, both verified and nonverified burn centers demonstrated better functional outcomes than nonburn facilities, including lower rates of infection, shorter length of hospitalization, and reduced likelihood of discharge to skilled nursing or rehabilitation facilities, with comparable in-hospital mortality after adjustment. These findings suggest that specialized burn care improves recovery and downstream resource utilization, even when mortality differences are modest.</w:t>
      </w:r>
      <w:r w:rsidDel="00000000" w:rsidR="00000000" w:rsidRPr="00000000">
        <w:rPr>
          <w:rtl w:val="0"/>
        </w:rPr>
      </w:r>
    </w:p>
    <w:p w:rsidR="00000000" w:rsidDel="00000000" w:rsidP="00000000" w:rsidRDefault="00000000" w:rsidRPr="00000000" w14:paraId="00000015">
      <w:pPr>
        <w:numPr>
          <w:ilvl w:val="1"/>
          <w:numId w:val="2"/>
        </w:numPr>
        <w:ind w:left="1440" w:hanging="360"/>
        <w:rPr>
          <w:b w:val="1"/>
          <w:bCs w:val="1"/>
          <w:color w:val="2a2a2a"/>
          <w:sz w:val="20"/>
          <w:szCs w:val="20"/>
          <w:u w:val="none"/>
        </w:rPr>
      </w:pPr>
      <w:r w:rsidDel="00000000" w:rsidR="00000000" w:rsidRPr="00000000">
        <w:rPr>
          <w:b w:val="1"/>
          <w:bCs w:val="1"/>
          <w:color w:val="2a2a2a"/>
          <w:sz w:val="20"/>
          <w:szCs w:val="20"/>
          <w:rtl w:val="0"/>
        </w:rPr>
        <w:t xml:space="preserve">Relevance to Referral Patterns Use Case</w:t>
      </w:r>
    </w:p>
    <w:p w:rsidR="00000000" w:rsidDel="00000000" w:rsidP="00000000" w:rsidRDefault="00000000" w:rsidRPr="00000000" w14:paraId="00000016">
      <w:pPr>
        <w:ind w:left="1440" w:firstLine="0"/>
        <w:rPr>
          <w:color w:val="2a2a2a"/>
          <w:sz w:val="20"/>
          <w:szCs w:val="20"/>
        </w:rPr>
      </w:pPr>
      <w:r w:rsidDel="00000000" w:rsidR="00000000" w:rsidRPr="00000000">
        <w:rPr>
          <w:color w:val="2a2a2a"/>
          <w:sz w:val="20"/>
          <w:szCs w:val="20"/>
          <w:rtl w:val="0"/>
        </w:rPr>
        <w:t xml:space="preserve">This article directly illustrates a system-level referral problem: established referral criteria exist, but real-world adherence is inconsistent. The study highlights how referral decisions are influenced not only by clinical severity, but also by geography, age, comorbidities, and institutional context, making referral behavior a prime candidate for data-driven analysis and optimization.</w:t>
      </w:r>
    </w:p>
    <w:p w:rsidR="00000000" w:rsidDel="00000000" w:rsidP="00000000" w:rsidRDefault="00000000" w:rsidRPr="00000000" w14:paraId="00000017">
      <w:pPr>
        <w:ind w:left="1440" w:firstLine="0"/>
        <w:rPr>
          <w:color w:val="2a2a2a"/>
          <w:sz w:val="20"/>
          <w:szCs w:val="20"/>
        </w:rPr>
      </w:pPr>
      <w:r w:rsidDel="00000000" w:rsidR="00000000" w:rsidRPr="00000000">
        <w:rPr>
          <w:rtl w:val="0"/>
        </w:rPr>
      </w:r>
    </w:p>
    <w:p w:rsidR="00000000" w:rsidDel="00000000" w:rsidP="00000000" w:rsidRDefault="00000000" w:rsidRPr="00000000" w14:paraId="00000018">
      <w:pPr>
        <w:ind w:left="0" w:firstLine="0"/>
        <w:rPr>
          <w:color w:val="2a2a2a"/>
          <w:sz w:val="20"/>
          <w:szCs w:val="20"/>
        </w:rPr>
      </w:pPr>
      <w:r w:rsidDel="00000000" w:rsidR="00000000" w:rsidRPr="00000000">
        <w:rPr>
          <w:rtl w:val="0"/>
        </w:rPr>
      </w:r>
    </w:p>
    <w:p w:rsidR="00000000" w:rsidDel="00000000" w:rsidP="00000000" w:rsidRDefault="00000000" w:rsidRPr="00000000" w14:paraId="00000019">
      <w:pPr>
        <w:numPr>
          <w:ilvl w:val="0"/>
          <w:numId w:val="2"/>
        </w:numPr>
        <w:ind w:left="720" w:hanging="360"/>
        <w:rPr>
          <w:b w:val="1"/>
          <w:bCs w:val="1"/>
          <w:color w:val="2a2a2a"/>
          <w:sz w:val="20"/>
          <w:szCs w:val="20"/>
        </w:rPr>
      </w:pPr>
      <w:r w:rsidDel="00000000" w:rsidR="00000000" w:rsidRPr="00000000">
        <w:rPr>
          <w:b w:val="1"/>
          <w:bCs w:val="1"/>
          <w:color w:val="2a2a2a"/>
          <w:sz w:val="20"/>
          <w:szCs w:val="20"/>
          <w:rtl w:val="0"/>
        </w:rPr>
        <w:t xml:space="preserve">Published</w:t>
      </w:r>
      <w:r w:rsidDel="00000000" w:rsidR="00000000" w:rsidRPr="00000000">
        <w:rPr>
          <w:color w:val="2a2a2a"/>
          <w:sz w:val="20"/>
          <w:szCs w:val="20"/>
          <w:rtl w:val="0"/>
        </w:rPr>
        <w:t xml:space="preserve">: 2021; </w:t>
      </w:r>
      <w:r w:rsidDel="00000000" w:rsidR="00000000" w:rsidRPr="00000000">
        <w:rPr>
          <w:b w:val="1"/>
          <w:bCs w:val="1"/>
          <w:color w:val="2a2a2a"/>
          <w:sz w:val="20"/>
          <w:szCs w:val="20"/>
          <w:rtl w:val="0"/>
        </w:rPr>
        <w:t xml:space="preserve">Title</w:t>
      </w:r>
      <w:r w:rsidDel="00000000" w:rsidR="00000000" w:rsidRPr="00000000">
        <w:rPr>
          <w:color w:val="2a2a2a"/>
          <w:sz w:val="20"/>
          <w:szCs w:val="20"/>
          <w:rtl w:val="0"/>
        </w:rPr>
        <w:t xml:space="preserve">: The Effect of Transfer on Outcomes in Burns; </w:t>
      </w:r>
      <w:r w:rsidDel="00000000" w:rsidR="00000000" w:rsidRPr="00000000">
        <w:rPr>
          <w:b w:val="1"/>
          <w:bCs w:val="1"/>
          <w:color w:val="2a2a2a"/>
          <w:sz w:val="20"/>
          <w:szCs w:val="20"/>
          <w:rtl w:val="0"/>
        </w:rPr>
        <w:t xml:space="preserve">Authors</w:t>
      </w:r>
      <w:r w:rsidDel="00000000" w:rsidR="00000000" w:rsidRPr="00000000">
        <w:rPr>
          <w:color w:val="2a2a2a"/>
          <w:sz w:val="20"/>
          <w:szCs w:val="20"/>
          <w:rtl w:val="0"/>
        </w:rPr>
        <w:t xml:space="preserve">: Nathan Bodily, Elizabeth Bruenderman, Neal Bhutiani, Selena The, Jessica Schucht, Matthew Bozeman</w:t>
      </w:r>
    </w:p>
    <w:p w:rsidR="00000000" w:rsidDel="00000000" w:rsidP="00000000" w:rsidRDefault="00000000" w:rsidRPr="00000000" w14:paraId="0000001A">
      <w:pPr>
        <w:numPr>
          <w:ilvl w:val="1"/>
          <w:numId w:val="2"/>
        </w:numPr>
        <w:ind w:left="1440" w:hanging="360"/>
        <w:rPr>
          <w:b w:val="1"/>
          <w:bCs w:val="1"/>
          <w:color w:val="2a2a2a"/>
          <w:sz w:val="20"/>
          <w:szCs w:val="20"/>
        </w:rPr>
      </w:pPr>
      <w:r w:rsidDel="00000000" w:rsidR="00000000" w:rsidRPr="00000000">
        <w:rPr>
          <w:b w:val="1"/>
          <w:bCs w:val="1"/>
          <w:color w:val="2a2a2a"/>
          <w:sz w:val="20"/>
          <w:szCs w:val="20"/>
          <w:rtl w:val="0"/>
        </w:rPr>
        <w:t xml:space="preserve">Summary</w:t>
      </w:r>
    </w:p>
    <w:p w:rsidR="00000000" w:rsidDel="00000000" w:rsidP="00000000" w:rsidRDefault="00000000" w:rsidRPr="00000000" w14:paraId="0000001B">
      <w:pPr>
        <w:ind w:left="1440" w:firstLine="0"/>
        <w:rPr>
          <w:color w:val="2a2a2a"/>
          <w:sz w:val="20"/>
          <w:szCs w:val="20"/>
        </w:rPr>
      </w:pPr>
      <w:r w:rsidDel="00000000" w:rsidR="00000000" w:rsidRPr="00000000">
        <w:rPr>
          <w:color w:val="2a2a2a"/>
          <w:sz w:val="20"/>
          <w:szCs w:val="20"/>
          <w:rtl w:val="0"/>
        </w:rPr>
        <w:t xml:space="preserve">This retrospective case–control study evaluates whether interfacility transfer delays affect outcomes for adult burn patients who meet American Burn Association (ABA) burn center referral criteria. Using burn registry data from a single verified burn center between 2016 and 2019, the authors compared 122 patients, evenly split between those directly admitted from the field and those initially treated at an outlying facility and subsequently transferred.</w:t>
      </w:r>
    </w:p>
    <w:p w:rsidR="00000000" w:rsidDel="00000000" w:rsidP="00000000" w:rsidRDefault="00000000" w:rsidRPr="00000000" w14:paraId="0000001C">
      <w:pPr>
        <w:ind w:left="1440" w:firstLine="0"/>
        <w:rPr>
          <w:color w:val="2a2a2a"/>
          <w:sz w:val="20"/>
          <w:szCs w:val="20"/>
        </w:rPr>
      </w:pPr>
      <w:r w:rsidDel="00000000" w:rsidR="00000000" w:rsidRPr="00000000">
        <w:rPr>
          <w:color w:val="2a2a2a"/>
          <w:sz w:val="20"/>
          <w:szCs w:val="20"/>
          <w:rtl w:val="0"/>
        </w:rPr>
        <w:t xml:space="preserve">While transferred patients experienced a significantly longer time from injury to burn center admission (median 8 hours vs 1 hour), there were no differences in key outcomes such as mortality, length of stay, ventilator days, or total number of operations. Directly admitted patients were more likely to present with higher-acuity features, including inhalation injury, need for intubation after admission, emergent procedures, and infectious complications—suggesting that sicker patients were appropriately identified and triaged directly to burn centers. Subgroup analyses (patients with &lt;15% and &gt;15% TBSA burns) reinforced that short transfer delays did not adversely affect outcomes for lower-acuity patients, while high-acuity patients benefited from immediate burn center care.</w:t>
      </w:r>
    </w:p>
    <w:p w:rsidR="00000000" w:rsidDel="00000000" w:rsidP="00000000" w:rsidRDefault="00000000" w:rsidRPr="00000000" w14:paraId="0000001D">
      <w:pPr>
        <w:ind w:left="1440" w:firstLine="0"/>
        <w:rPr>
          <w:b w:val="1"/>
          <w:bCs w:val="1"/>
          <w:color w:val="2a2a2a"/>
          <w:sz w:val="20"/>
          <w:szCs w:val="20"/>
        </w:rPr>
      </w:pPr>
      <w:r w:rsidDel="00000000" w:rsidR="00000000" w:rsidRPr="00000000">
        <w:rPr>
          <w:color w:val="2a2a2a"/>
          <w:sz w:val="20"/>
          <w:szCs w:val="20"/>
          <w:rtl w:val="0"/>
        </w:rPr>
        <w:t xml:space="preserve">The study highlights the tension between over-transfer, which increases cost and resource burden, and under-transfer, which risks delayed specialized care. The authors emphasize that improving early burn assessment at non-burn facilities—potentially through telemedicine—could help reduce unnecessary transfers without compromising patient safety.</w:t>
      </w:r>
      <w:r w:rsidDel="00000000" w:rsidR="00000000" w:rsidRPr="00000000">
        <w:rPr>
          <w:rtl w:val="0"/>
        </w:rPr>
      </w:r>
    </w:p>
    <w:p w:rsidR="00000000" w:rsidDel="00000000" w:rsidP="00000000" w:rsidRDefault="00000000" w:rsidRPr="00000000" w14:paraId="0000001E">
      <w:pPr>
        <w:numPr>
          <w:ilvl w:val="1"/>
          <w:numId w:val="2"/>
        </w:numPr>
        <w:ind w:left="1440" w:hanging="360"/>
        <w:rPr>
          <w:b w:val="1"/>
          <w:bCs w:val="1"/>
          <w:color w:val="2a2a2a"/>
          <w:sz w:val="20"/>
          <w:szCs w:val="20"/>
          <w:u w:val="none"/>
        </w:rPr>
      </w:pPr>
      <w:r w:rsidDel="00000000" w:rsidR="00000000" w:rsidRPr="00000000">
        <w:rPr>
          <w:b w:val="1"/>
          <w:bCs w:val="1"/>
          <w:color w:val="2a2a2a"/>
          <w:sz w:val="20"/>
          <w:szCs w:val="20"/>
          <w:rtl w:val="0"/>
        </w:rPr>
        <w:t xml:space="preserve">Relevance to Referral Patterns Use Case</w:t>
      </w:r>
    </w:p>
    <w:p w:rsidR="00000000" w:rsidDel="00000000" w:rsidP="00000000" w:rsidRDefault="00000000" w:rsidRPr="00000000" w14:paraId="0000001F">
      <w:pPr>
        <w:ind w:left="1440" w:firstLine="0"/>
        <w:rPr>
          <w:color w:val="2a2a2a"/>
          <w:sz w:val="20"/>
          <w:szCs w:val="20"/>
        </w:rPr>
      </w:pPr>
      <w:r w:rsidDel="00000000" w:rsidR="00000000" w:rsidRPr="00000000">
        <w:rPr>
          <w:color w:val="2a2a2a"/>
          <w:sz w:val="20"/>
          <w:szCs w:val="20"/>
          <w:rtl w:val="0"/>
        </w:rPr>
        <w:t xml:space="preserve">This article demonstrates that not all patients meeting referral criteria require immediate transfer, and that current referral pathways already differentiate higher-acuity from lower-acuity burns to some extent. It highlights referral timing—not just referral occurrence—as a key variable, making it a strong example of how data can be used to refine referral decision-making and reduce unnecessary transfers while preserving outcomes.</w:t>
      </w:r>
    </w:p>
    <w:p w:rsidR="00000000" w:rsidDel="00000000" w:rsidP="00000000" w:rsidRDefault="00000000" w:rsidRPr="00000000" w14:paraId="00000020">
      <w:pPr>
        <w:ind w:left="1440" w:firstLine="0"/>
        <w:rPr>
          <w:color w:val="2a2a2a"/>
          <w:sz w:val="20"/>
          <w:szCs w:val="20"/>
        </w:rPr>
      </w:pPr>
      <w:r w:rsidDel="00000000" w:rsidR="00000000" w:rsidRPr="00000000">
        <w:rPr>
          <w:rtl w:val="0"/>
        </w:rPr>
      </w:r>
    </w:p>
    <w:p w:rsidR="00000000" w:rsidDel="00000000" w:rsidP="00000000" w:rsidRDefault="00000000" w:rsidRPr="00000000" w14:paraId="00000021">
      <w:pPr>
        <w:ind w:left="0" w:firstLine="0"/>
        <w:rPr>
          <w:color w:val="2a2a2a"/>
          <w:sz w:val="20"/>
          <w:szCs w:val="20"/>
        </w:rPr>
      </w:pPr>
      <w:r w:rsidDel="00000000" w:rsidR="00000000" w:rsidRPr="00000000">
        <w:rPr>
          <w:rtl w:val="0"/>
        </w:rPr>
      </w:r>
    </w:p>
    <w:p w:rsidR="00000000" w:rsidDel="00000000" w:rsidP="00000000" w:rsidRDefault="00000000" w:rsidRPr="00000000" w14:paraId="00000022">
      <w:pPr>
        <w:numPr>
          <w:ilvl w:val="0"/>
          <w:numId w:val="2"/>
        </w:numPr>
        <w:ind w:left="720" w:hanging="360"/>
        <w:rPr>
          <w:b w:val="1"/>
          <w:bCs w:val="1"/>
          <w:color w:val="2a2a2a"/>
          <w:sz w:val="20"/>
          <w:szCs w:val="20"/>
        </w:rPr>
      </w:pPr>
      <w:r w:rsidDel="00000000" w:rsidR="00000000" w:rsidRPr="00000000">
        <w:rPr>
          <w:b w:val="1"/>
          <w:bCs w:val="1"/>
          <w:color w:val="2a2a2a"/>
          <w:sz w:val="20"/>
          <w:szCs w:val="20"/>
          <w:rtl w:val="0"/>
        </w:rPr>
        <w:t xml:space="preserve">Published</w:t>
      </w:r>
      <w:r w:rsidDel="00000000" w:rsidR="00000000" w:rsidRPr="00000000">
        <w:rPr>
          <w:color w:val="2a2a2a"/>
          <w:sz w:val="20"/>
          <w:szCs w:val="20"/>
          <w:rtl w:val="0"/>
        </w:rPr>
        <w:t xml:space="preserve">: 2019; </w:t>
      </w:r>
      <w:r w:rsidDel="00000000" w:rsidR="00000000" w:rsidRPr="00000000">
        <w:rPr>
          <w:b w:val="1"/>
          <w:bCs w:val="1"/>
          <w:color w:val="2a2a2a"/>
          <w:sz w:val="20"/>
          <w:szCs w:val="20"/>
          <w:rtl w:val="0"/>
        </w:rPr>
        <w:t xml:space="preserve">Title</w:t>
      </w:r>
      <w:r w:rsidDel="00000000" w:rsidR="00000000" w:rsidRPr="00000000">
        <w:rPr>
          <w:color w:val="2a2a2a"/>
          <w:sz w:val="20"/>
          <w:szCs w:val="20"/>
          <w:rtl w:val="0"/>
        </w:rPr>
        <w:t xml:space="preserve">: 21 A Case-Controlled Retrospective Review of Burn Patients Meeting American Burn Association's Verified Burn Center Referral Criteria; </w:t>
      </w:r>
      <w:r w:rsidDel="00000000" w:rsidR="00000000" w:rsidRPr="00000000">
        <w:rPr>
          <w:b w:val="1"/>
          <w:bCs w:val="1"/>
          <w:color w:val="2a2a2a"/>
          <w:sz w:val="20"/>
          <w:szCs w:val="20"/>
          <w:rtl w:val="0"/>
        </w:rPr>
        <w:t xml:space="preserve">Authors</w:t>
      </w:r>
      <w:r w:rsidDel="00000000" w:rsidR="00000000" w:rsidRPr="00000000">
        <w:rPr>
          <w:color w:val="2a2a2a"/>
          <w:sz w:val="20"/>
          <w:szCs w:val="20"/>
          <w:rtl w:val="0"/>
        </w:rPr>
        <w:t xml:space="preserve">: D. O. Murray,  K. J. Richey, M. E. Baker,  K. N. Foster</w:t>
      </w:r>
      <w:r w:rsidDel="00000000" w:rsidR="00000000" w:rsidRPr="00000000">
        <w:rPr>
          <w:rtl w:val="0"/>
        </w:rPr>
      </w:r>
    </w:p>
    <w:p w:rsidR="00000000" w:rsidDel="00000000" w:rsidP="00000000" w:rsidRDefault="00000000" w:rsidRPr="00000000" w14:paraId="00000023">
      <w:pPr>
        <w:numPr>
          <w:ilvl w:val="1"/>
          <w:numId w:val="2"/>
        </w:numPr>
        <w:ind w:left="1440" w:hanging="360"/>
        <w:rPr>
          <w:b w:val="1"/>
          <w:bCs w:val="1"/>
          <w:color w:val="2a2a2a"/>
          <w:sz w:val="20"/>
          <w:szCs w:val="20"/>
        </w:rPr>
      </w:pPr>
      <w:r w:rsidDel="00000000" w:rsidR="00000000" w:rsidRPr="00000000">
        <w:rPr>
          <w:b w:val="1"/>
          <w:bCs w:val="1"/>
          <w:color w:val="2a2a2a"/>
          <w:sz w:val="20"/>
          <w:szCs w:val="20"/>
          <w:rtl w:val="0"/>
        </w:rPr>
        <w:t xml:space="preserve">Summary</w:t>
      </w:r>
    </w:p>
    <w:p w:rsidR="00000000" w:rsidDel="00000000" w:rsidP="00000000" w:rsidRDefault="00000000" w:rsidRPr="00000000" w14:paraId="00000024">
      <w:pPr>
        <w:ind w:left="1440" w:firstLine="0"/>
        <w:rPr>
          <w:color w:val="2a2a2a"/>
          <w:sz w:val="20"/>
          <w:szCs w:val="20"/>
        </w:rPr>
      </w:pPr>
      <w:r w:rsidDel="00000000" w:rsidR="00000000" w:rsidRPr="00000000">
        <w:rPr>
          <w:color w:val="2a2a2a"/>
          <w:sz w:val="20"/>
          <w:szCs w:val="20"/>
          <w:rtl w:val="0"/>
        </w:rPr>
        <w:t xml:space="preserve">This matched case-controlled retrospective study examines the impact of delayed referral (DR) to a verified burn center among patients who met American Burn Association (ABA) burn center referral criteria. Using data from a large regional burn system (2012–2017), the authors compared 60 patients with delayed referral to matched controls who were referred within 3 days of injury. Cases were matched on age, total body surface area (TBSA), and referral criteria, allowing for focused comparison of downstream outcomes associated with referral timing.</w:t>
      </w:r>
    </w:p>
    <w:p w:rsidR="00000000" w:rsidDel="00000000" w:rsidP="00000000" w:rsidRDefault="00000000" w:rsidRPr="00000000" w14:paraId="00000025">
      <w:pPr>
        <w:ind w:left="1440" w:firstLine="0"/>
        <w:rPr>
          <w:color w:val="2a2a2a"/>
          <w:sz w:val="20"/>
          <w:szCs w:val="20"/>
        </w:rPr>
      </w:pPr>
      <w:r w:rsidDel="00000000" w:rsidR="00000000" w:rsidRPr="00000000">
        <w:rPr>
          <w:color w:val="2a2a2a"/>
          <w:sz w:val="20"/>
          <w:szCs w:val="20"/>
          <w:rtl w:val="0"/>
        </w:rPr>
        <w:t xml:space="preserve">Patients experiencing delayed referral were transferred to a verified burn center an average of 7.6 days post-injury, compared to 0.45 days for immediate referrals. Delayed referral was associated with significantly worse clinical outcomes, including longer hospital stays (17.7 vs 10.8 days), higher rates of surgical intervention, and substantially more acute and long-term complications. Certain patterns emerged: contact burns, female patients, and non-minority patients were more likely to experience delayed referral, while flame/flash injuries were more often referred promptly. Insurance status did not eliminate delays; in fact, patients with private insurance were more likely to have delayed referrals than other insured groups.</w:t>
      </w:r>
    </w:p>
    <w:p w:rsidR="00000000" w:rsidDel="00000000" w:rsidP="00000000" w:rsidRDefault="00000000" w:rsidRPr="00000000" w14:paraId="00000026">
      <w:pPr>
        <w:numPr>
          <w:ilvl w:val="1"/>
          <w:numId w:val="2"/>
        </w:numPr>
        <w:ind w:left="1440" w:hanging="360"/>
        <w:rPr>
          <w:b w:val="1"/>
          <w:bCs w:val="1"/>
          <w:color w:val="2a2a2a"/>
          <w:sz w:val="20"/>
          <w:szCs w:val="20"/>
        </w:rPr>
      </w:pPr>
      <w:r w:rsidDel="00000000" w:rsidR="00000000" w:rsidRPr="00000000">
        <w:rPr>
          <w:b w:val="1"/>
          <w:bCs w:val="1"/>
          <w:color w:val="2a2a2a"/>
          <w:sz w:val="20"/>
          <w:szCs w:val="20"/>
          <w:rtl w:val="0"/>
        </w:rPr>
        <w:t xml:space="preserve">Relevance to Referral Patterns Use Case</w:t>
      </w:r>
    </w:p>
    <w:p w:rsidR="00000000" w:rsidDel="00000000" w:rsidP="00000000" w:rsidRDefault="00000000" w:rsidRPr="00000000" w14:paraId="00000027">
      <w:pPr>
        <w:ind w:left="1440" w:firstLine="0"/>
        <w:rPr>
          <w:color w:val="2a2a2a"/>
          <w:sz w:val="20"/>
          <w:szCs w:val="20"/>
        </w:rPr>
      </w:pPr>
      <w:r w:rsidDel="00000000" w:rsidR="00000000" w:rsidRPr="00000000">
        <w:rPr>
          <w:color w:val="2a2a2a"/>
          <w:sz w:val="20"/>
          <w:szCs w:val="20"/>
          <w:rtl w:val="0"/>
        </w:rPr>
        <w:t xml:space="preserve">This article highlights a critical referral-timing problem, showing that delayed adherence to established referral criteria leads to worse outcomes and higher costs. Even when referral criteria are met, delays still occur, suggesting that referral failure is not just about whether patients are referred—but when.</w:t>
      </w:r>
    </w:p>
    <w:p w:rsidR="00000000" w:rsidDel="00000000" w:rsidP="00000000" w:rsidRDefault="00000000" w:rsidRPr="00000000" w14:paraId="00000028">
      <w:pPr>
        <w:ind w:left="1440" w:firstLine="0"/>
        <w:rPr>
          <w:color w:val="2a2a2a"/>
          <w:sz w:val="20"/>
          <w:szCs w:val="20"/>
        </w:rPr>
      </w:pPr>
      <w:r w:rsidDel="00000000" w:rsidR="00000000" w:rsidRPr="00000000">
        <w:rPr>
          <w:color w:val="2a2a2a"/>
          <w:sz w:val="20"/>
          <w:szCs w:val="20"/>
          <w:rtl w:val="0"/>
        </w:rPr>
        <w:t xml:space="preserve">For hackathon teams, this opens opportunities to:</w:t>
      </w:r>
    </w:p>
    <w:p w:rsidR="00000000" w:rsidDel="00000000" w:rsidP="00000000" w:rsidRDefault="00000000" w:rsidRPr="00000000" w14:paraId="00000029">
      <w:pPr>
        <w:numPr>
          <w:ilvl w:val="0"/>
          <w:numId w:val="1"/>
        </w:numPr>
        <w:ind w:left="2160" w:hanging="360"/>
        <w:rPr>
          <w:color w:val="2a2a2a"/>
          <w:sz w:val="20"/>
          <w:szCs w:val="20"/>
        </w:rPr>
      </w:pPr>
      <w:r w:rsidDel="00000000" w:rsidR="00000000" w:rsidRPr="00000000">
        <w:rPr>
          <w:color w:val="2a2a2a"/>
          <w:sz w:val="20"/>
          <w:szCs w:val="20"/>
          <w:rtl w:val="0"/>
        </w:rPr>
        <w:t xml:space="preserve">Identify predictors of delayed referral</w:t>
      </w:r>
    </w:p>
    <w:p w:rsidR="00000000" w:rsidDel="00000000" w:rsidP="00000000" w:rsidRDefault="00000000" w:rsidRPr="00000000" w14:paraId="0000002A">
      <w:pPr>
        <w:numPr>
          <w:ilvl w:val="0"/>
          <w:numId w:val="1"/>
        </w:numPr>
        <w:ind w:left="2160" w:hanging="360"/>
        <w:rPr>
          <w:color w:val="2a2a2a"/>
          <w:sz w:val="20"/>
          <w:szCs w:val="20"/>
        </w:rPr>
      </w:pPr>
      <w:r w:rsidDel="00000000" w:rsidR="00000000" w:rsidRPr="00000000">
        <w:rPr>
          <w:color w:val="2a2a2a"/>
          <w:sz w:val="20"/>
          <w:szCs w:val="20"/>
          <w:rtl w:val="0"/>
        </w:rPr>
        <w:t xml:space="preserve">Build models to flag high-risk patients for delayed transfer</w:t>
      </w:r>
    </w:p>
    <w:p w:rsidR="00000000" w:rsidDel="00000000" w:rsidP="00000000" w:rsidRDefault="00000000" w:rsidRPr="00000000" w14:paraId="0000002B">
      <w:pPr>
        <w:numPr>
          <w:ilvl w:val="0"/>
          <w:numId w:val="1"/>
        </w:numPr>
        <w:ind w:left="2160" w:hanging="360"/>
        <w:rPr>
          <w:color w:val="2a2a2a"/>
          <w:sz w:val="20"/>
          <w:szCs w:val="20"/>
        </w:rPr>
      </w:pPr>
      <w:r w:rsidDel="00000000" w:rsidR="00000000" w:rsidRPr="00000000">
        <w:rPr>
          <w:color w:val="2a2a2a"/>
          <w:sz w:val="20"/>
          <w:szCs w:val="20"/>
          <w:rtl w:val="0"/>
        </w:rPr>
        <w:t xml:space="preserve">Analyze how referral timing affects outcomes and costs</w:t>
      </w:r>
    </w:p>
    <w:p w:rsidR="00000000" w:rsidDel="00000000" w:rsidP="00000000" w:rsidRDefault="00000000" w:rsidRPr="00000000" w14:paraId="0000002C">
      <w:pPr>
        <w:numPr>
          <w:ilvl w:val="0"/>
          <w:numId w:val="1"/>
        </w:numPr>
        <w:ind w:left="2160" w:hanging="360"/>
        <w:rPr>
          <w:color w:val="2a2a2a"/>
          <w:sz w:val="20"/>
          <w:szCs w:val="20"/>
        </w:rPr>
      </w:pPr>
      <w:r w:rsidDel="00000000" w:rsidR="00000000" w:rsidRPr="00000000">
        <w:rPr>
          <w:color w:val="2a2a2a"/>
          <w:sz w:val="20"/>
          <w:szCs w:val="20"/>
          <w:rtl w:val="0"/>
        </w:rPr>
        <w:t xml:space="preserve">Design decision-support tools to prompt earlier burn center involvement</w:t>
      </w:r>
    </w:p>
    <w:p w:rsidR="00000000" w:rsidDel="00000000" w:rsidP="00000000" w:rsidRDefault="00000000" w:rsidRPr="00000000" w14:paraId="0000002D">
      <w:pPr>
        <w:ind w:left="2160" w:firstLine="0"/>
        <w:rPr>
          <w:color w:val="2a2a2a"/>
          <w:sz w:val="20"/>
          <w:szCs w:val="20"/>
        </w:rPr>
      </w:pPr>
      <w:r w:rsidDel="00000000" w:rsidR="00000000" w:rsidRPr="00000000">
        <w:rPr>
          <w:rtl w:val="0"/>
        </w:rPr>
      </w:r>
    </w:p>
    <w:p w:rsidR="00000000" w:rsidDel="00000000" w:rsidP="00000000" w:rsidRDefault="00000000" w:rsidRPr="00000000" w14:paraId="0000002E">
      <w:pPr>
        <w:rPr>
          <w:color w:val="2a2a2a"/>
          <w:sz w:val="20"/>
          <w:szCs w:val="20"/>
        </w:rPr>
      </w:pPr>
      <w:r w:rsidDel="00000000" w:rsidR="00000000" w:rsidRPr="00000000">
        <w:rPr>
          <w:b w:val="1"/>
          <w:bCs w:val="1"/>
          <w:rtl w:val="0"/>
        </w:rPr>
        <w:t xml:space="preserve">Section 2: Telemedicine in Burn Care</w:t>
      </w:r>
      <w:r w:rsidDel="00000000" w:rsidR="00000000" w:rsidRPr="00000000">
        <w:rPr>
          <w:rtl w:val="0"/>
        </w:rPr>
      </w:r>
    </w:p>
    <w:p w:rsidR="00000000" w:rsidDel="00000000" w:rsidP="00000000" w:rsidRDefault="00000000" w:rsidRPr="00000000" w14:paraId="0000002F">
      <w:pPr>
        <w:numPr>
          <w:ilvl w:val="0"/>
          <w:numId w:val="2"/>
        </w:numPr>
        <w:ind w:left="720" w:hanging="360"/>
        <w:rPr>
          <w:b w:val="1"/>
          <w:bCs w:val="1"/>
          <w:color w:val="2a2a2a"/>
          <w:sz w:val="20"/>
          <w:szCs w:val="20"/>
        </w:rPr>
      </w:pPr>
      <w:r w:rsidDel="00000000" w:rsidR="00000000" w:rsidRPr="00000000">
        <w:rPr>
          <w:b w:val="1"/>
          <w:bCs w:val="1"/>
          <w:color w:val="2a2a2a"/>
          <w:sz w:val="20"/>
          <w:szCs w:val="20"/>
          <w:rtl w:val="0"/>
        </w:rPr>
        <w:t xml:space="preserve">Published</w:t>
      </w:r>
      <w:r w:rsidDel="00000000" w:rsidR="00000000" w:rsidRPr="00000000">
        <w:rPr>
          <w:color w:val="2a2a2a"/>
          <w:sz w:val="20"/>
          <w:szCs w:val="20"/>
          <w:rtl w:val="0"/>
        </w:rPr>
        <w:t xml:space="preserve">: 2022; </w:t>
      </w:r>
      <w:r w:rsidDel="00000000" w:rsidR="00000000" w:rsidRPr="00000000">
        <w:rPr>
          <w:b w:val="1"/>
          <w:bCs w:val="1"/>
          <w:color w:val="2a2a2a"/>
          <w:sz w:val="20"/>
          <w:szCs w:val="20"/>
          <w:rtl w:val="0"/>
        </w:rPr>
        <w:t xml:space="preserve">Title: </w:t>
      </w:r>
      <w:r w:rsidDel="00000000" w:rsidR="00000000" w:rsidRPr="00000000">
        <w:rPr>
          <w:color w:val="2a2a2a"/>
          <w:sz w:val="20"/>
          <w:szCs w:val="20"/>
          <w:rtl w:val="0"/>
        </w:rPr>
        <w:t xml:space="preserve">Virtual Visits for Outpatient Burn Care During the COVID-19 Pandemic; </w:t>
      </w:r>
      <w:r w:rsidDel="00000000" w:rsidR="00000000" w:rsidRPr="00000000">
        <w:rPr>
          <w:b w:val="1"/>
          <w:bCs w:val="1"/>
          <w:color w:val="2a2a2a"/>
          <w:sz w:val="20"/>
          <w:szCs w:val="20"/>
          <w:rtl w:val="0"/>
        </w:rPr>
        <w:t xml:space="preserve">Authors</w:t>
      </w:r>
      <w:r w:rsidDel="00000000" w:rsidR="00000000" w:rsidRPr="00000000">
        <w:rPr>
          <w:color w:val="2a2a2a"/>
          <w:sz w:val="20"/>
          <w:szCs w:val="20"/>
          <w:rtl w:val="0"/>
        </w:rPr>
        <w:t xml:space="preserve">: William T. Head, Denise Garcia, Rupak Mukherjee, Steven Kahn, Aaron Lesher</w:t>
      </w:r>
      <w:r w:rsidDel="00000000" w:rsidR="00000000" w:rsidRPr="00000000">
        <w:rPr>
          <w:rtl w:val="0"/>
        </w:rPr>
      </w:r>
    </w:p>
    <w:p w:rsidR="00000000" w:rsidDel="00000000" w:rsidP="00000000" w:rsidRDefault="00000000" w:rsidRPr="00000000" w14:paraId="00000030">
      <w:pPr>
        <w:numPr>
          <w:ilvl w:val="1"/>
          <w:numId w:val="2"/>
        </w:numPr>
        <w:ind w:left="1440" w:hanging="360"/>
        <w:rPr>
          <w:b w:val="1"/>
          <w:bCs w:val="1"/>
          <w:color w:val="2a2a2a"/>
          <w:sz w:val="20"/>
          <w:szCs w:val="20"/>
        </w:rPr>
      </w:pPr>
      <w:r w:rsidDel="00000000" w:rsidR="00000000" w:rsidRPr="00000000">
        <w:rPr>
          <w:b w:val="1"/>
          <w:bCs w:val="1"/>
          <w:color w:val="2a2a2a"/>
          <w:sz w:val="20"/>
          <w:szCs w:val="20"/>
          <w:rtl w:val="0"/>
        </w:rPr>
        <w:t xml:space="preserve">Summary</w:t>
      </w:r>
    </w:p>
    <w:p w:rsidR="00000000" w:rsidDel="00000000" w:rsidP="00000000" w:rsidRDefault="00000000" w:rsidRPr="00000000" w14:paraId="00000031">
      <w:pPr>
        <w:ind w:left="1440" w:firstLine="0"/>
        <w:rPr>
          <w:color w:val="2a2a2a"/>
          <w:sz w:val="20"/>
          <w:szCs w:val="20"/>
        </w:rPr>
      </w:pPr>
      <w:r w:rsidDel="00000000" w:rsidR="00000000" w:rsidRPr="00000000">
        <w:rPr>
          <w:color w:val="2a2a2a"/>
          <w:sz w:val="20"/>
          <w:szCs w:val="20"/>
          <w:rtl w:val="0"/>
        </w:rPr>
        <w:t xml:space="preserve">This retrospective quality-assurance study evaluates the efficacy, safety, and economic impact of synchronous virtual visits (VV) for outpatient burn care during the COVID-19 pandemic. Using a REDCap-maintained clinical database, the authors analyzed 143 patients and 317 outpatient encounters (256 in-person visits [IPV] and 61 VV) at a comprehensive adult and pediatric burn center between March and September 2020. Patient demographics, burn severity, clinical outcomes, travel distance, time, and cost data were compared across in-person, virtual, and mixed-visit groups.</w:t>
      </w:r>
    </w:p>
    <w:p w:rsidR="00000000" w:rsidDel="00000000" w:rsidP="00000000" w:rsidRDefault="00000000" w:rsidRPr="00000000" w14:paraId="00000032">
      <w:pPr>
        <w:ind w:left="1440" w:firstLine="0"/>
        <w:rPr>
          <w:color w:val="2a2a2a"/>
          <w:sz w:val="20"/>
          <w:szCs w:val="20"/>
        </w:rPr>
      </w:pPr>
      <w:r w:rsidDel="00000000" w:rsidR="00000000" w:rsidRPr="00000000">
        <w:rPr>
          <w:color w:val="2a2a2a"/>
          <w:sz w:val="20"/>
          <w:szCs w:val="20"/>
          <w:rtl w:val="0"/>
        </w:rPr>
        <w:t xml:space="preserve">Clinical outcomes—including infection, graft loss, unplanned readmission, and unplanned reoperation—were similar across all groups, indicating that VV can be as clinically effective as traditional in-person visits for selected outpatient burn patients. The most substantial benefits of VV were economic and logistical: the average virtual visit saved 130 driving miles, 164 minutes of travel time, and $185 per encounter in combined driving and foregone wage costs. Across the 6-month study period, VV resulted in an estimated $11,199 in total patient savings. Technical issues occurred in 23% of VV patients, with significantly higher rates among adults than pediatric patients, highlighting an implementation barrier that may be mitigated through infrastructure improvements and user training.</w:t>
      </w:r>
    </w:p>
    <w:p w:rsidR="00000000" w:rsidDel="00000000" w:rsidP="00000000" w:rsidRDefault="00000000" w:rsidRPr="00000000" w14:paraId="00000033">
      <w:pPr>
        <w:numPr>
          <w:ilvl w:val="1"/>
          <w:numId w:val="2"/>
        </w:numPr>
        <w:ind w:left="1440" w:hanging="360"/>
        <w:rPr>
          <w:b w:val="1"/>
          <w:bCs w:val="1"/>
          <w:color w:val="2a2a2a"/>
          <w:sz w:val="20"/>
          <w:szCs w:val="20"/>
          <w:u w:val="none"/>
        </w:rPr>
      </w:pPr>
      <w:r w:rsidDel="00000000" w:rsidR="00000000" w:rsidRPr="00000000">
        <w:rPr>
          <w:b w:val="1"/>
          <w:bCs w:val="1"/>
          <w:color w:val="2a2a2a"/>
          <w:sz w:val="20"/>
          <w:szCs w:val="20"/>
          <w:rtl w:val="0"/>
        </w:rPr>
        <w:t xml:space="preserve">Relevance to Telemedicine Use Case</w:t>
      </w:r>
      <w:r w:rsidDel="00000000" w:rsidR="00000000" w:rsidRPr="00000000">
        <w:rPr>
          <w:rtl w:val="0"/>
        </w:rPr>
      </w:r>
    </w:p>
    <w:p w:rsidR="00000000" w:rsidDel="00000000" w:rsidP="00000000" w:rsidRDefault="00000000" w:rsidRPr="00000000" w14:paraId="00000034">
      <w:pPr>
        <w:ind w:left="1440" w:firstLine="0"/>
        <w:rPr>
          <w:color w:val="2a2a2a"/>
          <w:sz w:val="20"/>
          <w:szCs w:val="20"/>
        </w:rPr>
      </w:pPr>
      <w:r w:rsidDel="00000000" w:rsidR="00000000" w:rsidRPr="00000000">
        <w:rPr>
          <w:color w:val="2a2a2a"/>
          <w:sz w:val="20"/>
          <w:szCs w:val="20"/>
          <w:rtl w:val="0"/>
        </w:rPr>
        <w:t xml:space="preserve">This study provides strong evidence that home-based synchronous telemedicine can safely extend burn care beyond the physical boundaries of burn centers. It demonstrates that VV can maintain clinical quality while substantially reducing travel and financial burdens—key justifications for telemedicine as a scalable solution in burn care delivery.</w:t>
      </w:r>
    </w:p>
    <w:p w:rsidR="00000000" w:rsidDel="00000000" w:rsidP="00000000" w:rsidRDefault="00000000" w:rsidRPr="00000000" w14:paraId="00000035">
      <w:pPr>
        <w:ind w:left="1440" w:firstLine="0"/>
        <w:rPr>
          <w:color w:val="2a2a2a"/>
          <w:sz w:val="20"/>
          <w:szCs w:val="20"/>
        </w:rPr>
      </w:pPr>
      <w:r w:rsidDel="00000000" w:rsidR="00000000" w:rsidRPr="00000000">
        <w:rPr>
          <w:rtl w:val="0"/>
        </w:rPr>
      </w:r>
    </w:p>
    <w:p w:rsidR="00000000" w:rsidDel="00000000" w:rsidP="00000000" w:rsidRDefault="00000000" w:rsidRPr="00000000" w14:paraId="00000036">
      <w:pPr>
        <w:numPr>
          <w:ilvl w:val="0"/>
          <w:numId w:val="2"/>
        </w:numPr>
        <w:ind w:left="720" w:hanging="360"/>
        <w:rPr>
          <w:b w:val="1"/>
          <w:bCs w:val="1"/>
          <w:color w:val="2a2a2a"/>
          <w:sz w:val="20"/>
          <w:szCs w:val="20"/>
        </w:rPr>
      </w:pPr>
      <w:r w:rsidDel="00000000" w:rsidR="00000000" w:rsidRPr="00000000">
        <w:rPr>
          <w:b w:val="1"/>
          <w:bCs w:val="1"/>
          <w:color w:val="2a2a2a"/>
          <w:sz w:val="20"/>
          <w:szCs w:val="20"/>
          <w:rtl w:val="0"/>
        </w:rPr>
        <w:t xml:space="preserve">Published</w:t>
      </w:r>
      <w:r w:rsidDel="00000000" w:rsidR="00000000" w:rsidRPr="00000000">
        <w:rPr>
          <w:color w:val="2a2a2a"/>
          <w:sz w:val="20"/>
          <w:szCs w:val="20"/>
          <w:rtl w:val="0"/>
        </w:rPr>
        <w:t xml:space="preserve">: 2018; </w:t>
      </w:r>
      <w:r w:rsidDel="00000000" w:rsidR="00000000" w:rsidRPr="00000000">
        <w:rPr>
          <w:b w:val="1"/>
          <w:bCs w:val="1"/>
          <w:color w:val="2a2a2a"/>
          <w:sz w:val="20"/>
          <w:szCs w:val="20"/>
          <w:rtl w:val="0"/>
        </w:rPr>
        <w:t xml:space="preserve">Title</w:t>
      </w:r>
      <w:r w:rsidDel="00000000" w:rsidR="00000000" w:rsidRPr="00000000">
        <w:rPr>
          <w:color w:val="2a2a2a"/>
          <w:sz w:val="20"/>
          <w:szCs w:val="20"/>
          <w:rtl w:val="0"/>
        </w:rPr>
        <w:t xml:space="preserve">: Ongoing Development and Evaluation of a Method of Telemedicine: Burn Care Management With a Smartphone; </w:t>
      </w:r>
      <w:r w:rsidDel="00000000" w:rsidR="00000000" w:rsidRPr="00000000">
        <w:rPr>
          <w:b w:val="1"/>
          <w:bCs w:val="1"/>
          <w:color w:val="2a2a2a"/>
          <w:sz w:val="20"/>
          <w:szCs w:val="20"/>
          <w:rtl w:val="0"/>
        </w:rPr>
        <w:t xml:space="preserve">Authors</w:t>
      </w:r>
      <w:r w:rsidDel="00000000" w:rsidR="00000000" w:rsidRPr="00000000">
        <w:rPr>
          <w:color w:val="2a2a2a"/>
          <w:sz w:val="20"/>
          <w:szCs w:val="20"/>
          <w:rtl w:val="0"/>
        </w:rPr>
        <w:t xml:space="preserve">: David Boccara, Farid Bekara, Sabri Soussi, Matthieu Legrand, Marc Chaouat, Maurice Mimoun, Kevin Serror</w:t>
      </w:r>
      <w:r w:rsidDel="00000000" w:rsidR="00000000" w:rsidRPr="00000000">
        <w:rPr>
          <w:rtl w:val="0"/>
        </w:rPr>
      </w:r>
    </w:p>
    <w:p w:rsidR="00000000" w:rsidDel="00000000" w:rsidP="00000000" w:rsidRDefault="00000000" w:rsidRPr="00000000" w14:paraId="00000037">
      <w:pPr>
        <w:numPr>
          <w:ilvl w:val="1"/>
          <w:numId w:val="2"/>
        </w:numPr>
        <w:ind w:left="1440" w:hanging="360"/>
        <w:rPr>
          <w:b w:val="1"/>
          <w:bCs w:val="1"/>
          <w:color w:val="2a2a2a"/>
          <w:sz w:val="20"/>
          <w:szCs w:val="20"/>
        </w:rPr>
      </w:pPr>
      <w:r w:rsidDel="00000000" w:rsidR="00000000" w:rsidRPr="00000000">
        <w:rPr>
          <w:b w:val="1"/>
          <w:bCs w:val="1"/>
          <w:color w:val="2a2a2a"/>
          <w:sz w:val="20"/>
          <w:szCs w:val="20"/>
          <w:rtl w:val="0"/>
        </w:rPr>
        <w:t xml:space="preserve">Summary</w:t>
      </w:r>
    </w:p>
    <w:p w:rsidR="00000000" w:rsidDel="00000000" w:rsidP="00000000" w:rsidRDefault="00000000" w:rsidRPr="00000000" w14:paraId="00000038">
      <w:pPr>
        <w:ind w:left="1440" w:firstLine="0"/>
        <w:rPr>
          <w:color w:val="2a2a2a"/>
          <w:sz w:val="20"/>
          <w:szCs w:val="20"/>
        </w:rPr>
      </w:pPr>
      <w:r w:rsidDel="00000000" w:rsidR="00000000" w:rsidRPr="00000000">
        <w:rPr>
          <w:color w:val="2a2a2a"/>
          <w:sz w:val="20"/>
          <w:szCs w:val="20"/>
          <w:rtl w:val="0"/>
        </w:rPr>
        <w:t xml:space="preserve">This retrospective study evaluates the effectiveness of a smartphone-based telemedicine system used to guide initial management decisions for patients with small burns (&lt;15% TBSA) treated in emergency departments without on-site burn specialists. Between 2011 and 2016, digital photographs of burn injuries were securely transmitted from regional emergency rooms to senior burn surgeons at a centralized burn center in Paris. The primary goal was to determine whether telemedicine could accurately assess the need for surgical intervention and patient transfer.</w:t>
      </w:r>
    </w:p>
    <w:p w:rsidR="00000000" w:rsidDel="00000000" w:rsidP="00000000" w:rsidRDefault="00000000" w:rsidRPr="00000000" w14:paraId="00000039">
      <w:pPr>
        <w:ind w:left="1440" w:firstLine="0"/>
        <w:rPr>
          <w:color w:val="2a2a2a"/>
          <w:sz w:val="20"/>
          <w:szCs w:val="20"/>
        </w:rPr>
      </w:pPr>
      <w:r w:rsidDel="00000000" w:rsidR="00000000" w:rsidRPr="00000000">
        <w:rPr>
          <w:color w:val="2a2a2a"/>
          <w:sz w:val="20"/>
          <w:szCs w:val="20"/>
          <w:rtl w:val="0"/>
        </w:rPr>
        <w:t xml:space="preserve">Among 323 patients evaluated via telemedicine, the initial determination regarding the need for surgery was accurate in 94.4% of cases. Importantly, 65% of patients avoided transfer to the burn center and were safely managed on an outpatient basis. Only 3.2% of patients initially managed remotely required later surgical intervention, and no delays in care led to adverse life-threatening, functional, or aesthetic outcomes. The study also highlights substantial resource savings, including reduced unnecessary hospitalizations and preservation of limited burn center bed capacity.</w:t>
      </w:r>
    </w:p>
    <w:p w:rsidR="00000000" w:rsidDel="00000000" w:rsidP="00000000" w:rsidRDefault="00000000" w:rsidRPr="00000000" w14:paraId="0000003A">
      <w:pPr>
        <w:numPr>
          <w:ilvl w:val="1"/>
          <w:numId w:val="2"/>
        </w:numPr>
        <w:ind w:left="1440" w:hanging="360"/>
        <w:rPr>
          <w:b w:val="1"/>
          <w:bCs w:val="1"/>
          <w:color w:val="2a2a2a"/>
          <w:sz w:val="20"/>
          <w:szCs w:val="20"/>
        </w:rPr>
      </w:pPr>
      <w:r w:rsidDel="00000000" w:rsidR="00000000" w:rsidRPr="00000000">
        <w:rPr>
          <w:b w:val="1"/>
          <w:bCs w:val="1"/>
          <w:color w:val="2a2a2a"/>
          <w:sz w:val="20"/>
          <w:szCs w:val="20"/>
          <w:rtl w:val="0"/>
        </w:rPr>
        <w:t xml:space="preserve">Relevance to Telemedicine Use Case</w:t>
      </w:r>
    </w:p>
    <w:p w:rsidR="00000000" w:rsidDel="00000000" w:rsidP="00000000" w:rsidRDefault="00000000" w:rsidRPr="00000000" w14:paraId="0000003B">
      <w:pPr>
        <w:ind w:left="1440" w:firstLine="0"/>
        <w:rPr>
          <w:color w:val="2a2a2a"/>
          <w:sz w:val="20"/>
          <w:szCs w:val="20"/>
        </w:rPr>
      </w:pPr>
      <w:r w:rsidDel="00000000" w:rsidR="00000000" w:rsidRPr="00000000">
        <w:rPr>
          <w:color w:val="2a2a2a"/>
          <w:sz w:val="20"/>
          <w:szCs w:val="20"/>
          <w:rtl w:val="0"/>
        </w:rPr>
        <w:t xml:space="preserve">This article provides strong empirical support for telemedicine as a tool to improve access to specialized burn care while reducing unnecessary transfers. It demonstrates that low-cost, widely available technology (smartphones and digital photography) can enable accurate remote triage, especially in regions with limited burn center capacity. While the study focuses on a defined patient population, it establishes a clear precedent for telemedicine improving efficiency, access, and care coordination—key outcomes directly aligned with telemedicine use cases supported by registry and population-level data (e.g., NIRD).</w:t>
      </w:r>
    </w:p>
    <w:p w:rsidR="00000000" w:rsidDel="00000000" w:rsidP="00000000" w:rsidRDefault="00000000" w:rsidRPr="00000000" w14:paraId="0000003C">
      <w:pPr>
        <w:ind w:left="1440" w:firstLine="0"/>
        <w:rPr>
          <w:color w:val="2a2a2a"/>
          <w:sz w:val="20"/>
          <w:szCs w:val="20"/>
        </w:rPr>
      </w:pPr>
      <w:r w:rsidDel="00000000" w:rsidR="00000000" w:rsidRPr="00000000">
        <w:rPr>
          <w:rtl w:val="0"/>
        </w:rPr>
      </w:r>
    </w:p>
    <w:p w:rsidR="00000000" w:rsidDel="00000000" w:rsidP="00000000" w:rsidRDefault="00000000" w:rsidRPr="00000000" w14:paraId="0000003D">
      <w:pPr>
        <w:rPr>
          <w:color w:val="2a2a2a"/>
          <w:sz w:val="20"/>
          <w:szCs w:val="20"/>
        </w:rPr>
      </w:pPr>
      <w:r w:rsidDel="00000000" w:rsidR="00000000" w:rsidRPr="00000000">
        <w:rPr>
          <w:b w:val="1"/>
          <w:bCs w:val="1"/>
          <w:rtl w:val="0"/>
        </w:rPr>
        <w:t xml:space="preserve">Section 3: Equitable Access to Burn Care</w:t>
      </w:r>
      <w:r w:rsidDel="00000000" w:rsidR="00000000" w:rsidRPr="00000000">
        <w:rPr>
          <w:rtl w:val="0"/>
        </w:rPr>
      </w:r>
    </w:p>
    <w:p w:rsidR="00000000" w:rsidDel="00000000" w:rsidP="00000000" w:rsidRDefault="00000000" w:rsidRPr="00000000" w14:paraId="0000003E">
      <w:pPr>
        <w:numPr>
          <w:ilvl w:val="0"/>
          <w:numId w:val="2"/>
        </w:numPr>
        <w:ind w:left="720" w:hanging="360"/>
        <w:rPr>
          <w:b w:val="1"/>
          <w:bCs w:val="1"/>
          <w:color w:val="2a2a2a"/>
          <w:sz w:val="20"/>
          <w:szCs w:val="20"/>
        </w:rPr>
      </w:pPr>
      <w:r w:rsidDel="00000000" w:rsidR="00000000" w:rsidRPr="00000000">
        <w:rPr>
          <w:b w:val="1"/>
          <w:bCs w:val="1"/>
          <w:color w:val="2a2a2a"/>
          <w:sz w:val="20"/>
          <w:szCs w:val="20"/>
          <w:rtl w:val="0"/>
        </w:rPr>
        <w:t xml:space="preserve">Published</w:t>
      </w:r>
      <w:r w:rsidDel="00000000" w:rsidR="00000000" w:rsidRPr="00000000">
        <w:rPr>
          <w:color w:val="2a2a2a"/>
          <w:sz w:val="20"/>
          <w:szCs w:val="20"/>
          <w:rtl w:val="0"/>
        </w:rPr>
        <w:t xml:space="preserve">: 2021; </w:t>
      </w:r>
      <w:r w:rsidDel="00000000" w:rsidR="00000000" w:rsidRPr="00000000">
        <w:rPr>
          <w:b w:val="1"/>
          <w:bCs w:val="1"/>
          <w:color w:val="2a2a2a"/>
          <w:sz w:val="20"/>
          <w:szCs w:val="20"/>
          <w:rtl w:val="0"/>
        </w:rPr>
        <w:t xml:space="preserve">Title</w:t>
      </w:r>
      <w:r w:rsidDel="00000000" w:rsidR="00000000" w:rsidRPr="00000000">
        <w:rPr>
          <w:color w:val="2a2a2a"/>
          <w:sz w:val="20"/>
          <w:szCs w:val="20"/>
          <w:rtl w:val="0"/>
        </w:rPr>
        <w:t xml:space="preserve">:  Burn Center Referral Practice Evaluation and Treatment Outcomes Comparison Among Verified, Nonverified Burn Centers, and Nonburn Centers: A Statewide Perspective. </w:t>
      </w:r>
      <w:r w:rsidDel="00000000" w:rsidR="00000000" w:rsidRPr="00000000">
        <w:rPr>
          <w:b w:val="1"/>
          <w:bCs w:val="1"/>
          <w:color w:val="2a2a2a"/>
          <w:sz w:val="20"/>
          <w:szCs w:val="20"/>
          <w:rtl w:val="0"/>
        </w:rPr>
        <w:t xml:space="preserve">Authors</w:t>
      </w:r>
      <w:r w:rsidDel="00000000" w:rsidR="00000000" w:rsidRPr="00000000">
        <w:rPr>
          <w:color w:val="2a2a2a"/>
          <w:sz w:val="20"/>
          <w:szCs w:val="20"/>
          <w:rtl w:val="0"/>
        </w:rPr>
        <w:t xml:space="preserve">: Zhenna Huang, Linda Forst, Lee S. Friedman</w:t>
      </w:r>
      <w:r w:rsidDel="00000000" w:rsidR="00000000" w:rsidRPr="00000000">
        <w:rPr>
          <w:rtl w:val="0"/>
        </w:rPr>
      </w:r>
    </w:p>
    <w:p w:rsidR="00000000" w:rsidDel="00000000" w:rsidP="00000000" w:rsidRDefault="00000000" w:rsidRPr="00000000" w14:paraId="0000003F">
      <w:pPr>
        <w:numPr>
          <w:ilvl w:val="1"/>
          <w:numId w:val="2"/>
        </w:numPr>
        <w:ind w:left="1440" w:hanging="360"/>
        <w:rPr>
          <w:b w:val="1"/>
          <w:bCs w:val="1"/>
          <w:color w:val="2a2a2a"/>
          <w:sz w:val="20"/>
          <w:szCs w:val="20"/>
        </w:rPr>
      </w:pPr>
      <w:r w:rsidDel="00000000" w:rsidR="00000000" w:rsidRPr="00000000">
        <w:rPr>
          <w:b w:val="1"/>
          <w:bCs w:val="1"/>
          <w:color w:val="2a2a2a"/>
          <w:sz w:val="20"/>
          <w:szCs w:val="20"/>
          <w:rtl w:val="0"/>
        </w:rPr>
        <w:t xml:space="preserve">Summary</w:t>
      </w:r>
    </w:p>
    <w:p w:rsidR="00000000" w:rsidDel="00000000" w:rsidP="00000000" w:rsidRDefault="00000000" w:rsidRPr="00000000" w14:paraId="00000040">
      <w:pPr>
        <w:ind w:left="1440" w:firstLine="0"/>
        <w:rPr>
          <w:color w:val="2a2a2a"/>
          <w:sz w:val="20"/>
          <w:szCs w:val="20"/>
        </w:rPr>
      </w:pPr>
      <w:r w:rsidDel="00000000" w:rsidR="00000000" w:rsidRPr="00000000">
        <w:rPr>
          <w:color w:val="2a2a2a"/>
          <w:sz w:val="20"/>
          <w:szCs w:val="20"/>
          <w:rtl w:val="0"/>
        </w:rPr>
        <w:t xml:space="preserve">This statewide retrospective study evaluates how well burn center referral practices align with American Burn Association (ABA) referral criteria and how treatment outcomes differ depending on where burn patients receive care. Using Illinois inpatient and outpatient hospital data from 2010–2015, the authors compared patients treated at verified burn centers (VB), nonverified burn centers (NVB), and facilities without burn units (OF). Multivariable regression models were used to assess referral adherence and outcomes including infection rates, length of stay, discharge disposition, and mortality.</w:t>
      </w:r>
    </w:p>
    <w:p w:rsidR="00000000" w:rsidDel="00000000" w:rsidP="00000000" w:rsidRDefault="00000000" w:rsidRPr="00000000" w14:paraId="00000041">
      <w:pPr>
        <w:ind w:left="1440" w:firstLine="0"/>
        <w:rPr>
          <w:color w:val="2a2a2a"/>
          <w:sz w:val="20"/>
          <w:szCs w:val="20"/>
          <w:u w:val="none"/>
        </w:rPr>
      </w:pPr>
      <w:r w:rsidDel="00000000" w:rsidR="00000000" w:rsidRPr="00000000">
        <w:rPr>
          <w:color w:val="2a2a2a"/>
          <w:sz w:val="20"/>
          <w:szCs w:val="20"/>
          <w:rtl w:val="0"/>
        </w:rPr>
        <w:t xml:space="preserve">The study found substantial under-referral to burn centers: 66% of patients treated in nonburn facilities met ABA referral criteria, indicating missed opportunities for specialized care. Patients who were older, lived farther from burn centers, had multiple comorbidities, or were initially treated at Level I trauma centers without burn units were significantly less likely to be transferred—even when referral criteria were met. Despite this, patients treated in both verified and nonverified burn centers experienced better functional outcomes, including fewer infections, shorter hospital stays, and lower likelihood of discharge to skilled nursing or rehabilitation facilities, with comparable mortality after adjustment.</w:t>
      </w:r>
      <w:r w:rsidDel="00000000" w:rsidR="00000000" w:rsidRPr="00000000">
        <w:rPr>
          <w:rtl w:val="0"/>
        </w:rPr>
      </w:r>
    </w:p>
    <w:p w:rsidR="00000000" w:rsidDel="00000000" w:rsidP="00000000" w:rsidRDefault="00000000" w:rsidRPr="00000000" w14:paraId="00000042">
      <w:pPr>
        <w:numPr>
          <w:ilvl w:val="1"/>
          <w:numId w:val="2"/>
        </w:numPr>
        <w:ind w:left="1440" w:hanging="360"/>
        <w:rPr>
          <w:b w:val="1"/>
          <w:bCs w:val="1"/>
          <w:color w:val="2a2a2a"/>
          <w:sz w:val="20"/>
          <w:szCs w:val="20"/>
          <w:u w:val="none"/>
        </w:rPr>
      </w:pPr>
      <w:r w:rsidDel="00000000" w:rsidR="00000000" w:rsidRPr="00000000">
        <w:rPr>
          <w:b w:val="1"/>
          <w:bCs w:val="1"/>
          <w:color w:val="2a2a2a"/>
          <w:sz w:val="20"/>
          <w:szCs w:val="20"/>
          <w:rtl w:val="0"/>
        </w:rPr>
        <w:t xml:space="preserve">Relevance to Equitable Access to Burn Care</w:t>
      </w:r>
      <w:r w:rsidDel="00000000" w:rsidR="00000000" w:rsidRPr="00000000">
        <w:rPr>
          <w:rtl w:val="0"/>
        </w:rPr>
      </w:r>
    </w:p>
    <w:p w:rsidR="00000000" w:rsidDel="00000000" w:rsidP="00000000" w:rsidRDefault="00000000" w:rsidRPr="00000000" w14:paraId="00000043">
      <w:pPr>
        <w:ind w:left="1440" w:firstLine="0"/>
        <w:rPr>
          <w:color w:val="2a2a2a"/>
          <w:sz w:val="20"/>
          <w:szCs w:val="20"/>
        </w:rPr>
      </w:pPr>
      <w:r w:rsidDel="00000000" w:rsidR="00000000" w:rsidRPr="00000000">
        <w:rPr>
          <w:color w:val="2a2a2a"/>
          <w:sz w:val="20"/>
          <w:szCs w:val="20"/>
          <w:rtl w:val="0"/>
        </w:rPr>
        <w:t xml:space="preserve">The study demonstrates that geographic distance, age, and insurance-related factors shape access to specialized burn care, even within a single state. Patients who are older or live farther from burn centers are less likely to receive specialized care, despite evidence that burn center treatment improves outcomes. This underscores how structural and geographic inequities can limit access to optimal burn care.</w:t>
      </w:r>
    </w:p>
    <w:p w:rsidR="00000000" w:rsidDel="00000000" w:rsidP="00000000" w:rsidRDefault="00000000" w:rsidRPr="00000000" w14:paraId="00000044">
      <w:pPr>
        <w:numPr>
          <w:ilvl w:val="0"/>
          <w:numId w:val="2"/>
        </w:numPr>
        <w:ind w:left="720" w:hanging="360"/>
        <w:rPr>
          <w:b w:val="1"/>
          <w:bCs w:val="1"/>
          <w:color w:val="2a2a2a"/>
          <w:sz w:val="20"/>
          <w:szCs w:val="20"/>
        </w:rPr>
      </w:pPr>
      <w:r w:rsidDel="00000000" w:rsidR="00000000" w:rsidRPr="00000000">
        <w:rPr>
          <w:b w:val="1"/>
          <w:bCs w:val="1"/>
          <w:color w:val="2a2a2a"/>
          <w:sz w:val="20"/>
          <w:szCs w:val="20"/>
          <w:rtl w:val="0"/>
        </w:rPr>
        <w:t xml:space="preserve">Published</w:t>
      </w:r>
      <w:r w:rsidDel="00000000" w:rsidR="00000000" w:rsidRPr="00000000">
        <w:rPr>
          <w:color w:val="2a2a2a"/>
          <w:sz w:val="20"/>
          <w:szCs w:val="20"/>
          <w:rtl w:val="0"/>
        </w:rPr>
        <w:t xml:space="preserve">: 2019; </w:t>
      </w:r>
      <w:r w:rsidDel="00000000" w:rsidR="00000000" w:rsidRPr="00000000">
        <w:rPr>
          <w:b w:val="1"/>
          <w:bCs w:val="1"/>
          <w:color w:val="2a2a2a"/>
          <w:sz w:val="20"/>
          <w:szCs w:val="20"/>
          <w:rtl w:val="0"/>
        </w:rPr>
        <w:t xml:space="preserve">Title</w:t>
      </w:r>
      <w:r w:rsidDel="00000000" w:rsidR="00000000" w:rsidRPr="00000000">
        <w:rPr>
          <w:color w:val="2a2a2a"/>
          <w:sz w:val="20"/>
          <w:szCs w:val="20"/>
          <w:rtl w:val="0"/>
        </w:rPr>
        <w:t xml:space="preserve">: Determining Immediate Burn Bed Availability to Support Regional Disaster Response. </w:t>
      </w:r>
      <w:r w:rsidDel="00000000" w:rsidR="00000000" w:rsidRPr="00000000">
        <w:rPr>
          <w:b w:val="1"/>
          <w:bCs w:val="1"/>
          <w:color w:val="2a2a2a"/>
          <w:sz w:val="20"/>
          <w:szCs w:val="20"/>
          <w:rtl w:val="0"/>
        </w:rPr>
        <w:t xml:space="preserve">Authors</w:t>
      </w:r>
      <w:r w:rsidDel="00000000" w:rsidR="00000000" w:rsidRPr="00000000">
        <w:rPr>
          <w:color w:val="2a2a2a"/>
          <w:sz w:val="20"/>
          <w:szCs w:val="20"/>
          <w:rtl w:val="0"/>
        </w:rPr>
        <w:t xml:space="preserve">: Kathe M. Conlon, Robert Bell, Robin A. Lee, Michael Marano</w:t>
      </w:r>
      <w:r w:rsidDel="00000000" w:rsidR="00000000" w:rsidRPr="00000000">
        <w:rPr>
          <w:rtl w:val="0"/>
        </w:rPr>
      </w:r>
    </w:p>
    <w:p w:rsidR="00000000" w:rsidDel="00000000" w:rsidP="00000000" w:rsidRDefault="00000000" w:rsidRPr="00000000" w14:paraId="00000045">
      <w:pPr>
        <w:numPr>
          <w:ilvl w:val="1"/>
          <w:numId w:val="2"/>
        </w:numPr>
        <w:ind w:left="1440" w:hanging="360"/>
        <w:rPr>
          <w:b w:val="1"/>
          <w:bCs w:val="1"/>
          <w:color w:val="2a2a2a"/>
          <w:sz w:val="20"/>
          <w:szCs w:val="20"/>
        </w:rPr>
      </w:pPr>
      <w:r w:rsidDel="00000000" w:rsidR="00000000" w:rsidRPr="00000000">
        <w:rPr>
          <w:b w:val="1"/>
          <w:bCs w:val="1"/>
          <w:color w:val="2a2a2a"/>
          <w:sz w:val="20"/>
          <w:szCs w:val="20"/>
          <w:rtl w:val="0"/>
        </w:rPr>
        <w:t xml:space="preserve">Summary</w:t>
      </w:r>
    </w:p>
    <w:p w:rsidR="00000000" w:rsidDel="00000000" w:rsidP="00000000" w:rsidRDefault="00000000" w:rsidRPr="00000000" w14:paraId="00000046">
      <w:pPr>
        <w:ind w:left="1440" w:firstLine="0"/>
        <w:rPr>
          <w:color w:val="2a2a2a"/>
          <w:sz w:val="20"/>
          <w:szCs w:val="20"/>
        </w:rPr>
      </w:pPr>
      <w:r w:rsidDel="00000000" w:rsidR="00000000" w:rsidRPr="00000000">
        <w:rPr>
          <w:color w:val="2a2a2a"/>
          <w:sz w:val="20"/>
          <w:szCs w:val="20"/>
          <w:rtl w:val="0"/>
        </w:rPr>
        <w:t xml:space="preserve">This study examines an 8-year regional burn bed census (BBC) conducted across 27 burn centers in the northeastern United States to estimate how many burn beds are immediately available at the onset of a disaster. Recognizing that real-time burn bed availability is one of the most difficult variables for emergency planners to anticipate, the authors retrospectively analyzed 86 monthly census reports collected via direct telephone calls to burn units between 2009 and 2016. </w:t>
      </w:r>
    </w:p>
    <w:p w:rsidR="00000000" w:rsidDel="00000000" w:rsidP="00000000" w:rsidRDefault="00000000" w:rsidRPr="00000000" w14:paraId="00000047">
      <w:pPr>
        <w:ind w:left="1440" w:firstLine="0"/>
        <w:rPr>
          <w:color w:val="2a2a2a"/>
          <w:sz w:val="20"/>
          <w:szCs w:val="20"/>
        </w:rPr>
      </w:pPr>
      <w:r w:rsidDel="00000000" w:rsidR="00000000" w:rsidRPr="00000000">
        <w:rPr>
          <w:color w:val="2a2a2a"/>
          <w:sz w:val="20"/>
          <w:szCs w:val="20"/>
          <w:rtl w:val="0"/>
        </w:rPr>
        <w:t xml:space="preserve">Results show a mean of 72 immediately available burn beds across the region, with seasonal variation ranging from approximately 62 beds in winter months to 78 in the fall. Importantly, the authors identify an absolute minimum of 48 beds, providing disaster planners with a conservative baseline for surge planning. Figures in the article (pp. 833–834) illustrate temporal trends and seasonal predictability, demonstrating that while bed availability fluctuates, it follows consistent patterns that can be modeled and anticipated. The study concludes that even imperfect, time-specific data—when collected systematically—can significantly improve early patient routing and transfer decisions during mass-casualty incidents.</w:t>
      </w:r>
    </w:p>
    <w:p w:rsidR="00000000" w:rsidDel="00000000" w:rsidP="00000000" w:rsidRDefault="00000000" w:rsidRPr="00000000" w14:paraId="00000048">
      <w:pPr>
        <w:numPr>
          <w:ilvl w:val="1"/>
          <w:numId w:val="2"/>
        </w:numPr>
        <w:ind w:left="1440" w:hanging="360"/>
        <w:rPr>
          <w:b w:val="1"/>
          <w:bCs w:val="1"/>
          <w:color w:val="2a2a2a"/>
          <w:sz w:val="20"/>
          <w:szCs w:val="20"/>
        </w:rPr>
      </w:pPr>
      <w:r w:rsidDel="00000000" w:rsidR="00000000" w:rsidRPr="00000000">
        <w:rPr>
          <w:b w:val="1"/>
          <w:bCs w:val="1"/>
          <w:color w:val="2a2a2a"/>
          <w:sz w:val="20"/>
          <w:szCs w:val="20"/>
          <w:rtl w:val="0"/>
        </w:rPr>
        <w:t xml:space="preserve">Relevance to Equitable Access to Burn Care</w:t>
      </w:r>
    </w:p>
    <w:p w:rsidR="00000000" w:rsidDel="00000000" w:rsidP="00000000" w:rsidRDefault="00000000" w:rsidRPr="00000000" w14:paraId="00000049">
      <w:pPr>
        <w:ind w:left="1440" w:firstLine="0"/>
        <w:rPr>
          <w:color w:val="2a2a2a"/>
          <w:sz w:val="20"/>
          <w:szCs w:val="20"/>
        </w:rPr>
      </w:pPr>
      <w:r w:rsidDel="00000000" w:rsidR="00000000" w:rsidRPr="00000000">
        <w:rPr>
          <w:color w:val="2a2a2a"/>
          <w:sz w:val="20"/>
          <w:szCs w:val="20"/>
          <w:rtl w:val="0"/>
        </w:rPr>
        <w:t xml:space="preserve">By coordinating referrals across a regional consortium, this approach helps prevent geographic inequities in access to burn care, particularly during disasters when local capacity is quickly exceeded. The census model ensures that no single center disproportionately absorbs patients simply due to proximity, supporting more equitable access to specialized burn services across states and populations.</w:t>
      </w:r>
    </w:p>
    <w:p w:rsidR="00000000" w:rsidDel="00000000" w:rsidP="00000000" w:rsidRDefault="00000000" w:rsidRPr="00000000" w14:paraId="0000004A">
      <w:pPr>
        <w:ind w:left="0" w:firstLine="0"/>
        <w:rPr>
          <w:color w:val="2a2a2a"/>
          <w:sz w:val="20"/>
          <w:szCs w:val="20"/>
        </w:rPr>
      </w:pPr>
      <w:r w:rsidDel="00000000" w:rsidR="00000000" w:rsidRPr="00000000">
        <w:rPr>
          <w:rtl w:val="0"/>
        </w:rPr>
      </w:r>
    </w:p>
    <w:p w:rsidR="00000000" w:rsidDel="00000000" w:rsidP="00000000" w:rsidRDefault="00000000" w:rsidRPr="00000000" w14:paraId="0000004B">
      <w:pPr>
        <w:numPr>
          <w:ilvl w:val="0"/>
          <w:numId w:val="2"/>
        </w:numPr>
        <w:ind w:left="720" w:hanging="360"/>
        <w:rPr>
          <w:b w:val="1"/>
          <w:bCs w:val="1"/>
          <w:color w:val="2a2a2a"/>
          <w:sz w:val="20"/>
          <w:szCs w:val="20"/>
        </w:rPr>
      </w:pPr>
      <w:r w:rsidDel="00000000" w:rsidR="00000000" w:rsidRPr="00000000">
        <w:rPr>
          <w:b w:val="1"/>
          <w:bCs w:val="1"/>
          <w:color w:val="2a2a2a"/>
          <w:sz w:val="20"/>
          <w:szCs w:val="20"/>
          <w:rtl w:val="0"/>
        </w:rPr>
        <w:t xml:space="preserve">Published</w:t>
      </w:r>
      <w:r w:rsidDel="00000000" w:rsidR="00000000" w:rsidRPr="00000000">
        <w:rPr>
          <w:color w:val="2a2a2a"/>
          <w:sz w:val="20"/>
          <w:szCs w:val="20"/>
          <w:rtl w:val="0"/>
        </w:rPr>
        <w:t xml:space="preserve">: 2012; </w:t>
      </w:r>
      <w:r w:rsidDel="00000000" w:rsidR="00000000" w:rsidRPr="00000000">
        <w:rPr>
          <w:b w:val="1"/>
          <w:bCs w:val="1"/>
          <w:color w:val="2a2a2a"/>
          <w:sz w:val="20"/>
          <w:szCs w:val="20"/>
          <w:rtl w:val="0"/>
        </w:rPr>
        <w:t xml:space="preserve">Title</w:t>
      </w:r>
      <w:r w:rsidDel="00000000" w:rsidR="00000000" w:rsidRPr="00000000">
        <w:rPr>
          <w:color w:val="2a2a2a"/>
          <w:sz w:val="20"/>
          <w:szCs w:val="20"/>
          <w:rtl w:val="0"/>
        </w:rPr>
        <w:t xml:space="preserve">: A half-century of burn epidemiology and burn care in a rural state; </w:t>
      </w:r>
      <w:r w:rsidDel="00000000" w:rsidR="00000000" w:rsidRPr="00000000">
        <w:rPr>
          <w:b w:val="1"/>
          <w:bCs w:val="1"/>
          <w:color w:val="2a2a2a"/>
          <w:sz w:val="20"/>
          <w:szCs w:val="20"/>
          <w:rtl w:val="0"/>
        </w:rPr>
        <w:t xml:space="preserve">Authors</w:t>
      </w:r>
      <w:r w:rsidDel="00000000" w:rsidR="00000000" w:rsidRPr="00000000">
        <w:rPr>
          <w:color w:val="2a2a2a"/>
          <w:sz w:val="20"/>
          <w:szCs w:val="20"/>
          <w:rtl w:val="0"/>
        </w:rPr>
        <w:t xml:space="preserve">: Laura L. Blaisdell, Reeve Chace, Lee D. Hallagan, David E. Clark</w:t>
      </w:r>
      <w:r w:rsidDel="00000000" w:rsidR="00000000" w:rsidRPr="00000000">
        <w:rPr>
          <w:rtl w:val="0"/>
        </w:rPr>
      </w:r>
    </w:p>
    <w:p w:rsidR="00000000" w:rsidDel="00000000" w:rsidP="00000000" w:rsidRDefault="00000000" w:rsidRPr="00000000" w14:paraId="0000004C">
      <w:pPr>
        <w:numPr>
          <w:ilvl w:val="1"/>
          <w:numId w:val="2"/>
        </w:numPr>
        <w:ind w:left="1440" w:hanging="360"/>
        <w:rPr>
          <w:b w:val="1"/>
          <w:bCs w:val="1"/>
          <w:color w:val="2a2a2a"/>
          <w:sz w:val="20"/>
          <w:szCs w:val="20"/>
        </w:rPr>
      </w:pPr>
      <w:r w:rsidDel="00000000" w:rsidR="00000000" w:rsidRPr="00000000">
        <w:rPr>
          <w:b w:val="1"/>
          <w:bCs w:val="1"/>
          <w:color w:val="2a2a2a"/>
          <w:sz w:val="20"/>
          <w:szCs w:val="20"/>
          <w:rtl w:val="0"/>
        </w:rPr>
        <w:t xml:space="preserve">Summary</w:t>
      </w:r>
    </w:p>
    <w:p w:rsidR="00000000" w:rsidDel="00000000" w:rsidP="00000000" w:rsidRDefault="00000000" w:rsidRPr="00000000" w14:paraId="0000004D">
      <w:pPr>
        <w:ind w:left="1440" w:firstLine="0"/>
        <w:rPr>
          <w:color w:val="2a2a2a"/>
          <w:sz w:val="20"/>
          <w:szCs w:val="20"/>
        </w:rPr>
      </w:pPr>
      <w:r w:rsidDel="00000000" w:rsidR="00000000" w:rsidRPr="00000000">
        <w:rPr>
          <w:color w:val="2a2a2a"/>
          <w:sz w:val="20"/>
          <w:szCs w:val="20"/>
          <w:rtl w:val="0"/>
        </w:rPr>
        <w:t xml:space="preserve">This longitudinal, population-based study examines 50 years of burn incidence, severity, treatment, and mortality in the rural state of Maine, using a comprehensive set of linked data sources including the U.S. Census, state death certificates, hospital discharge abstracts, and burn registries from both Maine hospitals and ABA-verified burn centers in Boston. The authors quantify dramatic declines in burn-related mortality and hospitalization rates from 1960 to 2009, despite Maine’s aging and predominantly rural population.</w:t>
      </w:r>
    </w:p>
    <w:p w:rsidR="00000000" w:rsidDel="00000000" w:rsidP="00000000" w:rsidRDefault="00000000" w:rsidRPr="00000000" w14:paraId="0000004E">
      <w:pPr>
        <w:ind w:left="1440" w:firstLine="0"/>
        <w:rPr>
          <w:color w:val="2a2a2a"/>
          <w:sz w:val="20"/>
          <w:szCs w:val="20"/>
        </w:rPr>
      </w:pPr>
      <w:r w:rsidDel="00000000" w:rsidR="00000000" w:rsidRPr="00000000">
        <w:rPr>
          <w:color w:val="2a2a2a"/>
          <w:sz w:val="20"/>
          <w:szCs w:val="20"/>
          <w:rtl w:val="0"/>
        </w:rPr>
        <w:t xml:space="preserve">Key findings show that annual burn deaths in Maine declined from an average of 53 deaths (1960–1964) to 14 deaths (2004–2008), with the state’s age-adjusted burn mortality rate falling from above the national average to below it. Hospitalizations for burn injury decreased by 65% between 1978 and 2009. Importantly, only 12% of hospitalized burn patients since 1999 were treated in Boston ABA-verified burn centers, reflecting a selective referral model in which most burns were managed locally at Maine Medical Center (MMC), with transfers reserved for patients with advanced age or severe burns. Mortality outcomes for Maine patients—whether treated locally or transferred—were statistically equivalent to those reported in the National Burn Repository when stratified by age and burn severity.</w:t>
      </w:r>
    </w:p>
    <w:p w:rsidR="00000000" w:rsidDel="00000000" w:rsidP="00000000" w:rsidRDefault="00000000" w:rsidRPr="00000000" w14:paraId="0000004F">
      <w:pPr>
        <w:numPr>
          <w:ilvl w:val="1"/>
          <w:numId w:val="2"/>
        </w:numPr>
        <w:ind w:left="1440" w:hanging="360"/>
        <w:rPr>
          <w:b w:val="1"/>
          <w:bCs w:val="1"/>
          <w:color w:val="2a2a2a"/>
          <w:sz w:val="20"/>
          <w:szCs w:val="20"/>
        </w:rPr>
      </w:pPr>
      <w:r w:rsidDel="00000000" w:rsidR="00000000" w:rsidRPr="00000000">
        <w:rPr>
          <w:b w:val="1"/>
          <w:bCs w:val="1"/>
          <w:color w:val="2a2a2a"/>
          <w:sz w:val="20"/>
          <w:szCs w:val="20"/>
          <w:rtl w:val="0"/>
        </w:rPr>
        <w:t xml:space="preserve">Relevance to Equitable Access to Burn Care</w:t>
      </w:r>
    </w:p>
    <w:p w:rsidR="00000000" w:rsidDel="00000000" w:rsidP="00000000" w:rsidRDefault="00000000" w:rsidRPr="00000000" w14:paraId="00000050">
      <w:pPr>
        <w:ind w:left="1440" w:firstLine="0"/>
        <w:rPr>
          <w:color w:val="2a2a2a"/>
          <w:sz w:val="20"/>
          <w:szCs w:val="20"/>
        </w:rPr>
      </w:pPr>
      <w:r w:rsidDel="00000000" w:rsidR="00000000" w:rsidRPr="00000000">
        <w:rPr>
          <w:color w:val="2a2a2a"/>
          <w:sz w:val="20"/>
          <w:szCs w:val="20"/>
          <w:rtl w:val="0"/>
        </w:rPr>
        <w:t xml:space="preserve">This study provides strong evidence that a regionalized, tiered burn care system can deliver equitable outcomes in rural populations without requiring universal transfer to high-volume burn centers. By balancing local treatment capacity with selective referral to specialized centers, Maine achieved mortality outcomes comparable to national benchmarks while reducing travel burden, cost, and access barriers for rural patients and families.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N9ZLAcxVoEj8OA510wXIp/CWHA==">CgMxLjAyDmgucDZmaXRrY2g1aWxpOAByITE0XzlVZWwwYTVtYkluNkF3OVB3ZktZNFN1amhZRVZqSw==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