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CF3C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The Composite Vulnerability Index (CVI) Framework</w:t>
      </w:r>
    </w:p>
    <w:p w14:paraId="7FB80696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Solution Title: </w:t>
      </w:r>
      <w:r w:rsidRPr="00F44817">
        <w:rPr>
          <w:rFonts w:ascii="Times New Roman" w:hAnsi="Times New Roman" w:cs="Times New Roman"/>
          <w:sz w:val="20"/>
          <w:szCs w:val="20"/>
        </w:rPr>
        <w:t>Advancing Burn Care Equity through the Composite Vulnerability Index (CVI)</w:t>
      </w:r>
    </w:p>
    <w:p w14:paraId="51E1A7DF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pict w14:anchorId="0F6FFD23">
          <v:rect id="_x0000_i1037" style="width:0;height:.75pt" o:hralign="center" o:hrstd="t" o:hr="t" fillcolor="#a0a0a0" stroked="f"/>
        </w:pict>
      </w:r>
    </w:p>
    <w:p w14:paraId="58F1E7C2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The Problem</w:t>
      </w:r>
    </w:p>
    <w:p w14:paraId="5354DDD5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sz w:val="20"/>
          <w:szCs w:val="20"/>
        </w:rPr>
        <w:t>Where a person lives currently determines their survival probability after a burn. Geographic concentration of burn centers in major cities leaves rural and disadvantaged populations facing a "Distance Burden" that compounds existing social inequities. Without a data-driven approach to resource allocation, these disparities will persist and widen.</w:t>
      </w:r>
    </w:p>
    <w:p w14:paraId="79CF24D8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pict w14:anchorId="564ECE01">
          <v:rect id="_x0000_i1038" style="width:0;height:.75pt" o:hralign="center" o:hrstd="t" o:hr="t" fillcolor="#a0a0a0" stroked="f"/>
        </w:pict>
      </w:r>
    </w:p>
    <w:p w14:paraId="1AC564F6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Our Solution</w:t>
      </w:r>
    </w:p>
    <w:p w14:paraId="21BEF9D3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sz w:val="20"/>
          <w:szCs w:val="20"/>
        </w:rPr>
        <w:t>We developed a Composite Vulnerability Index (CVI) to identify and prioritize underserved regions. Unlike simple geographic averages, our CVI uses population-weighted county centroids and Haversine distances to reflect the true lived experience of Americans. This enables precise, equitable targeting of interventions.</w:t>
      </w:r>
    </w:p>
    <w:p w14:paraId="183B4E7C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Key Components</w:t>
      </w:r>
    </w:p>
    <w:tbl>
      <w:tblPr>
        <w:tblpPr w:leftFromText="180" w:rightFromText="180" w:vertAnchor="text" w:horzAnchor="margin" w:tblpY="230"/>
        <w:tblW w:w="8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6989"/>
      </w:tblGrid>
      <w:tr w:rsidR="00F44817" w:rsidRPr="00F44817" w14:paraId="279A0388" w14:textId="77777777" w:rsidTr="00F44817">
        <w:trPr>
          <w:trHeight w:val="305"/>
          <w:tblHeader/>
        </w:trPr>
        <w:tc>
          <w:tcPr>
            <w:tcW w:w="18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73C2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tcPr>
            <w:tcW w:w="6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D422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F44817" w:rsidRPr="00F44817" w14:paraId="543E808A" w14:textId="77777777" w:rsidTr="00F44817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3087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CVI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086C1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sz w:val="20"/>
                <w:szCs w:val="20"/>
              </w:rPr>
              <w:t>A multi-factor model scoring every U.S. state based on: Access (35%), Quality (25%), Capacity (25%), and Population (15%)</w:t>
            </w:r>
          </w:p>
        </w:tc>
      </w:tr>
      <w:tr w:rsidR="00F44817" w:rsidRPr="00F44817" w14:paraId="722CC181" w14:textId="77777777" w:rsidTr="00F44817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1395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Equity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A3915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sz w:val="20"/>
                <w:szCs w:val="20"/>
              </w:rPr>
              <w:t>Integration of CDC Social Vulnerability Index (SVI) data revealed that poverty increases the distance to ABA-verified care by </w:t>
            </w:r>
            <w:r w:rsidRPr="00F44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1.4×</w:t>
            </w:r>
          </w:p>
        </w:tc>
      </w:tr>
      <w:tr w:rsidR="00F44817" w:rsidRPr="00F44817" w14:paraId="1AD1053A" w14:textId="77777777" w:rsidTr="00F4481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85AC3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Referral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ED011" w14:textId="77777777" w:rsidR="00F44817" w:rsidRPr="00F44817" w:rsidRDefault="00F44817" w:rsidP="00F44817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4817">
              <w:rPr>
                <w:rFonts w:ascii="Times New Roman" w:hAnsi="Times New Roman" w:cs="Times New Roman"/>
                <w:sz w:val="20"/>
                <w:szCs w:val="20"/>
              </w:rPr>
              <w:t>Identified </w:t>
            </w:r>
            <w:r w:rsidRPr="00F448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498 trauma centers (88.1% of national total)</w:t>
            </w:r>
            <w:r w:rsidRPr="00F44817">
              <w:rPr>
                <w:rFonts w:ascii="Times New Roman" w:hAnsi="Times New Roman" w:cs="Times New Roman"/>
                <w:sz w:val="20"/>
                <w:szCs w:val="20"/>
              </w:rPr>
              <w:t> that lack burn capability, acting as structural referral bottlenecks</w:t>
            </w:r>
          </w:p>
        </w:tc>
      </w:tr>
    </w:tbl>
    <w:p w14:paraId="5AEFD568" w14:textId="77777777" w:rsidR="004444C2" w:rsidRDefault="004444C2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C5E6190" w14:textId="77777777" w:rsid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473D0D4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Projected Impact</w:t>
      </w:r>
    </w:p>
    <w:p w14:paraId="4A1F4868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sz w:val="20"/>
          <w:szCs w:val="20"/>
        </w:rPr>
        <w:t>By deploying the three pillars of our recommendation—</w:t>
      </w:r>
    </w:p>
    <w:p w14:paraId="2D298D22" w14:textId="77777777" w:rsidR="00F44817" w:rsidRPr="00F44817" w:rsidRDefault="00F44817" w:rsidP="00F4481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Tele-burn hubs</w:t>
      </w:r>
    </w:p>
    <w:p w14:paraId="2E18128A" w14:textId="77777777" w:rsidR="00F44817" w:rsidRPr="00F44817" w:rsidRDefault="00F44817" w:rsidP="00F4481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ABA verification expansion</w:t>
      </w:r>
    </w:p>
    <w:p w14:paraId="6C8C1305" w14:textId="77777777" w:rsidR="00F44817" w:rsidRPr="00F44817" w:rsidRDefault="00F44817" w:rsidP="00F4481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New Level I anchors</w:t>
      </w:r>
    </w:p>
    <w:p w14:paraId="54C28D51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sz w:val="20"/>
          <w:szCs w:val="20"/>
        </w:rPr>
        <w:t>—we estimate:</w:t>
      </w:r>
    </w:p>
    <w:p w14:paraId="46B448D9" w14:textId="77777777" w:rsidR="00F44817" w:rsidRPr="00F44817" w:rsidRDefault="00F44817" w:rsidP="00F4481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14,514 additional patients</w:t>
      </w:r>
      <w:r w:rsidRPr="00F44817">
        <w:rPr>
          <w:rFonts w:ascii="Times New Roman" w:hAnsi="Times New Roman" w:cs="Times New Roman"/>
          <w:sz w:val="20"/>
          <w:szCs w:val="20"/>
        </w:rPr>
        <w:t> reached annually</w:t>
      </w:r>
    </w:p>
    <w:p w14:paraId="0D5B804E" w14:textId="77777777" w:rsidR="00F44817" w:rsidRPr="00F44817" w:rsidRDefault="00F44817" w:rsidP="00F4481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817">
        <w:rPr>
          <w:rFonts w:ascii="Times New Roman" w:hAnsi="Times New Roman" w:cs="Times New Roman"/>
          <w:b/>
          <w:bCs/>
          <w:sz w:val="20"/>
          <w:szCs w:val="20"/>
        </w:rPr>
        <w:t>$24M in avoidable infection costs</w:t>
      </w:r>
      <w:r w:rsidRPr="00F44817">
        <w:rPr>
          <w:rFonts w:ascii="Times New Roman" w:hAnsi="Times New Roman" w:cs="Times New Roman"/>
          <w:sz w:val="20"/>
          <w:szCs w:val="20"/>
        </w:rPr>
        <w:t> saved</w:t>
      </w:r>
    </w:p>
    <w:p w14:paraId="028C2C47" w14:textId="77777777" w:rsidR="00F44817" w:rsidRPr="00F44817" w:rsidRDefault="00F44817" w:rsidP="00F4481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F44817" w:rsidRPr="00F44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6FB6"/>
    <w:multiLevelType w:val="multilevel"/>
    <w:tmpl w:val="AFE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F0FB8"/>
    <w:multiLevelType w:val="multilevel"/>
    <w:tmpl w:val="6788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B622C"/>
    <w:multiLevelType w:val="multilevel"/>
    <w:tmpl w:val="1DB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325D5"/>
    <w:multiLevelType w:val="multilevel"/>
    <w:tmpl w:val="0D6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07097"/>
    <w:multiLevelType w:val="multilevel"/>
    <w:tmpl w:val="4068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A7F42"/>
    <w:multiLevelType w:val="multilevel"/>
    <w:tmpl w:val="BBD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D79D3"/>
    <w:multiLevelType w:val="multilevel"/>
    <w:tmpl w:val="DEA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437789">
    <w:abstractNumId w:val="3"/>
  </w:num>
  <w:num w:numId="2" w16cid:durableId="592859047">
    <w:abstractNumId w:val="4"/>
  </w:num>
  <w:num w:numId="3" w16cid:durableId="1052076193">
    <w:abstractNumId w:val="6"/>
  </w:num>
  <w:num w:numId="4" w16cid:durableId="543912127">
    <w:abstractNumId w:val="1"/>
  </w:num>
  <w:num w:numId="5" w16cid:durableId="845098987">
    <w:abstractNumId w:val="2"/>
  </w:num>
  <w:num w:numId="6" w16cid:durableId="233862214">
    <w:abstractNumId w:val="0"/>
  </w:num>
  <w:num w:numId="7" w16cid:durableId="2042701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17"/>
    <w:rsid w:val="00081888"/>
    <w:rsid w:val="00193FAD"/>
    <w:rsid w:val="004444C2"/>
    <w:rsid w:val="008F47D7"/>
    <w:rsid w:val="00E53667"/>
    <w:rsid w:val="00F4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8A07"/>
  <w15:chartTrackingRefBased/>
  <w15:docId w15:val="{F68D5EC6-9F01-410C-8F18-1B8E2F48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Feifei li</dc:creator>
  <cp:keywords/>
  <dc:description/>
  <cp:lastModifiedBy>Feifei li</cp:lastModifiedBy>
  <cp:revision>2</cp:revision>
  <dcterms:created xsi:type="dcterms:W3CDTF">2026-03-15T16:35:00Z</dcterms:created>
  <dcterms:modified xsi:type="dcterms:W3CDTF">2026-03-15T16:35:00Z</dcterms:modified>
</cp:coreProperties>
</file>