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9CBB" w14:textId="75923459" w:rsidR="003D4B03" w:rsidRPr="003D4B03" w:rsidRDefault="003D4B03" w:rsidP="003D4B03">
      <w:pPr>
        <w:spacing w:line="360" w:lineRule="auto"/>
        <w:rPr>
          <w:b/>
          <w:bCs/>
        </w:rPr>
      </w:pPr>
      <w:r>
        <w:rPr>
          <w:b/>
          <w:bCs/>
        </w:rPr>
        <w:t xml:space="preserve">Team 13 </w:t>
      </w:r>
      <w:r w:rsidRPr="003D4B03">
        <w:rPr>
          <w:b/>
          <w:bCs/>
        </w:rPr>
        <w:t>1-Page Solution Overview: The CVI Framework</w:t>
      </w:r>
    </w:p>
    <w:p w14:paraId="0E107778" w14:textId="77777777" w:rsidR="003D4B03" w:rsidRPr="003D4B03" w:rsidRDefault="003D4B03" w:rsidP="003D4B03">
      <w:pPr>
        <w:spacing w:line="360" w:lineRule="auto"/>
      </w:pPr>
      <w:r w:rsidRPr="003D4B03">
        <w:rPr>
          <w:b/>
          <w:bCs/>
        </w:rPr>
        <w:t>Solution Title:</w:t>
      </w:r>
      <w:r w:rsidRPr="003D4B03">
        <w:t xml:space="preserve"> Advancing Burn Care Equity through the Composite Vulnerability Index (CVI).</w:t>
      </w:r>
    </w:p>
    <w:p w14:paraId="28C3FFA7" w14:textId="77777777" w:rsidR="003D4B03" w:rsidRPr="003D4B03" w:rsidRDefault="003D4B03" w:rsidP="003D4B03">
      <w:pPr>
        <w:spacing w:line="360" w:lineRule="auto"/>
      </w:pPr>
      <w:r w:rsidRPr="003D4B03">
        <w:rPr>
          <w:b/>
          <w:bCs/>
        </w:rPr>
        <w:t>The Problem:</w:t>
      </w:r>
      <w:r w:rsidRPr="003D4B03">
        <w:t xml:space="preserve"> Where a person lives currently determines their survival probability after a burn. Geographic concentration of burn centers in major cities leaves rural and disadvantaged populations facing a "Distance Burden" that compounds existing social inequities.</w:t>
      </w:r>
    </w:p>
    <w:p w14:paraId="023360F8" w14:textId="77777777" w:rsidR="003D4B03" w:rsidRPr="003D4B03" w:rsidRDefault="003D4B03" w:rsidP="003D4B03">
      <w:pPr>
        <w:spacing w:line="360" w:lineRule="auto"/>
      </w:pPr>
      <w:r w:rsidRPr="003D4B03">
        <w:rPr>
          <w:b/>
          <w:bCs/>
        </w:rPr>
        <w:t>Our Solution:</w:t>
      </w:r>
      <w:r w:rsidRPr="003D4B03">
        <w:t xml:space="preserve"> We developed a </w:t>
      </w:r>
      <w:r w:rsidRPr="003D4B03">
        <w:rPr>
          <w:b/>
          <w:bCs/>
        </w:rPr>
        <w:t>Composite Vulnerability Index (CVI)</w:t>
      </w:r>
      <w:r w:rsidRPr="003D4B03">
        <w:t xml:space="preserve"> to identify and prioritize underserved regions. Unlike simple geographic averages, our CVI uses </w:t>
      </w:r>
      <w:r w:rsidRPr="003D4B03">
        <w:rPr>
          <w:b/>
          <w:bCs/>
        </w:rPr>
        <w:t>population-weighted county centroids</w:t>
      </w:r>
      <w:r w:rsidRPr="003D4B03">
        <w:t xml:space="preserve"> and </w:t>
      </w:r>
      <w:r w:rsidRPr="003D4B03">
        <w:rPr>
          <w:b/>
          <w:bCs/>
        </w:rPr>
        <w:t>Haversine distances</w:t>
      </w:r>
      <w:r w:rsidRPr="003D4B03">
        <w:t xml:space="preserve"> to reflect the true lived experience of Americans.</w:t>
      </w:r>
    </w:p>
    <w:p w14:paraId="081BBF85" w14:textId="77777777" w:rsidR="003D4B03" w:rsidRPr="003D4B03" w:rsidRDefault="003D4B03" w:rsidP="003D4B03">
      <w:pPr>
        <w:spacing w:line="360" w:lineRule="auto"/>
      </w:pPr>
      <w:r w:rsidRPr="003D4B03">
        <w:rPr>
          <w:b/>
          <w:bCs/>
        </w:rPr>
        <w:t>Key Components:</w:t>
      </w:r>
    </w:p>
    <w:p w14:paraId="2B8F185A" w14:textId="77777777" w:rsidR="003D4B03" w:rsidRPr="003D4B03" w:rsidRDefault="003D4B03" w:rsidP="003D4B03">
      <w:pPr>
        <w:numPr>
          <w:ilvl w:val="0"/>
          <w:numId w:val="1"/>
        </w:numPr>
        <w:spacing w:line="360" w:lineRule="auto"/>
      </w:pPr>
      <w:r w:rsidRPr="003D4B03">
        <w:rPr>
          <w:b/>
          <w:bCs/>
        </w:rPr>
        <w:t>The CVI Engine:</w:t>
      </w:r>
      <w:r w:rsidRPr="003D4B03">
        <w:t xml:space="preserve"> A multi-factor model weighting </w:t>
      </w:r>
      <w:r w:rsidRPr="003D4B03">
        <w:rPr>
          <w:b/>
          <w:bCs/>
        </w:rPr>
        <w:t>Access (35%)</w:t>
      </w:r>
      <w:r w:rsidRPr="003D4B03">
        <w:t xml:space="preserve">, </w:t>
      </w:r>
      <w:r w:rsidRPr="003D4B03">
        <w:rPr>
          <w:b/>
          <w:bCs/>
        </w:rPr>
        <w:t>Quality (25%)</w:t>
      </w:r>
      <w:r w:rsidRPr="003D4B03">
        <w:t xml:space="preserve">, </w:t>
      </w:r>
      <w:r w:rsidRPr="003D4B03">
        <w:rPr>
          <w:b/>
          <w:bCs/>
        </w:rPr>
        <w:t>Capacity (25%)</w:t>
      </w:r>
      <w:r w:rsidRPr="003D4B03">
        <w:t xml:space="preserve">, and </w:t>
      </w:r>
      <w:r w:rsidRPr="003D4B03">
        <w:rPr>
          <w:b/>
          <w:bCs/>
        </w:rPr>
        <w:t>Population (15%)</w:t>
      </w:r>
      <w:r w:rsidRPr="003D4B03">
        <w:t xml:space="preserve"> to score every U.S. state.</w:t>
      </w:r>
    </w:p>
    <w:p w14:paraId="2BA606A9" w14:textId="77777777" w:rsidR="003D4B03" w:rsidRPr="003D4B03" w:rsidRDefault="003D4B03" w:rsidP="003D4B03">
      <w:pPr>
        <w:numPr>
          <w:ilvl w:val="0"/>
          <w:numId w:val="1"/>
        </w:numPr>
        <w:spacing w:line="360" w:lineRule="auto"/>
      </w:pPr>
      <w:r w:rsidRPr="003D4B03">
        <w:rPr>
          <w:b/>
          <w:bCs/>
        </w:rPr>
        <w:t>Equity Analysis:</w:t>
      </w:r>
      <w:r w:rsidRPr="003D4B03">
        <w:t xml:space="preserve"> Integration of </w:t>
      </w:r>
      <w:r w:rsidRPr="003D4B03">
        <w:rPr>
          <w:b/>
          <w:bCs/>
        </w:rPr>
        <w:t>CDC Social Vulnerability Index (SVI)</w:t>
      </w:r>
      <w:r w:rsidRPr="003D4B03">
        <w:t xml:space="preserve"> data revealed that poverty increases the distance to ABA-verified care by </w:t>
      </w:r>
      <w:r w:rsidRPr="003D4B03">
        <w:rPr>
          <w:b/>
          <w:bCs/>
        </w:rPr>
        <w:t>1.4x</w:t>
      </w:r>
      <w:r w:rsidRPr="003D4B03">
        <w:t>.</w:t>
      </w:r>
    </w:p>
    <w:p w14:paraId="1B5A410C" w14:textId="77777777" w:rsidR="003D4B03" w:rsidRPr="003D4B03" w:rsidRDefault="003D4B03" w:rsidP="003D4B03">
      <w:pPr>
        <w:numPr>
          <w:ilvl w:val="0"/>
          <w:numId w:val="1"/>
        </w:numPr>
        <w:spacing w:line="360" w:lineRule="auto"/>
      </w:pPr>
      <w:r w:rsidRPr="003D4B03">
        <w:rPr>
          <w:b/>
          <w:bCs/>
        </w:rPr>
        <w:t>Referral Optimization:</w:t>
      </w:r>
      <w:r w:rsidRPr="003D4B03">
        <w:t xml:space="preserve"> Identified </w:t>
      </w:r>
      <w:r w:rsidRPr="003D4B03">
        <w:rPr>
          <w:b/>
          <w:bCs/>
        </w:rPr>
        <w:t>498 trauma centers</w:t>
      </w:r>
      <w:r w:rsidRPr="003D4B03">
        <w:t xml:space="preserve"> (88.1% of the national total) that lack burn capability, acting as structural referral bottlenecks.</w:t>
      </w:r>
    </w:p>
    <w:p w14:paraId="707E3BAA" w14:textId="77777777" w:rsidR="003D4B03" w:rsidRPr="003D4B03" w:rsidRDefault="003D4B03" w:rsidP="003D4B03">
      <w:pPr>
        <w:spacing w:line="360" w:lineRule="auto"/>
      </w:pPr>
      <w:r w:rsidRPr="003D4B03">
        <w:rPr>
          <w:b/>
          <w:bCs/>
        </w:rPr>
        <w:t>Projected Impact:</w:t>
      </w:r>
      <w:r w:rsidRPr="003D4B03">
        <w:t xml:space="preserve"> By deploying the three pillars of our recommendation—Tele-burn hubs, ABA verification expansion, and new Level I anchors—we estimate reaching </w:t>
      </w:r>
      <w:r w:rsidRPr="003D4B03">
        <w:rPr>
          <w:b/>
          <w:bCs/>
        </w:rPr>
        <w:t>14,514 additional patients annually</w:t>
      </w:r>
      <w:r w:rsidRPr="003D4B03">
        <w:t xml:space="preserve"> and saving </w:t>
      </w:r>
      <w:r w:rsidRPr="003D4B03">
        <w:rPr>
          <w:b/>
          <w:bCs/>
        </w:rPr>
        <w:t>$24M in avoidable infection costs</w:t>
      </w:r>
      <w:r w:rsidRPr="003D4B03">
        <w:t>.</w:t>
      </w:r>
    </w:p>
    <w:p w14:paraId="05B87B5B" w14:textId="77777777" w:rsidR="004444C2" w:rsidRDefault="004444C2" w:rsidP="003D4B03">
      <w:pPr>
        <w:spacing w:line="360" w:lineRule="auto"/>
      </w:pPr>
    </w:p>
    <w:sectPr w:rsidR="00444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04B6"/>
    <w:multiLevelType w:val="multilevel"/>
    <w:tmpl w:val="B80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4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03"/>
    <w:rsid w:val="00193FAD"/>
    <w:rsid w:val="003D4B03"/>
    <w:rsid w:val="004444C2"/>
    <w:rsid w:val="00905F77"/>
    <w:rsid w:val="00E53667"/>
    <w:rsid w:val="00E6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AEB8"/>
  <w15:chartTrackingRefBased/>
  <w15:docId w15:val="{7F62B84B-373D-4336-AC51-7933AF1F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2D9A055EF4844A70E5CB3D0BF290A" ma:contentTypeVersion="16" ma:contentTypeDescription="Create a new document." ma:contentTypeScope="" ma:versionID="d8754775e3c2c923111ace46ce64b338">
  <xsd:schema xmlns:xsd="http://www.w3.org/2001/XMLSchema" xmlns:xs="http://www.w3.org/2001/XMLSchema" xmlns:p="http://schemas.microsoft.com/office/2006/metadata/properties" xmlns:ns3="977907a4-9d72-4200-8ca4-b8d2a50a201e" xmlns:ns4="f2fd7959-53f4-4422-ad72-d728d19f6d22" targetNamespace="http://schemas.microsoft.com/office/2006/metadata/properties" ma:root="true" ma:fieldsID="f23c21f91a5cd943030bd33a34c7fcc1" ns3:_="" ns4:_="">
    <xsd:import namespace="977907a4-9d72-4200-8ca4-b8d2a50a201e"/>
    <xsd:import namespace="f2fd7959-53f4-4422-ad72-d728d19f6d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907a4-9d72-4200-8ca4-b8d2a50a2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7959-53f4-4422-ad72-d728d19f6d2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7907a4-9d72-4200-8ca4-b8d2a50a201e" xsi:nil="true"/>
  </documentManagement>
</p:properties>
</file>

<file path=customXml/itemProps1.xml><?xml version="1.0" encoding="utf-8"?>
<ds:datastoreItem xmlns:ds="http://schemas.openxmlformats.org/officeDocument/2006/customXml" ds:itemID="{59045B36-A0D1-45B3-827A-48684F023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7907a4-9d72-4200-8ca4-b8d2a50a201e"/>
    <ds:schemaRef ds:uri="f2fd7959-53f4-4422-ad72-d728d19f6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1CE288-5C33-4D13-9073-99EB5896D7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8EB144-D097-4D33-B112-75F831A5AA24}">
  <ds:schemaRefs>
    <ds:schemaRef ds:uri="http://schemas.microsoft.com/office/2006/metadata/properties"/>
    <ds:schemaRef ds:uri="http://schemas.microsoft.com/office/infopath/2007/PartnerControls"/>
    <ds:schemaRef ds:uri="977907a4-9d72-4200-8ca4-b8d2a50a20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Feifei</dc:creator>
  <cp:keywords/>
  <dc:description/>
  <cp:lastModifiedBy>Li, Feifei</cp:lastModifiedBy>
  <cp:revision>2</cp:revision>
  <dcterms:created xsi:type="dcterms:W3CDTF">2026-03-15T04:25:00Z</dcterms:created>
  <dcterms:modified xsi:type="dcterms:W3CDTF">2026-03-15T04:25:00Z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0x0101003A92D9A055EF4844A70E5CB3D0BF290A</vt:lpwstr>
  </property>
</Properties>
</file>