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Karta Charakterystyki</w:t>
      </w:r>
    </w:p>
    <w:p>
      <w:pPr>
        <w:spacing w:after="300"/>
        <w:jc w:val="center"/>
      </w:pPr>
      <w:r>
        <w:rPr>
          <w:sz w:val="16"/>
          <w:szCs w:val="16"/>
        </w:rPr>
        <w:t xml:space="preserve">[Sporządzona zgodnie z rozporządzeniem WE 1907/2006(REACH) wraz z późn. zm.]</w:t>
      </w:r>
    </w:p>
    <w:p>
      <w:pPr>
        <w:spacing w:after="400"/>
        <w:jc w:val="right"/>
      </w:pPr>
      <w:r>
        <w:rPr>
          <w:sz w:val="16"/>
          <w:szCs w:val="16"/>
        </w:rPr>
        <w:t xml:space="preserve">Data wystawienia: 14.09.2026</w:t>
      </w:r>
      <w:r>
        <w:rPr>
          <w:sz w:val="16"/>
          <w:szCs w:val="16"/>
        </w:rPr>
        <w:t xml:space="preserve">
Wersja: 1.0 PL</w:t>
      </w: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ORCHIDEA E VANIGLIA V2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1JUA-J3HY-KX04-SM29</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before="80"/>
      </w:pPr>
      <w:r>
        <w:rPr>
          <w:rFonts w:ascii="Arial" w:cs="Arial" w:eastAsia="Arial" w:hAnsi="Arial"/>
          <w:b/>
          <w:bCs/>
          <w:sz w:val="20"/>
          <w:szCs w:val="20"/>
        </w:rPr>
        <w:t xml:space="preserve">Zastosowanie zidentyfikowane:</w:t>
      </w:r>
      <w:r>
        <w:rPr>
          <w:rFonts w:ascii="Arial" w:cs="Arial" w:eastAsia="Arial" w:hAnsi="Arial"/>
          <w:sz w:val="20"/>
          <w:szCs w:val="20"/>
        </w:rPr>
        <w:t xml:space="preserve"> Zastosowanie konsumenckie, profesjonalne, przemysłowe: Industrial Professional Consumer.</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Nie stosować do celów innych niż wskazane.</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MITRANS Weronika Grzesiak</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 woj. wielkopolskie</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H225</w:t>
      </w:r>
    </w:p>
    <w:p>
      <w:pPr>
        <w:spacing w:after="80"/>
      </w:pPr>
      <w:r>
        <w:rPr>
          <w:rFonts w:ascii="Arial" w:cs="Arial" w:eastAsia="Arial" w:hAnsi="Arial"/>
          <w:sz w:val="20"/>
          <w:szCs w:val="20"/>
        </w:rPr>
        <w:t xml:space="preserve">Wysoce łatwopalna ciecz i pary.</w:t>
      </w:r>
    </w:p>
    <w:p>
      <w:pPr>
        <w:spacing w:after="80"/>
      </w:pPr>
      <w:r>
        <w:rPr>
          <w:rFonts w:ascii="Arial" w:cs="Arial" w:eastAsia="Arial" w:hAnsi="Arial"/>
          <w:sz w:val="20"/>
          <w:szCs w:val="20"/>
        </w:rPr>
        <w:t xml:space="preserve">H319</w:t>
      </w:r>
    </w:p>
    <w:p>
      <w:pPr>
        <w:spacing w:after="80"/>
      </w:pPr>
      <w:r>
        <w:rPr>
          <w:rFonts w:ascii="Arial" w:cs="Arial" w:eastAsia="Arial" w:hAnsi="Arial"/>
          <w:sz w:val="20"/>
          <w:szCs w:val="20"/>
        </w:rPr>
        <w:t xml:space="preserve">Działa drażniąco na oczy.</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 i hasło ostrzegawcze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Niebezpieczeństwo</w:t>
      </w:r>
    </w:p>
    <w:p>
      <w:pPr>
        <w:spacing w:after="80" w:before="150"/>
      </w:pPr>
      <w:r>
        <w:rPr>
          <w:rFonts w:ascii="Arial" w:cs="Arial" w:eastAsia="Arial" w:hAnsi="Arial"/>
          <w:b/>
          <w:bCs/>
          <w:sz w:val="20"/>
          <w:szCs w:val="20"/>
        </w:rPr>
        <w:t xml:space="preserve">Nazwy niebezpiecznych substancji wymienione na etykiecie</w:t>
      </w:r>
    </w:p>
    <w:p>
      <w:pPr>
        <w:spacing w:after="80"/>
      </w:pPr>
      <w:r>
        <w:rPr>
          <w:rFonts w:ascii="Arial" w:cs="Arial" w:eastAsia="Arial" w:hAnsi="Arial"/>
          <w:sz w:val="20"/>
          <w:szCs w:val="20"/>
        </w:rPr>
        <w:t xml:space="preserve">etanol, aldehyd anyżowy, kumaryna, 2,6-di-tert-butylo-4-metylofenol (BHT), toluen</w:t>
      </w:r>
    </w:p>
    <w:p>
      <w:pPr>
        <w:spacing w:after="80" w:before="150"/>
      </w:pPr>
      <w:r>
        <w:rPr>
          <w:rFonts w:ascii="Arial" w:cs="Arial" w:eastAsia="Arial" w:hAnsi="Arial"/>
          <w:b/>
          <w:bCs/>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before="150"/>
      </w:pPr>
      <w:r>
        <w:rPr>
          <w:rFonts w:ascii="Arial" w:cs="Arial" w:eastAsia="Arial" w:hAnsi="Arial"/>
          <w:b/>
          <w:bCs/>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P302+P352 W PRZYPADKU KONTAKTU ZE SKÓRĄ: Umyć dużą ilością wody z mydłem.</w:t>
      </w:r>
    </w:p>
    <w:p>
      <w:pPr>
        <w:spacing w:after="80" w:before="150"/>
      </w:pPr>
      <w:r>
        <w:rPr>
          <w:rFonts w:ascii="Arial" w:cs="Arial" w:eastAsia="Arial" w:hAnsi="Arial"/>
          <w:b/>
          <w:bCs/>
          <w:sz w:val="20"/>
          <w:szCs w:val="20"/>
        </w:rPr>
        <w:t xml:space="preserve">Informacje uzupełniające</w:t>
      </w:r>
    </w:p>
    <w:p>
      <w:pPr>
        <w:spacing w:after="80"/>
      </w:pPr>
      <w:r>
        <w:rPr>
          <w:rFonts w:ascii="Arial" w:cs="Arial" w:eastAsia="Arial" w:hAnsi="Arial"/>
          <w:sz w:val="20"/>
          <w:szCs w:val="20"/>
        </w:rPr>
        <w:t xml:space="preserve">Brak.</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tc>
        <w:tc>
          <w:tcPr>
            <w:tcW w:type="dxa" w:w="2800"/>
          </w:tcPr>
          <w:p>
            <w:pPr>
              <w:spacing w:after="40"/>
            </w:pPr>
            <w:r>
              <w:rPr>
                <w:rFonts w:ascii="Arial" w:cs="Arial" w:eastAsia="Arial" w:hAnsi="Arial"/>
                <w:sz w:val="17"/>
                <w:szCs w:val="17"/>
              </w:rPr>
              <w:t xml:space="preserve">Flam. Liq. 2 H225, Eye Irrit. 2 H319</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aldehyd anyżowy</w:t>
            </w:r>
          </w:p>
          <w:p>
            <w:r>
              <w:rPr>
                <w:rFonts w:ascii="Arial" w:cs="Arial" w:eastAsia="Arial" w:hAnsi="Arial"/>
                <w:i/>
                <w:iCs/>
                <w:color w:val="666666"/>
                <w:sz w:val="16"/>
                <w:szCs w:val="16"/>
              </w:rPr>
              <w:t xml:space="preserve">(ang. ANISALDEHYDE)</w:t>
            </w:r>
          </w:p>
        </w:tc>
        <w:tc>
          <w:tcPr>
            <w:tcW w:type="dxa" w:w="2600"/>
          </w:tcPr>
          <w:p>
            <w:pPr>
              <w:spacing w:after="40"/>
            </w:pPr>
            <w:r>
              <w:rPr>
                <w:rFonts w:ascii="Arial" w:cs="Arial" w:eastAsia="Arial" w:hAnsi="Arial"/>
                <w:sz w:val="17"/>
                <w:szCs w:val="17"/>
              </w:rPr>
              <w:t xml:space="preserve">Numer CAS: 123-11-5</w:t>
            </w:r>
          </w:p>
          <w:p>
            <w:pPr>
              <w:spacing w:after="40"/>
            </w:pPr>
            <w:r>
              <w:rPr>
                <w:rFonts w:ascii="Arial" w:cs="Arial" w:eastAsia="Arial" w:hAnsi="Arial"/>
                <w:sz w:val="17"/>
                <w:szCs w:val="17"/>
              </w:rPr>
              <w:t xml:space="preserve">Numer WE: 204-602-6</w:t>
            </w:r>
          </w:p>
        </w:tc>
        <w:tc>
          <w:tcPr>
            <w:tcW w:type="dxa" w:w="2800"/>
          </w:tcPr>
          <w:p>
            <w:pPr>
              <w:spacing w:after="40"/>
            </w:pPr>
            <w:r>
              <w:rPr>
                <w:rFonts w:ascii="Arial" w:cs="Arial" w:eastAsia="Arial" w:hAnsi="Arial"/>
                <w:sz w:val="17"/>
                <w:szCs w:val="17"/>
              </w:rPr>
              <w:t xml:space="preserve">Repr. 2 H361fd, Stwarzające zagrożenie dla środowiska wodnego - kategoria przewlekła 3 H412</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kumaryna</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3 H412</w:t>
            </w:r>
          </w:p>
        </w:tc>
        <w:tc>
          <w:tcPr>
            <w:tcW w:type="dxa" w:w="1400"/>
          </w:tcPr>
          <w:p>
            <w:r>
              <w:rPr>
                <w:rFonts w:ascii="Arial" w:cs="Arial" w:eastAsia="Arial" w:hAnsi="Arial"/>
                <w:sz w:val="18"/>
                <w:szCs w:val="18"/>
              </w:rPr>
              <w:t xml:space="preserve">0,4 ≤ x &lt; 0,45 %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tc>
        <w:tc>
          <w:tcPr>
            <w:tcW w:type="dxa" w:w="2800"/>
          </w:tcPr>
          <w:p>
            <w:pPr>
              <w:spacing w:after="40"/>
            </w:pPr>
            <w:r>
              <w:rPr>
                <w:rFonts w:ascii="Arial" w:cs="Arial" w:eastAsia="Arial" w:hAnsi="Arial"/>
                <w:sz w:val="17"/>
                <w:szCs w:val="17"/>
              </w:rPr>
              <w:t xml:space="preserve">Stwarzające zagrożenie dla środowiska wodnego - kategoria przewlekła 1 H410 M=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 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Zmyć natychmiast dużą ilością wody z mydłem.</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Płukać wodą przy otwartych powiekach przez wystarczająco długi czas, następnie natychmiast skonsultować się z lekarzem okulistą. Usunąć soczewki kontaktowe, jeżeli są i można je łatwo usunąć.</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zapewnić ciepło i spokój. W przypadku wystąpienia objawów skonsultować się z lekarzem i pokazać opakowanie lub etykietę.</w:t>
      </w:r>
    </w:p>
    <w:p>
      <w:pPr>
        <w:spacing w:after="100" w:before="200"/>
      </w:pPr>
      <w:r>
        <w:rPr>
          <w:rFonts w:ascii="Arial" w:cs="Arial" w:eastAsia="Arial" w:hAnsi="Arial"/>
          <w:b/>
          <w:bCs/>
          <w:sz w:val="20"/>
          <w:szCs w:val="20"/>
        </w:rPr>
        <w:t xml:space="preserve">4.2. Najważniejsze ostre i opóźnione objawy oraz skutki narażenia</w:t>
      </w:r>
    </w:p>
    <w:p>
      <w:pPr>
        <w:spacing w:after="80"/>
      </w:pPr>
      <w:r>
        <w:rPr>
          <w:rFonts w:ascii="Arial" w:cs="Arial" w:eastAsia="Arial" w:hAnsi="Arial"/>
          <w:sz w:val="20"/>
          <w:szCs w:val="20"/>
        </w:rPr>
        <w:t xml:space="preserve">Brak dostępnych szczegółowych informacji na temat objawów i skutków wywoływanych przez produkt.</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before="80"/>
      </w:pPr>
      <w:r>
        <w:rPr>
          <w:rFonts w:ascii="Arial" w:cs="Arial" w:eastAsia="Arial" w:hAnsi="Arial"/>
          <w:b/>
          <w:bCs/>
          <w:sz w:val="20"/>
          <w:szCs w:val="20"/>
        </w:rPr>
        <w:t xml:space="preserve">Leczenie:</w:t>
      </w:r>
      <w:r>
        <w:rPr>
          <w:rFonts w:ascii="Arial" w:cs="Arial" w:eastAsia="Arial" w:hAnsi="Arial"/>
          <w:sz w:val="20"/>
          <w:szCs w:val="20"/>
        </w:rPr>
        <w:t xml:space="preserve"> Brak danych.</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 (CO2), rozproszone prądy wody. Środki gaśnicze dobrać odpowiednio do materiałów palnych znajdujących się w otoczeniu pożaru.</w:t>
      </w:r>
    </w:p>
    <w:p>
      <w:pPr>
        <w:spacing w:after="80" w:before="80"/>
      </w:pPr>
      <w:r>
        <w:rPr>
          <w:rFonts w:ascii="Arial" w:cs="Arial" w:eastAsia="Arial" w:hAnsi="Arial"/>
          <w:b/>
          <w:bCs/>
          <w:sz w:val="20"/>
          <w:szCs w:val="20"/>
        </w:rPr>
        <w:t xml:space="preserve">Niewłaściwe środki gaśnicze:</w:t>
      </w:r>
      <w:r>
        <w:rPr>
          <w:rFonts w:ascii="Arial" w:cs="Arial" w:eastAsia="Arial" w:hAnsi="Arial"/>
          <w:sz w:val="20"/>
          <w:szCs w:val="20"/>
        </w:rPr>
        <w:t xml:space="preserve"> Brak szczególnych.</w:t>
      </w:r>
    </w:p>
    <w:p>
      <w:pPr>
        <w:spacing w:after="100" w:before="200"/>
      </w:pPr>
      <w:r>
        <w:rPr>
          <w:rFonts w:ascii="Arial" w:cs="Arial" w:eastAsia="Arial" w:hAnsi="Arial"/>
          <w:b/>
          <w:bCs/>
          <w:sz w:val="20"/>
          <w:szCs w:val="20"/>
        </w:rPr>
        <w:t xml:space="preserve">5.2. Szczególne zagrożenia związane z substancją lub mieszaniną</w:t>
      </w:r>
    </w:p>
    <w:p>
      <w:pPr>
        <w:spacing w:after="80" w:before="80"/>
      </w:pPr>
      <w:r>
        <w:rPr>
          <w:rFonts w:ascii="Arial" w:cs="Arial" w:eastAsia="Arial" w:hAnsi="Arial"/>
          <w:b/>
          <w:bCs/>
          <w:sz w:val="20"/>
          <w:szCs w:val="20"/>
        </w:rPr>
        <w:t xml:space="preserve">Szczególne zagrożenia:</w:t>
      </w:r>
      <w:r>
        <w:rPr>
          <w:rFonts w:ascii="Arial" w:cs="Arial" w:eastAsia="Arial" w:hAnsi="Arial"/>
          <w:sz w:val="20"/>
          <w:szCs w:val="20"/>
        </w:rPr>
        <w:t xml:space="preserve"> Unikać wdychania produktów spalania.</w:t>
      </w:r>
    </w:p>
    <w:p>
      <w:pPr>
        <w:spacing w:after="100" w:before="200"/>
      </w:pPr>
      <w:r>
        <w:rPr>
          <w:rFonts w:ascii="Arial" w:cs="Arial" w:eastAsia="Arial" w:hAnsi="Arial"/>
          <w:b/>
          <w:bCs/>
          <w:sz w:val="20"/>
          <w:szCs w:val="20"/>
        </w:rPr>
        <w:t xml:space="preserve">5.3. Informacje dla straży pożarnej</w:t>
      </w:r>
    </w:p>
    <w:p>
      <w:pPr>
        <w:spacing w:after="80" w:before="80"/>
      </w:pPr>
      <w:r>
        <w:rPr>
          <w:rFonts w:ascii="Arial" w:cs="Arial" w:eastAsia="Arial" w:hAnsi="Arial"/>
          <w:b/>
          <w:bCs/>
          <w:sz w:val="20"/>
          <w:szCs w:val="20"/>
        </w:rPr>
        <w:t xml:space="preserve">Środki ochrony strażaków:</w:t>
      </w:r>
      <w:r>
        <w:rPr>
          <w:rFonts w:ascii="Arial" w:cs="Arial" w:eastAsia="Arial" w:hAnsi="Arial"/>
          <w:sz w:val="20"/>
          <w:szCs w:val="20"/>
        </w:rPr>
        <w:t xml:space="preserve"> Gromadzić oddzielnie zanieczyszczoną wodę gaśniczą; nie dopuścić do jej przedostania się do kanalizacji. Stosować odzież ochronną dla strażaków zgodną z normą europejską EN 469 oraz autonomiczny aparat oddechowy (SCBA) z rękawicami odpornymi na chemikalia.</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wyposażenie ochronne i procedury w sytuacjach awaryjnych</w:t>
      </w:r>
    </w:p>
    <w:p>
      <w:pPr>
        <w:spacing w:after="80" w:before="80"/>
      </w:pPr>
      <w:r>
        <w:rPr>
          <w:rFonts w:ascii="Arial" w:cs="Arial" w:eastAsia="Arial" w:hAnsi="Arial"/>
          <w:b/>
          <w:bCs/>
          <w:sz w:val="20"/>
          <w:szCs w:val="20"/>
        </w:rPr>
        <w:t xml:space="preserve">Dla osób nienależących do personelu udzielającego pomocy:</w:t>
      </w:r>
      <w:r>
        <w:rPr>
          <w:rFonts w:ascii="Arial" w:cs="Arial" w:eastAsia="Arial" w:hAnsi="Arial"/>
          <w:sz w:val="20"/>
          <w:szCs w:val="20"/>
        </w:rPr>
        <w:t xml:space="preserve"> Stosować środki ochrony indywidualnej. Ewakuować osoby w bezpieczne miejsce. Patrz środki ochronne w punkcie 7 i 8.</w:t>
      </w:r>
    </w:p>
    <w:p>
      <w:pPr>
        <w:spacing w:after="80" w:before="80"/>
      </w:pPr>
      <w:r>
        <w:rPr>
          <w:rFonts w:ascii="Arial" w:cs="Arial" w:eastAsia="Arial" w:hAnsi="Arial"/>
          <w:b/>
          <w:bCs/>
          <w:sz w:val="20"/>
          <w:szCs w:val="20"/>
        </w:rPr>
        <w:t xml:space="preserve">Dla osób udzielających pomocy:</w:t>
      </w:r>
      <w:r>
        <w:rPr>
          <w:rFonts w:ascii="Arial" w:cs="Arial" w:eastAsia="Arial" w:hAnsi="Arial"/>
          <w:sz w:val="20"/>
          <w:szCs w:val="20"/>
        </w:rPr>
        <w:t xml:space="preserve"> Stosować środki ochrony indywidualnej.</w:t>
      </w:r>
    </w:p>
    <w:p>
      <w:pPr>
        <w:spacing w:after="100" w:before="200"/>
      </w:pPr>
      <w:r>
        <w:rPr>
          <w:rFonts w:ascii="Arial" w:cs="Arial" w:eastAsia="Arial" w:hAnsi="Arial"/>
          <w:b/>
          <w:bCs/>
          <w:sz w:val="20"/>
          <w:szCs w:val="20"/>
        </w:rPr>
        <w:t xml:space="preserve">6.2. Środki ostrożności w zakresie ochrony środowiska</w:t>
      </w:r>
    </w:p>
    <w:p>
      <w:pPr>
        <w:spacing w:after="80"/>
      </w:pPr>
      <w:r>
        <w:rPr>
          <w:rFonts w:ascii="Arial" w:cs="Arial" w:eastAsia="Arial" w:hAnsi="Arial"/>
          <w:sz w:val="20"/>
          <w:szCs w:val="20"/>
        </w:rPr>
        <w:t xml:space="preserve">The product must not penetrate into the sewer system or come into contact with surface water or ground water.</w:t>
      </w:r>
    </w:p>
    <w:p>
      <w:pPr>
        <w:spacing w:after="100" w:before="200"/>
      </w:pPr>
      <w:r>
        <w:rPr>
          <w:rFonts w:ascii="Arial" w:cs="Arial" w:eastAsia="Arial" w:hAnsi="Arial"/>
          <w:b/>
          <w:bCs/>
          <w:sz w:val="20"/>
          <w:szCs w:val="20"/>
        </w:rPr>
        <w:t xml:space="preserve">6.3. Metody i materiały zapobiegające rozprzestrzenianiu się skażenia i służące do usuwania skażenia</w:t>
      </w:r>
    </w:p>
    <w:p>
      <w:pPr>
        <w:spacing w:after="80"/>
      </w:pPr>
      <w:r>
        <w:rPr>
          <w:rFonts w:ascii="Arial" w:cs="Arial" w:eastAsia="Arial" w:hAnsi="Arial"/>
          <w:sz w:val="20"/>
          <w:szCs w:val="20"/>
        </w:rPr>
        <w:t xml:space="preserve">Collect the leaked product into a suitable container. Evaluate the compatibility of the container to be used, by checking section 10. Absorb the remainder with inert absorbent material. Make sure the leakage site is well aired. Contaminated material should be disposed of in compliance with the provisions set forth in point 13.</w:t>
      </w:r>
    </w:p>
    <w:p>
      <w:pPr>
        <w:spacing w:after="100" w:before="200"/>
      </w:pPr>
      <w:r>
        <w:rPr>
          <w:rFonts w:ascii="Arial" w:cs="Arial" w:eastAsia="Arial" w:hAnsi="Arial"/>
          <w:b/>
          <w:bCs/>
          <w:sz w:val="20"/>
          <w:szCs w:val="20"/>
        </w:rPr>
        <w:t xml:space="preserve">6.4. Odniesienia do innych sekcji</w:t>
      </w:r>
    </w:p>
    <w:p>
      <w:pPr>
        <w:spacing w:after="80"/>
      </w:pPr>
      <w:r>
        <w:rPr>
          <w:rFonts w:ascii="Arial" w:cs="Arial" w:eastAsia="Arial" w:hAnsi="Arial"/>
          <w:sz w:val="20"/>
          <w:szCs w:val="20"/>
        </w:rPr>
        <w:t xml:space="preserve">Patrz również sekcja 8 i 13.</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w:t>
      </w:r>
    </w:p>
    <w:p>
      <w:pPr>
        <w:spacing w:after="80" w:before="80"/>
      </w:pPr>
      <w:r>
        <w:rPr>
          <w:rFonts w:ascii="Arial" w:cs="Arial" w:eastAsia="Arial" w:hAnsi="Arial"/>
          <w:b/>
          <w:bCs/>
          <w:sz w:val="20"/>
          <w:szCs w:val="20"/>
        </w:rPr>
        <w:t xml:space="preserve">Środki ostrożności:</w:t>
      </w:r>
      <w:r>
        <w:rPr>
          <w:rFonts w:ascii="Arial" w:cs="Arial" w:eastAsia="Arial" w:hAnsi="Arial"/>
          <w:sz w:val="20"/>
          <w:szCs w:val="20"/>
        </w:rPr>
        <w:t xml:space="preserve"> Keep away from heat, sparks and naked flames; do not smoke or use matches or lighters. Without adequate ventilation, vapours may accumulate at ground level and, if ignited, catch fire even at a distance, with the danger of backfire. Avoid bunching of electrostatic charges. When performing transfer operations involving large containers, connect to an earthing system and wear antistatic footwear. Vigorous stirring and flow through the tubes and equipment may cause the formation and accumulation of electrostatic charges. In order to avoid the risk of fires and explosions, never use compressed air when handling. Open containers with caution as they may be pressurised. Do not eat, drink or smoke during use. Avoid leakage of the product into the environment.</w:t>
      </w:r>
    </w:p>
    <w:p>
      <w:pPr>
        <w:spacing w:after="80" w:before="80"/>
      </w:pPr>
      <w:r>
        <w:rPr>
          <w:rFonts w:ascii="Arial" w:cs="Arial" w:eastAsia="Arial" w:hAnsi="Arial"/>
          <w:b/>
          <w:bCs/>
          <w:sz w:val="20"/>
          <w:szCs w:val="20"/>
        </w:rPr>
        <w:t xml:space="preserve">Zalecenia dotyczące ogólnej higieny pracy:</w:t>
      </w:r>
      <w:r>
        <w:rPr>
          <w:rFonts w:ascii="Arial" w:cs="Arial" w:eastAsia="Arial" w:hAnsi="Arial"/>
          <w:sz w:val="20"/>
          <w:szCs w:val="20"/>
        </w:rPr>
        <w:t xml:space="preserve"> Nie jeść i nie pić podczas pracy.</w:t>
      </w:r>
    </w:p>
    <w:p>
      <w:pPr>
        <w:spacing w:after="100" w:before="200"/>
      </w:pPr>
      <w:r>
        <w:rPr>
          <w:rFonts w:ascii="Arial" w:cs="Arial" w:eastAsia="Arial" w:hAnsi="Arial"/>
          <w:b/>
          <w:bCs/>
          <w:sz w:val="20"/>
          <w:szCs w:val="20"/>
        </w:rPr>
        <w:t xml:space="preserve">7.2. Warunki bezpiecznego magazynowania, w tym informacje dotyczące wszelkich wzajemnych niezgodności</w:t>
      </w:r>
    </w:p>
    <w:p>
      <w:pPr>
        <w:spacing w:after="80" w:before="80"/>
      </w:pPr>
      <w:r>
        <w:rPr>
          <w:rFonts w:ascii="Arial" w:cs="Arial" w:eastAsia="Arial" w:hAnsi="Arial"/>
          <w:b/>
          <w:bCs/>
          <w:sz w:val="20"/>
          <w:szCs w:val="20"/>
        </w:rPr>
        <w:t xml:space="preserve">Materiały niezgodne:</w:t>
      </w:r>
      <w:r>
        <w:rPr>
          <w:rFonts w:ascii="Arial" w:cs="Arial" w:eastAsia="Arial" w:hAnsi="Arial"/>
          <w:sz w:val="20"/>
          <w:szCs w:val="20"/>
        </w:rPr>
        <w:t xml:space="preserve"> Brak szczególnych.</w:t>
      </w:r>
    </w:p>
    <w:p>
      <w:pPr>
        <w:spacing w:after="80" w:before="80"/>
      </w:pPr>
      <w:r>
        <w:rPr>
          <w:rFonts w:ascii="Arial" w:cs="Arial" w:eastAsia="Arial" w:hAnsi="Arial"/>
          <w:b/>
          <w:bCs/>
          <w:sz w:val="20"/>
          <w:szCs w:val="20"/>
        </w:rPr>
        <w:t xml:space="preserve">Wskazówki dotyczące pomieszczeń magazynowych:</w:t>
      </w:r>
      <w:r>
        <w:rPr>
          <w:rFonts w:ascii="Arial" w:cs="Arial" w:eastAsia="Arial" w:hAnsi="Arial"/>
          <w:sz w:val="20"/>
          <w:szCs w:val="20"/>
        </w:rPr>
        <w:t xml:space="preserve"> Pomieszczenia odpowiednio wentylowane.</w:t>
      </w:r>
    </w:p>
    <w:p>
      <w:pPr>
        <w:spacing w:after="100" w:before="200"/>
      </w:pPr>
      <w:r>
        <w:rPr>
          <w:rFonts w:ascii="Arial" w:cs="Arial" w:eastAsia="Arial" w:hAnsi="Arial"/>
          <w:b/>
          <w:bCs/>
          <w:sz w:val="20"/>
          <w:szCs w:val="20"/>
        </w:rPr>
        <w:t xml:space="preserve">7.3. Szczególne zastosowanie(-a) końcowe</w:t>
      </w:r>
    </w:p>
    <w:p>
      <w:pPr>
        <w:spacing w:after="80"/>
      </w:pPr>
      <w:r>
        <w:rPr>
          <w:rFonts w:ascii="Arial" w:cs="Arial" w:eastAsia="Arial" w:hAnsi="Arial"/>
          <w:sz w:val="20"/>
          <w:szCs w:val="20"/>
        </w:rPr>
        <w:t xml:space="preserve">Brak danych.</w:t>
      </w:r>
    </w:p>
    <w:p>
      <w:pPr>
        <w:spacing w:after="80" w:before="80"/>
      </w:pPr>
      <w:r>
        <w:rPr>
          <w:rFonts w:ascii="Arial" w:cs="Arial" w:eastAsia="Arial" w:hAnsi="Arial"/>
          <w:b/>
          <w:bCs/>
          <w:sz w:val="20"/>
          <w:szCs w:val="20"/>
        </w:rPr>
        <w:t xml:space="preserve">Rozwiązania specyficzne dla sektora przemysłowego:</w:t>
      </w:r>
      <w:r>
        <w:rPr>
          <w:rFonts w:ascii="Arial" w:cs="Arial" w:eastAsia="Arial" w:hAnsi="Arial"/>
          <w:sz w:val="20"/>
          <w:szCs w:val="20"/>
        </w:rPr>
        <w:t xml:space="preserve"> Brak szczególnych.</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80"/>
      </w:pPr>
      <w:r>
        <w:rPr>
          <w:rFonts w:ascii="Arial" w:cs="Arial" w:eastAsia="Arial" w:hAnsi="Arial"/>
          <w:sz w:val="20"/>
          <w:szCs w:val="20"/>
        </w:rPr>
        <w:t xml:space="preserve">- NDS: 1900 mg/m³</w:t>
      </w:r>
    </w:p>
    <w:p>
      <w:pPr>
        <w:spacing w:after="80"/>
      </w:pPr>
      <w:r>
        <w:rPr>
          <w:rFonts w:ascii="Arial" w:cs="Arial" w:eastAsia="Arial" w:hAnsi="Arial"/>
          <w:sz w:val="20"/>
          <w:szCs w:val="20"/>
        </w:rPr>
        <w:t xml:space="preserve">2,6-Di-tert-butylo-4-metylofenol [CAS: 128-37-0]:</w:t>
      </w:r>
    </w:p>
    <w:p>
      <w:pPr>
        <w:spacing w:after="80"/>
      </w:pPr>
      <w:r>
        <w:rPr>
          <w:rFonts w:ascii="Arial" w:cs="Arial" w:eastAsia="Arial" w:hAnsi="Arial"/>
          <w:sz w:val="20"/>
          <w:szCs w:val="20"/>
        </w:rPr>
        <w:t xml:space="preserve">- NDS: 10 mg/m³</w:t>
      </w:r>
    </w:p>
    <w:p>
      <w:pPr>
        <w:spacing w:after="80"/>
      </w:pPr>
      <w:r>
        <w:rPr>
          <w:rFonts w:ascii="Arial" w:cs="Arial" w:eastAsia="Arial" w:hAnsi="Arial"/>
          <w:sz w:val="20"/>
          <w:szCs w:val="20"/>
        </w:rPr>
        <w:t xml:space="preserve">Toluen [CAS: 108-88-3]:</w:t>
      </w:r>
    </w:p>
    <w:p>
      <w:pPr>
        <w:spacing w:after="80"/>
      </w:pPr>
      <w:r>
        <w:rPr>
          <w:rFonts w:ascii="Arial" w:cs="Arial" w:eastAsia="Arial" w:hAnsi="Arial"/>
          <w:sz w:val="20"/>
          <w:szCs w:val="20"/>
        </w:rPr>
        <w:t xml:space="preserve">- NDS: 100 mg/m³</w:t>
      </w:r>
    </w:p>
    <w:p>
      <w:pPr>
        <w:spacing w:after="80"/>
      </w:pPr>
      <w:r>
        <w:rPr>
          <w:rFonts w:ascii="Arial" w:cs="Arial" w:eastAsia="Arial" w:hAnsi="Arial"/>
          <w:sz w:val="20"/>
          <w:szCs w:val="20"/>
        </w:rPr>
        <w:t xml:space="preserve">- NDSCh: 200 mg/m³</w:t>
      </w:r>
    </w:p>
    <w:p>
      <w:pPr>
        <w:spacing w:after="80"/>
      </w:pPr>
      <w:r>
        <w:rPr>
          <w:rFonts w:ascii="Arial" w:cs="Arial" w:eastAsia="Arial" w:hAnsi="Arial"/>
          <w:sz w:val="20"/>
          <w:szCs w:val="20"/>
        </w:rPr>
        <w:t xml:space="preserve">- Uwagi: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Wartości DNEL i PNEC wyznaczone dla składników mieszaniny:</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87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2,5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0,39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0,25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8,13 mg/kg bw/d</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różowy</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ciecz łatwopalna</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3,3 % (v/v) - 19 %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18,7 °C</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5 - 8</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1,5</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0,855 g/cm³</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0</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w:t>
      </w:r>
    </w:p>
    <w:p>
      <w:pPr>
        <w:spacing w:after="80"/>
      </w:pPr>
      <w:r>
        <w:rPr>
          <w:rFonts w:ascii="Arial" w:cs="Arial" w:eastAsia="Arial" w:hAnsi="Arial"/>
          <w:sz w:val="20"/>
          <w:szCs w:val="20"/>
        </w:rPr>
        <w:t xml:space="preserve">W normalnych warunkach stosowania nie występują szczególne zagrożenia reakcją z innymi substancjami.</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Unikać narażenia na: światło.</w:t>
      </w:r>
    </w:p>
    <w:p>
      <w:pPr>
        <w:spacing w:after="100" w:before="200"/>
      </w:pPr>
      <w:r>
        <w:rPr>
          <w:rFonts w:ascii="Arial" w:cs="Arial" w:eastAsia="Arial" w:hAnsi="Arial"/>
          <w:b/>
          <w:bCs/>
          <w:sz w:val="20"/>
          <w:szCs w:val="20"/>
        </w:rPr>
        <w:t xml:space="preserve">10.2. Stabilność chemiczna</w:t>
      </w:r>
    </w:p>
    <w:p>
      <w:pPr>
        <w:spacing w:after="80"/>
      </w:pPr>
      <w:r>
        <w:rPr>
          <w:rFonts w:ascii="Arial" w:cs="Arial" w:eastAsia="Arial" w:hAnsi="Arial"/>
          <w:sz w:val="20"/>
          <w:szCs w:val="20"/>
        </w:rPr>
        <w:t xml:space="preserve">Produkt jest stabilny w normalnych warunkach stosowania i magazynowania.</w:t>
      </w:r>
    </w:p>
    <w:p>
      <w:pPr>
        <w:spacing w:after="100" w:before="200"/>
      </w:pPr>
      <w:r>
        <w:rPr>
          <w:rFonts w:ascii="Arial" w:cs="Arial" w:eastAsia="Arial" w:hAnsi="Arial"/>
          <w:b/>
          <w:bCs/>
          <w:sz w:val="20"/>
          <w:szCs w:val="20"/>
        </w:rPr>
        <w:t xml:space="preserve">10.3. Możliwość występowania niebezpiecznych reakcji</w:t>
      </w:r>
    </w:p>
    <w:p>
      <w:pPr>
        <w:spacing w:after="80"/>
      </w:pPr>
      <w:r>
        <w:rPr>
          <w:rFonts w:ascii="Arial" w:cs="Arial" w:eastAsia="Arial" w:hAnsi="Arial"/>
          <w:sz w:val="20"/>
          <w:szCs w:val="20"/>
        </w:rPr>
        <w:t xml:space="preserve">Pary mogą tworzyć mieszaniny wybuchowe z powietrzem.</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Ryzyko wybuchu w kontakcie z: metale alkaliczne, tlenki metali alkalicznych, podchloryn wapnia, monofluorek siarki, bezwodnik octowy, kwasy, stężony nadtlenek wodoru, nadchlorany, kwas nadchlorowy, perchloronitryl, azotan rtęci, kwas azotowy, srebro, azotan srebra, amoniak, tlenek srebra, amoniak, silne utleniacze, dwutlenek azotu. Może reagować niebezpiecznie z: bromoacetylen, chloroacetylen, trójfluorek bromu, trójtlenek chromu, chlorek chromylu, fluor, tert-butanolan potasu, wodorek litu, trójtlenek fosforu, czerń platynowa, chlorek cyrkonu (IV), jodek cyrkonu (IV). Tworzy mieszaniny wybuchowe z: powietrze.</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Ryzyko wybuchu w kontakcie z: dymiący kwas siarkowy, kwas azotowy, nadchloran srebra, dwutlenek azotu, halogenki niemetali, kwas octowy, organiczne związki nitrowe. Może tworzyć mieszaniny wybuchowe z: powietrze. Może reagować niebezpiecznie z: silne utleniacze, silne kwasy, siarka.</w:t>
      </w:r>
    </w:p>
    <w:p>
      <w:pPr>
        <w:spacing w:after="100" w:before="200"/>
      </w:pPr>
      <w:r>
        <w:rPr>
          <w:rFonts w:ascii="Arial" w:cs="Arial" w:eastAsia="Arial" w:hAnsi="Arial"/>
          <w:b/>
          <w:bCs/>
          <w:sz w:val="20"/>
          <w:szCs w:val="20"/>
        </w:rPr>
        <w:t xml:space="preserve">10.4. Warunki, których należy unikać</w:t>
      </w:r>
    </w:p>
    <w:p>
      <w:pPr>
        <w:spacing w:after="80"/>
      </w:pPr>
      <w:r>
        <w:rPr>
          <w:rFonts w:ascii="Arial" w:cs="Arial" w:eastAsia="Arial" w:hAnsi="Arial"/>
          <w:sz w:val="20"/>
          <w:szCs w:val="20"/>
        </w:rPr>
        <w:t xml:space="preserve">Unikać przegrzania. Unikać gromadzenia się ładunków elektrostatycznych. Unikać wszelkich źródeł zapłonu.</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Unikać narażenia na: źródła ciepła, otwarty ogień.</w:t>
      </w:r>
    </w:p>
    <w:p>
      <w:pPr>
        <w:spacing w:after="100" w:before="200"/>
      </w:pPr>
      <w:r>
        <w:rPr>
          <w:rFonts w:ascii="Arial" w:cs="Arial" w:eastAsia="Arial" w:hAnsi="Arial"/>
          <w:b/>
          <w:bCs/>
          <w:sz w:val="20"/>
          <w:szCs w:val="20"/>
        </w:rPr>
        <w:t xml:space="preserve">10.5. Materiały niezgodne</w:t>
      </w:r>
    </w:p>
    <w:p>
      <w:pPr>
        <w:spacing w:after="80"/>
      </w:pPr>
      <w:r>
        <w:rPr>
          <w:rFonts w:ascii="Arial" w:cs="Arial" w:eastAsia="Arial" w:hAnsi="Arial"/>
          <w:sz w:val="20"/>
          <w:szCs w:val="20"/>
        </w:rPr>
        <w:t xml:space="preserve">Brak danych</w:t>
      </w:r>
    </w:p>
    <w:p>
      <w:pPr>
        <w:spacing w:after="100" w:before="200"/>
      </w:pPr>
      <w:r>
        <w:rPr>
          <w:rFonts w:ascii="Arial" w:cs="Arial" w:eastAsia="Arial" w:hAnsi="Arial"/>
          <w:b/>
          <w:bCs/>
          <w:sz w:val="20"/>
          <w:szCs w:val="20"/>
        </w:rPr>
        <w:t xml:space="preserve">10.6. Niebezpieczne produkty rozkładu</w:t>
      </w:r>
    </w:p>
    <w:p>
      <w:pPr>
        <w:spacing w:after="80"/>
      </w:pPr>
      <w:r>
        <w:rPr>
          <w:rFonts w:ascii="Arial" w:cs="Arial" w:eastAsia="Arial" w:hAnsi="Arial"/>
          <w:sz w:val="20"/>
          <w:szCs w:val="20"/>
        </w:rPr>
        <w:t xml:space="preserve">W przypadku rozkładu termicznego lub pożaru mogą uwalniać się gazy i pary potencjalnie niebezpieczne dla zdrowia.</w:t>
      </w:r>
    </w:p>
    <w:p>
      <w:pPr>
        <w:pBdr>
          <w:bottom w:color="00A651" w:sz="12" w:space="1"/>
        </w:pBdr>
        <w:spacing w:after="150" w:before="300"/>
      </w:pPr>
      <w:r>
        <w:rPr>
          <w:b/>
          <w:bCs/>
          <w:sz w:val="22"/>
          <w:szCs w:val="22"/>
        </w:rPr>
        <w:t xml:space="preserve">SEKCJA 11. INFORMACJE TOKSYKOLOGICZNE</w:t>
      </w:r>
    </w:p>
    <w:p>
      <w:pPr>
        <w:spacing w:after="80"/>
      </w:pPr>
      <w:r>
        <w:rPr>
          <w:rFonts w:ascii="Arial" w:cs="Arial" w:eastAsia="Arial" w:hAnsi="Arial"/>
          <w:sz w:val="20"/>
          <w:szCs w:val="20"/>
        </w:rPr>
        <w:t xml:space="preserve">Wobec braku danych doświadczalnych dla samego produktu, zagrożenia dla zdrowia oceniono na podstawie właściwości substancji w nim zawartych, stosując kryteria określone w odpowiednich przepisach dotyczących klasyfikacji.</w:t>
      </w:r>
    </w:p>
    <w:p>
      <w:pPr>
        <w:spacing w:after="80"/>
      </w:pPr>
      <w:r>
        <w:rPr>
          <w:rFonts w:ascii="Arial" w:cs="Arial" w:eastAsia="Arial" w:hAnsi="Arial"/>
          <w:sz w:val="20"/>
          <w:szCs w:val="20"/>
        </w:rPr>
        <w:t xml:space="preserve">Dlatego też w celu oceny skutków toksykologicznych narażenia na produkt należy uwzględnić stężenia poszczególnych substancji niebezpiecznych wskazanych w sekcji 3.</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danych</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inhalacja; kontakt ze skórą.</w:t>
      </w:r>
    </w:p>
    <w:p>
      <w:pPr>
        <w:spacing w:after="80"/>
      </w:pPr>
      <w:r>
        <w:rPr>
          <w:rFonts w:ascii="Arial" w:cs="Arial" w:eastAsia="Arial" w:hAnsi="Arial"/>
          <w:sz w:val="20"/>
          <w:szCs w:val="20"/>
        </w:rPr>
        <w:t xml:space="preserve">LUDNOŚĆ: spożycie skażonej żywności lub wody; inhalacja powietrza atmosferycznego; kontakt ze skórą produktów zawierających substancję.</w:t>
      </w:r>
    </w:p>
    <w:p>
      <w:pPr>
        <w:spacing w:after="80"/>
      </w:pPr>
      <w:r>
        <w:rPr>
          <w:rFonts w:ascii="Arial" w:cs="Arial" w:eastAsia="Arial" w:hAnsi="Arial"/>
          <w:sz w:val="20"/>
          <w:szCs w:val="20"/>
        </w:rPr>
        <w:t xml:space="preserve">Opóźnione, bezpośrednie oraz przewlekłe skutki krótko- i długotrwałego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polineuropatią; działa drażniąco na skórę, spojówki, rogówkę i układ oddechowy.</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produkty przemysłowe mogą zakłócać metabolizm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(przez drogi oddechowe) mieszaniny: Nieklasyfikowany (brak istotnego składnika)</w:t>
      </w:r>
    </w:p>
    <w:p>
      <w:pPr>
        <w:spacing w:after="80"/>
      </w:pPr>
      <w:r>
        <w:rPr>
          <w:rFonts w:ascii="Arial" w:cs="Arial" w:eastAsia="Arial" w:hAnsi="Arial"/>
          <w:sz w:val="20"/>
          <w:szCs w:val="20"/>
        </w:rPr>
        <w:t xml:space="preserve">ATE (droga pokarmowa) mieszaniny: Nieklasyfikowany (brak istotnego składnika)</w:t>
      </w:r>
    </w:p>
    <w:p>
      <w:pPr>
        <w:spacing w:after="80"/>
      </w:pPr>
      <w:r>
        <w:rPr>
          <w:rFonts w:ascii="Arial" w:cs="Arial" w:eastAsia="Arial" w:hAnsi="Arial"/>
          <w:sz w:val="20"/>
          <w:szCs w:val="20"/>
        </w:rPr>
        <w:t xml:space="preserve">ATE (na skórę) mieszaniny: Nieklasyfikowany (brak istotnego składnika)</w:t>
      </w:r>
    </w:p>
    <w:p>
      <w:pPr>
        <w:spacing w:after="80"/>
      </w:pPr>
      <w:r>
        <w:rPr>
          <w:rFonts w:ascii="Arial" w:cs="Arial" w:eastAsia="Arial" w:hAnsi="Arial"/>
          <w:sz w:val="20"/>
          <w:szCs w:val="20"/>
        </w:rPr>
        <w:t xml:space="preserve">ETHANOL</w:t>
      </w:r>
    </w:p>
    <w:p>
      <w:pPr>
        <w:spacing w:after="80"/>
      </w:pPr>
      <w:r>
        <w:rPr>
          <w:rFonts w:ascii="Arial" w:cs="Arial" w:eastAsia="Arial" w:hAnsi="Arial"/>
          <w:sz w:val="20"/>
          <w:szCs w:val="20"/>
        </w:rPr>
        <w:t xml:space="preserve">LD50 (doustnie): &gt; 5000 mg/kg szczur</w:t>
      </w:r>
    </w:p>
    <w:p>
      <w:pPr>
        <w:spacing w:after="80"/>
      </w:pPr>
      <w:r>
        <w:rPr>
          <w:rFonts w:ascii="Arial" w:cs="Arial" w:eastAsia="Arial" w:hAnsi="Arial"/>
          <w:sz w:val="20"/>
          <w:szCs w:val="20"/>
        </w:rPr>
        <w:t xml:space="preserve">LC50 (inhalacja - pary): 120 mg/l/4h Pimephales promelas</w:t>
      </w:r>
    </w:p>
    <w:p>
      <w:pPr>
        <w:spacing w:after="80"/>
      </w:pPr>
      <w:r>
        <w:rPr>
          <w:rFonts w:ascii="Arial" w:cs="Arial" w:eastAsia="Arial" w:hAnsi="Arial"/>
          <w:sz w:val="20"/>
          <w:szCs w:val="20"/>
        </w:rPr>
        <w:t xml:space="preserve">ANISALDEHYDE</w:t>
      </w:r>
    </w:p>
    <w:p>
      <w:pPr>
        <w:spacing w:after="80"/>
      </w:pPr>
      <w:r>
        <w:rPr>
          <w:rFonts w:ascii="Arial" w:cs="Arial" w:eastAsia="Arial" w:hAnsi="Arial"/>
          <w:sz w:val="20"/>
          <w:szCs w:val="20"/>
        </w:rPr>
        <w:t xml:space="preserve">LD50 (na skórę): &gt; 5000 mg/kg królik</w:t>
      </w:r>
    </w:p>
    <w:p>
      <w:pPr>
        <w:spacing w:after="80"/>
      </w:pPr>
      <w:r>
        <w:rPr>
          <w:rFonts w:ascii="Arial" w:cs="Arial" w:eastAsia="Arial" w:hAnsi="Arial"/>
          <w:sz w:val="20"/>
          <w:szCs w:val="20"/>
        </w:rPr>
        <w:t xml:space="preserve">LD50 (doustnie): 3210 mg/kg szczur</w:t>
      </w:r>
    </w:p>
    <w:p>
      <w:pPr>
        <w:spacing w:after="80"/>
      </w:pPr>
      <w:r>
        <w:rPr>
          <w:rFonts w:ascii="Arial" w:cs="Arial" w:eastAsia="Arial" w:hAnsi="Arial"/>
          <w:sz w:val="20"/>
          <w:szCs w:val="20"/>
        </w:rPr>
        <w:t xml:space="preserve">LC50 (inhalacja - pary): 0,32 mg/l/7h 7h, szczur</w:t>
      </w:r>
    </w:p>
    <w:p>
      <w:pPr>
        <w:spacing w:after="80"/>
      </w:pPr>
      <w:r>
        <w:rPr>
          <w:rFonts w:ascii="Arial" w:cs="Arial" w:eastAsia="Arial" w:hAnsi="Arial"/>
          <w:sz w:val="20"/>
          <w:szCs w:val="20"/>
        </w:rPr>
        <w:t xml:space="preserve">2H-CHROMEN-2-ONE</w:t>
      </w:r>
    </w:p>
    <w:p>
      <w:pPr>
        <w:spacing w:after="80"/>
      </w:pPr>
      <w:r>
        <w:rPr>
          <w:rFonts w:ascii="Arial" w:cs="Arial" w:eastAsia="Arial" w:hAnsi="Arial"/>
          <w:sz w:val="20"/>
          <w:szCs w:val="20"/>
        </w:rPr>
        <w:t xml:space="preserve">LD50 (na skórę): 293 mg/kg mc szczur</w:t>
      </w:r>
    </w:p>
    <w:p>
      <w:pPr>
        <w:spacing w:after="80"/>
      </w:pPr>
      <w:r>
        <w:rPr>
          <w:rFonts w:ascii="Arial" w:cs="Arial" w:eastAsia="Arial" w:hAnsi="Arial"/>
          <w:sz w:val="20"/>
          <w:szCs w:val="20"/>
        </w:rPr>
        <w:t xml:space="preserve">LD50 (doustnie): 290 mg/kg mc szczur</w:t>
      </w:r>
    </w:p>
    <w:p>
      <w:pPr>
        <w:spacing w:after="80"/>
      </w:pPr>
      <w:r>
        <w:rPr>
          <w:rFonts w:ascii="Arial" w:cs="Arial" w:eastAsia="Arial" w:hAnsi="Arial"/>
          <w:sz w:val="20"/>
          <w:szCs w:val="20"/>
        </w:rPr>
        <w:t xml:space="preserve">LC50 (inhalacja - mgły/pyły): 293 mg/kg szczur</w:t>
      </w:r>
    </w:p>
    <w:p>
      <w:pPr>
        <w:spacing w:after="80"/>
      </w:pPr>
      <w:r>
        <w:rPr>
          <w:rFonts w:ascii="Arial" w:cs="Arial" w:eastAsia="Arial" w:hAnsi="Arial"/>
          <w:sz w:val="20"/>
          <w:szCs w:val="20"/>
        </w:rPr>
        <w:t xml:space="preserve">2,6-di-tert-butyl-p-cresol</w:t>
      </w:r>
    </w:p>
    <w:p>
      <w:pPr>
        <w:spacing w:after="80"/>
      </w:pPr>
      <w:r>
        <w:rPr>
          <w:rFonts w:ascii="Arial" w:cs="Arial" w:eastAsia="Arial" w:hAnsi="Arial"/>
          <w:sz w:val="20"/>
          <w:szCs w:val="20"/>
        </w:rPr>
        <w:t xml:space="preserve">LD50 (na skórę): &gt; 2000 mg/kg szczur</w:t>
      </w:r>
    </w:p>
    <w:p>
      <w:pPr>
        <w:spacing w:after="80"/>
      </w:pPr>
      <w:r>
        <w:rPr>
          <w:rFonts w:ascii="Arial" w:cs="Arial" w:eastAsia="Arial" w:hAnsi="Arial"/>
          <w:sz w:val="20"/>
          <w:szCs w:val="20"/>
        </w:rPr>
        <w:t xml:space="preserve">LD50 (doustnie): 2930 mg/kg szczur</w:t>
      </w:r>
    </w:p>
    <w:p>
      <w:pPr>
        <w:spacing w:after="80"/>
      </w:pPr>
      <w:r>
        <w:rPr>
          <w:rFonts w:ascii="Arial" w:cs="Arial" w:eastAsia="Arial" w:hAnsi="Arial"/>
          <w:sz w:val="20"/>
          <w:szCs w:val="20"/>
        </w:rPr>
        <w:t xml:space="preserve">toluene</w:t>
      </w:r>
    </w:p>
    <w:p>
      <w:pPr>
        <w:spacing w:after="80"/>
      </w:pPr>
      <w:r>
        <w:rPr>
          <w:rFonts w:ascii="Arial" w:cs="Arial" w:eastAsia="Arial" w:hAnsi="Arial"/>
          <w:sz w:val="20"/>
          <w:szCs w:val="20"/>
        </w:rPr>
        <w:t xml:space="preserve">LD50 (na skórę): &gt; 5000 mg/kg mc królik</w:t>
      </w:r>
    </w:p>
    <w:p>
      <w:pPr>
        <w:spacing w:after="80"/>
      </w:pPr>
      <w:r>
        <w:rPr>
          <w:rFonts w:ascii="Arial" w:cs="Arial" w:eastAsia="Arial" w:hAnsi="Arial"/>
          <w:sz w:val="20"/>
          <w:szCs w:val="20"/>
        </w:rPr>
        <w:t xml:space="preserve">LD50 (doustnie): &gt; 5000 mg/kg mc szczur</w:t>
      </w:r>
    </w:p>
    <w:p>
      <w:pPr>
        <w:spacing w:after="80"/>
      </w:pPr>
      <w:r>
        <w:rPr>
          <w:rFonts w:ascii="Arial" w:cs="Arial" w:eastAsia="Arial" w:hAnsi="Arial"/>
          <w:sz w:val="20"/>
          <w:szCs w:val="20"/>
        </w:rPr>
        <w:t xml:space="preserve">LC50 (inhalacja - pary): 100 ppm człowiek</w:t>
      </w:r>
    </w:p>
    <w:p>
      <w:pPr>
        <w:spacing w:after="80"/>
      </w:pPr>
      <w:r>
        <w:rPr>
          <w:rFonts w:ascii="Arial" w:cs="Arial" w:eastAsia="Arial" w:hAnsi="Arial"/>
          <w:sz w:val="20"/>
          <w:szCs w:val="20"/>
        </w:rPr>
        <w:t xml:space="preserve">DZIAŁANIE ŻRĄCE / DRAŻNIĄCE NA SKÓRĘ</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POWAŻNE USZKODZENIE OCZU / DZIAŁANIE DRAŻNIĄCE NA OCZY</w:t>
      </w:r>
    </w:p>
    <w:p>
      <w:pPr>
        <w:spacing w:after="80"/>
      </w:pPr>
      <w:r>
        <w:rPr>
          <w:rFonts w:ascii="Arial" w:cs="Arial" w:eastAsia="Arial" w:hAnsi="Arial"/>
          <w:sz w:val="20"/>
          <w:szCs w:val="20"/>
        </w:rPr>
        <w:t xml:space="preserve">Działa drażniąco na oczy</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Może powodować wystąpienie reakcji alergicznej.</w:t>
      </w:r>
    </w:p>
    <w:p>
      <w:pPr>
        <w:spacing w:after="80"/>
      </w:pPr>
      <w:r>
        <w:rPr>
          <w:rFonts w:ascii="Arial" w:cs="Arial" w:eastAsia="Arial" w:hAnsi="Arial"/>
          <w:sz w:val="20"/>
          <w:szCs w:val="20"/>
        </w:rPr>
        <w:t xml:space="preserve">Zawiera:</w:t>
      </w:r>
    </w:p>
    <w:p>
      <w:pPr>
        <w:spacing w:after="80"/>
      </w:pPr>
      <w:r>
        <w:rPr>
          <w:rFonts w:ascii="Arial" w:cs="Arial" w:eastAsia="Arial" w:hAnsi="Arial"/>
          <w:sz w:val="20"/>
          <w:szCs w:val="20"/>
        </w:rPr>
        <w:t xml:space="preserve">2H-CHROMEN-2-ONE</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Sklasyfikowany w Grupie 3 (nie można zaklasyfikować jako rakotwórczy dla ludzi) przez Międzynarodową Agencję Badań nad Rakiem (IARC) - (IARC, 1999).</w:t>
      </w:r>
    </w:p>
    <w:p>
      <w:pPr>
        <w:spacing w:after="80"/>
      </w:pPr>
      <w:r>
        <w:rPr>
          <w:rFonts w:ascii="Arial" w:cs="Arial" w:eastAsia="Arial" w:hAnsi="Arial"/>
          <w:sz w:val="20"/>
          <w:szCs w:val="20"/>
        </w:rPr>
        <w:t xml:space="preserve">Amerykańska Agencja Ochrony Środowiska (EPA) stwierdza,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JEDNORAZOWE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POWTARZANE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Nie spełnia kryteriów klasyfikacji dla tej klasy zagrożenia</w:t>
      </w:r>
    </w:p>
    <w:p>
      <w:pPr>
        <w:spacing w:after="100" w:before="200"/>
      </w:pPr>
      <w:r>
        <w:rPr>
          <w:rFonts w:ascii="Arial" w:cs="Arial" w:eastAsia="Arial" w:hAnsi="Arial"/>
          <w:b/>
          <w:bCs/>
          <w:sz w:val="20"/>
          <w:szCs w:val="20"/>
        </w:rPr>
        <w:t xml:space="preserve">11.2. Informacje o innych zagrożeniach</w:t>
      </w:r>
    </w:p>
    <w:p>
      <w:pPr>
        <w:spacing w:after="80"/>
      </w:pPr>
      <w:r>
        <w:rPr>
          <w:rFonts w:ascii="Arial" w:cs="Arial" w:eastAsia="Arial" w:hAnsi="Arial"/>
          <w:sz w:val="20"/>
          <w:szCs w:val="20"/>
        </w:rPr>
        <w:t xml:space="preserve">Na podstawie dostępnych danych produkt nie zawiera substancji wymienionych w głównych europejskich wykazach potencjalnych lub podejrzewanych substancji zaburzających gospodarkę hormonalną podlegających ocenie pod kątem wpływu na zdrowie ludzkie.</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100" w:before="200"/>
      </w:pPr>
      <w:r>
        <w:rPr>
          <w:rFonts w:ascii="Arial" w:cs="Arial" w:eastAsia="Arial" w:hAnsi="Arial"/>
          <w:b/>
          <w:bCs/>
          <w:sz w:val="20"/>
          <w:szCs w:val="20"/>
        </w:rPr>
        <w:t xml:space="preserve">12.2. Trwałość i zdolność do rozkładu</w:t>
      </w:r>
    </w:p>
    <w:p>
      <w:pPr>
        <w:spacing w:after="80"/>
      </w:pPr>
      <w:r>
        <w:rPr>
          <w:rFonts w:ascii="Arial" w:cs="Arial" w:eastAsia="Arial" w:hAnsi="Arial"/>
          <w:sz w:val="20"/>
          <w:szCs w:val="20"/>
        </w:rPr>
        <w:t xml:space="preserve">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pPr>
      <w:r>
        <w:rPr>
          <w:rFonts w:ascii="Arial" w:cs="Arial" w:eastAsia="Arial" w:hAnsi="Arial"/>
          <w:sz w:val="20"/>
          <w:szCs w:val="20"/>
        </w:rPr>
        <w:t xml:space="preserve">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80"/>
      </w:pPr>
      <w:r>
        <w:rPr>
          <w:rFonts w:ascii="Arial" w:cs="Arial" w:eastAsia="Arial" w:hAnsi="Arial"/>
          <w:sz w:val="20"/>
          <w:szCs w:val="20"/>
        </w:rPr>
        <w:t xml:space="preserve">- Odpady z produktu (dla zastosowań profesjonalnych / przemysłowych): 16 03 05* (Organiczne odpady zawierające substancje niebezpieczne) lub 16 05 08* (Zużyte chemikalia zawierające substancje niebezpieczne).</w:t>
      </w:r>
    </w:p>
    <w:p>
      <w:pPr>
        <w:spacing w:after="80"/>
      </w:pPr>
      <w:r>
        <w:rPr>
          <w:rFonts w:ascii="Arial" w:cs="Arial" w:eastAsia="Arial" w:hAnsi="Arial"/>
          <w:sz w:val="20"/>
          <w:szCs w:val="20"/>
        </w:rPr>
        <w:t xml:space="preserve">- Odpady z produktu (dla konsumentów / odpady komunalne): 20 01 29* (Detergenty zawierające substancje niebezpieczne) lub 20 01 27*.</w:t>
      </w:r>
    </w:p>
    <w:p>
      <w:pPr>
        <w:spacing w:after="80"/>
      </w:pPr>
      <w:r>
        <w:rPr>
          <w:rFonts w:ascii="Arial" w:cs="Arial" w:eastAsia="Arial" w:hAnsi="Arial"/>
          <w:sz w:val="20"/>
          <w:szCs w:val="20"/>
        </w:rPr>
        <w:t xml:space="preserve">- Odpady opakowaniowe: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100" w:before="200"/>
      </w:pPr>
      <w:r>
        <w:rPr>
          <w:rFonts w:ascii="Arial" w:cs="Arial" w:eastAsia="Arial" w:hAnsi="Arial"/>
          <w:b/>
          <w:bCs/>
          <w:sz w:val="20"/>
          <w:szCs w:val="20"/>
        </w:rPr>
        <w:t xml:space="preserve">14.3. Klasa(-y) zagrożenia w transporcie</w:t>
      </w:r>
    </w:p>
    <w:p>
      <w:pPr>
        <w:spacing w:after="80"/>
      </w:pPr>
      <w:r>
        <w:rPr>
          <w:rFonts w:ascii="Arial" w:cs="Arial" w:eastAsia="Arial" w:hAnsi="Arial"/>
          <w:sz w:val="20"/>
          <w:szCs w:val="20"/>
        </w:rPr>
        <w:t xml:space="preserve">Klasa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 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80"/>
      </w:pPr>
      <w:r>
        <w:rPr>
          <w:rFonts w:ascii="Arial" w:cs="Arial" w:eastAsia="Arial" w:hAnsi="Arial"/>
          <w:sz w:val="20"/>
          <w:szCs w:val="20"/>
        </w:rPr>
        <w:t xml:space="preserve">- Substancje wzbudzające szczególnie duże obawy (SVHC – REACH załącznik XIV): Mieszanina nie zawiera substancji z listy kandydackiej SVHC podlegających procedurze udzielania zezwoleń (REACH załącznik XIV) w stężeniu ≥ 0,1% wag.</w:t>
      </w:r>
    </w:p>
    <w:p>
      <w:pPr>
        <w:spacing w:after="80"/>
      </w:pPr>
      <w:r>
        <w:rPr>
          <w:rFonts w:ascii="Arial" w:cs="Arial" w:eastAsia="Arial" w:hAnsi="Arial"/>
          <w:sz w:val="20"/>
          <w:szCs w:val="20"/>
        </w:rPr>
        <w:t xml:space="preserve">- Ograniczenia dotyczące produkcji, wprowadzania do obrotu i stosowania niektórych niebezpiecznych substancji (REACH załącznik XVII): Mieszanina nie podlega ograniczeniom na mocy załącznika XVII do rozporządzenia REACH.</w:t>
      </w:r>
    </w:p>
    <w:p>
      <w:pPr>
        <w:spacing w:after="80"/>
      </w:pPr>
      <w:r>
        <w:rPr>
          <w:rFonts w:ascii="Arial" w:cs="Arial" w:eastAsia="Arial" w:hAnsi="Arial"/>
          <w:sz w:val="20"/>
          <w:szCs w:val="20"/>
        </w:rPr>
        <w:t xml:space="preserve">- Dyrektywa Parlamentu Europejskiego i Rady 2012/18/UE (Seveso III): Z uwagi na właściwości cieczy łatwopalnych produkt może kwalifikować się do przepisów dyrektywy po przekroczeniu ilości progowych [Kategoria P5a/P5b/P5c: 10 t / 50 t lub 5 000 t / 50 000 t w zależności od warunków magazynowania]. Kwalifikacja zakładu (ZZR/ZDR) należy do prowadzącego zakład.</w:t>
      </w:r>
    </w:p>
    <w:p>
      <w:pPr>
        <w:spacing w:after="80"/>
      </w:pPr>
      <w:r>
        <w:rPr>
          <w:rFonts w:ascii="Arial" w:cs="Arial" w:eastAsia="Arial" w:hAnsi="Arial"/>
          <w:sz w:val="20"/>
          <w:szCs w:val="20"/>
        </w:rPr>
        <w:t xml:space="preserve">- Rozporządzenie Parlamentu Europejskiego i Rady (UE) nr 649/2012 z dnia 4 lipca 2012 r. dotyczące wywozu i przywozu niebezpiecznych chemikaliów (PIC):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pPr>
      <w:r>
        <w:rPr>
          <w:rFonts w:ascii="Arial" w:cs="Arial" w:eastAsia="Arial" w:hAnsi="Arial"/>
          <w:sz w:val="20"/>
          <w:szCs w:val="20"/>
        </w:rPr>
        <w:t xml:space="preserve">H361FD: Podejrzewa się, że działa szkodliwie na płodność. Podejrzewa się, że działa szkodliwie na dziecko w łonie matki.</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80"/>
      </w:pPr>
      <w:r>
        <w:rPr>
          <w:rFonts w:ascii="Arial" w:cs="Arial" w:eastAsia="Arial" w:hAnsi="Arial"/>
          <w:sz w:val="20"/>
          <w:szCs w:val="20"/>
        </w:rPr>
        <w:t xml:space="preserve">- Baza danych Europejskiej Agencji Chemikaliów (ECHA): https://echa.europa.eu/</w:t>
      </w:r>
    </w:p>
    <w:p>
      <w:pPr>
        <w:spacing w:after="80"/>
      </w:pPr>
      <w:r>
        <w:rPr>
          <w:rFonts w:ascii="Arial" w:cs="Arial" w:eastAsia="Arial" w:hAnsi="Arial"/>
          <w:sz w:val="20"/>
          <w:szCs w:val="20"/>
        </w:rPr>
        <w:t xml:space="preserve">- Baza danych PubChem National Library of Medicine: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została opracowana i zaktualizowana zgodnie z wymogami Rozporządzenia Komisji (UE) 2020/878 z dnia 18 czerwca 2020 r. zmieniającego załącznik II do rozporządzenia (WE) nr 1907/2006 (REACH).</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rPr>
      <w:t xml:space="preserve">Strona </w:t>
    </w:r>
    <w:r>
      <w:rPr>
        <w:rFonts w:ascii="Arial" w:cs="Arial" w:eastAsia="Arial" w:hAnsi="Arial"/>
      </w:rPr>
      <w:fldChar w:fldCharType="begin"/>
      <w:instrText xml:space="preserve">PAGE</w:instrText>
      <w:fldChar w:fldCharType="separate"/>
      <w:fldChar w:fldCharType="end"/>
    </w:r>
    <w:r>
      <w:rPr>
        <w:rFonts w:ascii="Arial" w:cs="Arial" w:eastAsia="Arial" w:hAnsi="Arial"/>
      </w:rPr>
      <w:t xml:space="preserve"> z </w:t>
    </w:r>
    <w:r>
      <w:rPr>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rPr>
      <w:t xml:space="preserve">SDS | SWEET HOME - PROFUMATORE AMBIENTE ORCHIDEA E VANIGLIA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d8d9c367d3934e7fb954e2d1eb138bb8cbbdb7.undefined"/><Relationship Id="rId10" Type="http://schemas.openxmlformats.org/officeDocument/2006/relationships/image" Target="media/efd45568977e6a957ae58b4c90280b3e4510b305.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2026-09-14T11:32:35.714Z</dcterms:created>
  <dcterms:modified xsi:type="dcterms:W3CDTF">2026-09-14T11:32:35.714Z</dcterms:modified>
</cp:coreProperties>
</file>

<file path=docProps/custom.xml><?xml version="1.0" encoding="utf-8"?>
<Properties xmlns="http://schemas.openxmlformats.org/officeDocument/2006/custom-properties" xmlns:vt="http://schemas.openxmlformats.org/officeDocument/2006/docPropsVTypes"/>
</file>