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KARTA CHARAKTERYSTYKI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[Sporządzona zgodnie z Rozporządzeniem (WE) nr 1907/2006 (REACH), zmienionym Rozporządzeniem Komisji (UE) 2020/878]</w:t>
      </w:r>
    </w:p>
    <w:tbl>
      <w:tblPr>
        <w:tblW w:type="dxa" w:w="9600"/>
        <w:tblBorders>
          <w:top w:color="00A651" w:sz="12" w:space="4"/>
          <w:left/>
          <w:bottom w:color="00A651" w:sz="12" w:space="4"/>
          <w:right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F9FA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sporządzenia: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07.03.2026</w:t>
            </w:r>
          </w:p>
        </w:tc>
      </w:tr>
      <w:tr>
        <w:tc>
          <w:tcPr>
            <w:tcW w:type="dxa" w:w="9600"/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Aktualizacja: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Nie dotyczy</w:t>
            </w:r>
          </w:p>
        </w:tc>
      </w:tr>
      <w:tr>
        <w:tc>
          <w:tcPr>
            <w:tcW w:type="dxa" w:w="9600"/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Wersja: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1.0 PL</w:t>
            </w:r>
          </w:p>
        </w:tc>
      </w:tr>
      <w:tr>
        <w:tc>
          <w:tcPr>
            <w:tcW w:type="dxa" w:w="9600"/>
            <w:shd w:fill="F9FAFB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Zastępuje wersję: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Zastępuje każdą poprzednią wersję</w:t>
            </w:r>
          </w:p>
        </w:tc>
      </w:tr>
    </w:tbl>
    <w:p>
      <w:pPr>
        <w:spacing w:after="200"/>
      </w:pP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1: IDENTYFIKACJA SUBSTANCJI/MIESZANINY I IDENTYFIKACJA PRZEDSIĘBIORSTWA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1.1. Identyfikator produktu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Identyfikator produktu: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Identyfikator mieszaniny: SWEET HOME LAYALI PROFUMA TESSUTI E AMBIENTE NAJMA. Nazwa handlowa: SWEET HOME LAYALI PROFUMA TESSUTI E AMBIENTE NAJMA. Kod handlowy: BLK2084. UFI: AJAD-RP52-PA98-ME4H.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1.2. Istotne zidentyfikowane zastosowania substancji lub mieszaniny oraz zastosowania odradzane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Istotne zidentyfikowane zastosowania substancji lub mieszaniny oraz zastosowania odradzane: Zastosowanie konsumenckie. Zastosowanie zalecane: perfumy do prania / zapach do tkanin i pomieszczeń. Zastosowania odradzane: Nie stosować do celów innych niż wskazane.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1.3. Dane dotyczące dostawcy karty charakterystyki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Dane dostawcy karty charakterystyki: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Producent: SUAREZ COMPANY S.R.L., Via Pergolesi, 1, 20811 Cesano Maderno (MI) - Włochy, Tel. +39 0362659766, www.suarezcompany.it. Osoba kompetentna odpowiedzialna za kartę charakterystyki: info@suarezcompany.it. Dystrybutor w Polsce: ITALLUX Sp. z o.o., ul. Wesoła 16, 63-600 Kępno, www.prostozwloch.com.pl, kontakt@prostozwloch.com.pl, tel. +48 663116607.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1.4. Numer telefonu alarmowego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Numery telefonów alarmowych w Polsce: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Telefon alarmowy przedsiębiorstwa: +48 663116607 (pon-pt 8:00-16:00). Informacja toksykologiczna: Krajowe Centrum Informacji Toksykologicznej w Łodzi: +48 42 631 47 24 / 25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Całodobowy Ośrodek Informacji Toksykologicznej w Warszawie: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+48 22 619 66 54. Ogólny numer alarmowy: 112. Numer alarmowy producenta: SUAREZ COMPANY S.R.L. Tel. +39 0362659766 (język włoski/angielski w godzinach pracy biura).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2: IDENTYFIKACJA ZAGROŻEŃ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2.1. Klasyfikacja substancji lub mieszaniny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Klasyfikacja substancji lub mieszaniny: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Rozporządzenie (WE) nr 1272/2008 (CLP): Produkt nie został sklasyfikowany jako stwarzający zagrożenie zgodnie z rozporządzeniem (WE) nr 1272/2008 (CLP). Niepożądane skutki dla zdrowia człowieka, właściwości fizykochemiczne i środowiskowe: Brak innych zagrożeń.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2.2. Elementy oznakowania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Elementy oznakowania: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Piktogramy ostrzegawcze: Brak. Hasło ostrzegawcze: Brak. Zwroty wskazujące rodzaj zagrożenia: Brak. Zwroty wskazujące środki ostrożności: P101 W razie konieczności zasięgnięcia porady lekarza należy pokazać pojemnik lub etykietę. P102 Chronić przed dziećmi. Informacje uzupełniające: EUH208 Zawiera octan 4-tert-butylocykloheksylu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masę poreakcyjną 5-chloro-2-metylo-2H-izotiazol-3-onu i 2-metylo-2H-izotiazol-3-onu (3:1)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aldehyd cynamonowy. Może powodować wystąpienie reakcji alergicznej. Przepisy specjalne zgodnie z Załącznikiem XVII do rozporządzenia REACH z późniejszymi zmianami: Brak.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2.3. Inne zagrożenia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Inne zagrożenia: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substancji PBT, vPvB lub substancji zaburzających gospodarkę hormonalną w stężeniu &gt;= 0,1%. Inne zagrożenia: Brak innych zagrożeń.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3: SKŁAD / INFORMACJA O SKŁADNIKACH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3.1. Substancje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Substancje: Nie dotyczy.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3.2. Mieszaniny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Opis chemiczny: Mieszanina substancji stwarzających zagrożenie wraz z dodatkami niesklasyfikowanymi.</w:t>
      </w:r>
    </w:p>
    <w:tbl>
      <w:tblPr>
        <w:tblW w:type="dxa" w:w="9600"/>
        <w:tblBorders>
          <w:top w:color="D1D5DB" w:sz="4" w:space="4"/>
          <w:left w:color="D1D5DB" w:sz="4" w:space="4"/>
          <w:bottom w:color="D1D5DB" w:sz="4" w:space="4"/>
          <w:right w:color="D1D5DB" w:sz="4" w:space="4"/>
          <w:insideH w:color="E5E7EB" w:sz="4" w:space="4"/>
          <w:insideV w:color="E5E7EB" w:sz="4" w:space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Nazwa substancji</w:t>
            </w:r>
          </w:p>
        </w:tc>
        <w:tc>
          <w:tcPr>
            <w:tcW w:type="dxa" w:w="2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Identyfikatory</w:t>
            </w:r>
          </w:p>
        </w:tc>
        <w:tc>
          <w:tcPr>
            <w:tcW w:type="dxa" w:w="27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Klasyfikacja CLP</w:t>
            </w:r>
          </w:p>
        </w:tc>
        <w:tc>
          <w:tcPr>
            <w:tcW w:type="dxa" w:w="1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Stężenie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octan 4-tert-butylocykloheksylu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(ang. 4-tert-butylcyclohexyl acetate)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CAS: 32210-23-4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WE: 250-954-9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rejestracji REACH: 01-2119976286-24-XXXX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Skin Sens. 1B H317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0,1 - &lt; 0,25 %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aldehyd cynamonowy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(ang. cinnamaldehyde)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CAS: 104-55-2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WE: 203-213-9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indeksowy: 606-155-00-6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rejestracji REACH: 01-2119935242-45-XXXX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Skin Sens. 1A H317; Specyficzne stężenia graniczne (SCL): C ≥ 0,01%: Skin Sens. 1A H317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0,001 - &lt; 0,01 %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masa poreakcyjna 5-chloro-2-metylo-2H-izotiazol-3-onu i 2-metylo-2H-izotiazol-3-onu (3:1)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(ang. reaction mass of 5-chloro-2-methyl-2H-isothiazol-3-one and 2-methyl-2H-isothiazol-3-one (3:1))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CAS: 55965-84-9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WE: 911-418-6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indeksowy: 613-167-00-5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rejestracji REACH: 01-2120764691-48-XXXX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Tox. 2 H330, Acute Tox. 2 H310, Acute Tox. 3 H301, Skin Corr. 1C H314, Eye Dam. 1 H318, Skin Sens. 1A H317, Aquatic Acute 1 H400, Aquatic Chronic 1 H410 (M-ostra = 100, M-przewlekła = 100), EUH071; Specyficzne stężenia graniczne (SCL): C ≥ 0,6%: Skin Corr. 1C H314; 0,06% ≤ C &lt; 0,6%: Skin Irrit. 2 H315; C ≥ 0,6%: Eye Dam. 1 H318; 0,06% ≤ C &lt; 0,6%: Eye Irrit. 2 H319; C ≥ 0,0015%: Skin Sens. 1A H317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0,00093 %</w:t>
            </w:r>
          </w:p>
        </w:tc>
      </w:tr>
    </w:tbl>
    <w:p>
      <w:pPr>
        <w:spacing w:after="180" w:before="1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Pełne brzmienie zwrotów H i EUH znajduje się w sekcji 16 karty charakterystyki.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4: ŚRODKI PIERWSZEJ POMOCY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4.1. Opis środków pierwszej pomocy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Opis środków pierwszej pomocy: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 przypadku kontaktu ze skórą: W razie kontaktu ze skórą natychmiast przemyć dużą ilością wody z mydłem. W przypadku kontaktu z oczami: Po kontakcie z oczami płukać otwarte powieki wodą przez wystarczająco długi czas, a następnie natychmiast skonsultować się z lekarzem okulistą. Wyjąć soczewki kontaktowe, jeżeli są. W przypadku połknięcia: Nie wywoływać wymiotów, natychmiast zwrócić się o pomoc lekarską, pokazując kartę charakterystyki i etykietę ostrzegawczą. W przypadku wdychania: W razie wdychania niezwłocznie skonsultować się z lekarzem i pokazać opakowanie lub etykietę. Wyprowadzić poszkodowanego na świeże powietrze, zapewnić ciepło i spokój.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4.2. Najważniejsze ostre i opóźnione objawy oraz skutki narażenia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Najważniejsze ostre i opóźnione objawy oraz skutki narażenia: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szczegółowych informacji na temat objawów i skutków wywoływanych przez produkt.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4.3. Wskazania dotyczące wszelkiej natychmiastowej pomocy lekarskiej i szczególnego postępowania z poszkodowanym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Wskazania dotyczące wszelkiej natychmiastowej pomocy lekarskiej i szczególnego postępowania z poszkodowanym: Leczenie: Brak danych.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5: POSTĘPOWANIE W PRZYPADKU POŻARU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5.1. Środki gaśnicze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Środki gaśnicze: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Odpowiednie środki gaśnicze: Gaśnica śniegowa (CO2) lub proszkowa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piana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woda. Środki gaśnicze, których nie wolno stosować ze względów bezpieczeństwa: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szczególnych.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5.2. Szczególne zagrożenia związane z substancją lub mieszaniną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Szczególne zagrożenia związane z substancją lub mieszaniną: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Unikać wdychania produktów spalania.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5.3. Informacje dla straży pożarnej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Informacje dla straży pożarnej: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Gromadzić oddzielnie skażoną wodę gaśniczą. Nie dopuścić do jej przedostania się do kanalizacji. Stosować odzież ochronną strażacką zgodną z europejską normą EN469. Używać niezależnego aparatu oddechowego (SCBA) wraz z rękawicami odpornymi na chemikalia.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6: POSTĘPOWANIE W PRZYPADKU NIEZAMIERZONEGO UWOLNIENIA DO ŚRODOWISKA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6.1. Indywidualne środki ostrożności, wyposażenie ochronne i procedury w sytuacjach awaryjnych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Indywidualne środki ostrożności, wyposażenie ochronne i procedury w sytuacjach awaryjnych: Dla osób nienależących do personelu udzielającego pomocy: Stosować środki ochrony indywidualnej. Wyprowadzić osoby w bezpieczne miejsce. Patrz środki ochronne w punktach 7 i 8. Dla osób udzielających pomocy: Stosować środki ochrony indywidualnej.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6.2. Środki ostrożności w zakresie ochrony środowiska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Środki ostrożności w zakresie ochrony środowiska: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dopuścić do przedostania się do gruntu/podglebia. Nie dopuścić do przedostania się do wód powierzchniowych lub kanalizacji. Zebrać zanieczyszczoną wodę z mycia i poddać ją utylizacji. W przypadku wycieku gazu lub przedostania się do cieków wodnych, gleby lub kanalizacji powiadomić właściwe władze. Odpowiedni materiał do zbierania: materiał pochłaniający, materiał organiczny, piasek.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6.3. Metody i materiały zapobiegające rozprzestrzenianiu się skażenia i służące do usuwania skażenia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Metody i materiały zapobiegające rozprzestrzenianiu się skażenia i służące do usuwania skażenia: Odpowiedni materiał do zbierania: materiał pochłaniający, materiał organiczny, piasek. Zmyć dużą ilością wody.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6.4. Odniesienia do innych sekcji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Odniesienia do innych sekcji: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Zobacz także sekcje 8 i 13.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7: POSTĘPOWANIE Z SUBSTANCJAMI I MIESZANINAMI ORAZ ICH MAGAZYNOWANIE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7.1. Środki ostrożności dotyczące bezpiecznego postępowania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Środki ostrożności dotyczące bezpiecznego postępowania: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Unikać kontaktu ze skórą i oczami, wdychania par i mgieł. Patrz również sekcja 8 w zakresie zalecanego sprzętu ochronnego. Zalecenia dotyczące ogólnej higieny pracy: Nie jeść i nie pić podczas pracy.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7.2. Warunki bezpiecznego magazynowania, w tym informacje dotyczące wszelkich wzajemnych niezgodności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Warunki bezpiecznego magazynowania, w tym informacje dotyczące wszelkich wzajemnych niezgodności: Materiały niezgodne: Brak szczególnych. Wytyczne dotyczące pomieszczeń magazynowych: Pomieszczenia odpowiednio wentylowane.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7.3. Szczególne zastosowania końcowe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Szczególne zastosowanie(-a) końcowe: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szczególnych. Rozwiązania specyficzne dla sektora przemysłowego: Brak szczególnych.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8: KONTROLA NARAŻENIA/ŚRODKI OCHRONY INDYWIDUALNEJ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8.1. Parametry dotyczące kontroli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Krajowe wartości najwyższych dopuszczalnych stężeń w środowisku pracy (Polska – Dz.U. 2018 poz. 1286 z późn. zm., w tym Dz.U. 2024 poz. 1017):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masa poreakcyjna 5-chloro-2-metylo-2H-izotiazol-3-onu i 2-metylo-2H-izotiazol-3-onu (3:1) [CAS: 55965-84-9]: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- NDS: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0,2 mg/m³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- NDSCh: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0,4 mg/m³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- Uwagi: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skóra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Parametry dotyczące kontroli: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Wspólnotowe dopuszczalne wartości narażenia zawodowego (OEL): masa poreakcyjna 5-chloro-2-metylo-2H-izotiazol-3-onu i 2-metylo-2H-izotiazol-3-onu (3:1) (CAS: 55965-84-9): Austria (Krajowa wartość dopuszczalna): Długoterminowa (8h): 0,05 mg/m3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Uwagi: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MAK, Sh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Źródło: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GKV, BGBI. II Nr 156/2021. Wartości DNEL/PNEC: Brak danych.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8.2. Kontrola narażenia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Kontrola narażenia: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Ochrona oczu lub twarzy: Nie wymaga się szczególnych środków ochrony podczas normalnych warunków użytkowania. W każdym razie należy postępować zgodnie z dobrą praktyką przemysłową. Ochrona skóry: Podczas normalnego użytkowania nie są wymagane szczególne środki ostrożności. Ochrona rąk: Niepotrzebna przy normalnym użytkowaniu. Ochrona dróg oddechowych: Nie dotyczy. Zagrożenia termiczne: Nie dotyczy. Kontrola narażenia środowiska: Nie dotyczy. Środki higieniczne i techniczne: Nie dotyczy.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9: WŁAŚCIWOŚCI FIZYCZNE I CHEMICZNE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9.1. Informacje na temat podstawowych właściwości fizycznych i chemicznych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Informacje na temat podstawowych właściwości fizycznych i chemicznych: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a) Stan skupienia: Ciecz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b) Kolor: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Biały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c) Zapach: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Charakterystyczny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d) Temperatura topnienia/krzepnięcia: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e) Temperatura wrzenia lub początkowa temperatura wrzenia i zakres temperatur wrzenia: 100°C (212°F) woda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f) Palność materiałów: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g) Dolna i górna granica wybuchowości: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h) Temperatura zapłonu: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&gt; 60°C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i) Temperatura samozapłonu: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j) Temperatura rozkładu: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k) pH: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2,00 - 3,00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l) Lepkość kinematyczna: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&gt; 20,5 mm2/s (40°C)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m) Rozpuszczalność w wodzie: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Rozpuszczalny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n) Rozpuszczalność w oleju: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o) Współczynnik podziału n-oktanol/woda (wartość logarytmu):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p) Prężność pary: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q) Gęstość lub gęstość względna: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1,00 g/ml +/- 0,05 (20°C)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r) Względna gęstość pary: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s) Charakterystyka cząsteczek: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Wielkość cząstek: Nie dotyczy.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9.2. Inne informacje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Inne informacje: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innych istotnych informacji. Lotne związki organiczne - LZO/VOC = Nie dotyczy.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10: STABILNOŚĆ I REAKTYWNOŚĆ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10.1. Reaktywność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Reaktywność: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Produkt stabilny w warunkach normalnych.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10.2. Stabilność chemiczna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Stabilność chemiczna: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danych.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10.3. Możliwość występowania niebezpiecznych reakcji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Możliwość występowania niebezpiecznych reakcji: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10.4. Warunki, których należy unikać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Warunki, których należy unikać: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Produkt stabilny w warunkach normalnych.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10.5. Materiały niezgodne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Materiały niezgodne: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szczególnych.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10.6. Niebezpieczne produkty rozkładu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Niebezpieczne produkty rozkładu: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11: INFORMACJE TOKSYKOLOGICZNE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11.1. Informacje na temat klas zagrożenia zdefiniowanych w rozporządzeniu (WE) nr 1272/2008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Informacje na temat klas zagrożenia zdefiniowanych w rozporządzeniu (WE) nr 1272/2008: Informacje toksykologiczne dotyczące preparatu: a) Toksyczność ostra: Niesklasyfikowany. W oparciu o dostępne dane, kryteria klasyfikacji nie są spełnione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b) Działanie żrące/drażniące na skórę: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Niesklasyfikowany. W oparciu o dostępne dane, kryteria klasyfikacji nie są spełnione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c) Poważne uszkodzenie oczu/działanie drażniące na oczy: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Niesklasyfikowany. W oparciu o dostępne dane, kryteria klasyfikacji nie są spełnione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d) Działanie uczulające na drogi oddechowe lub skórę: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Niesklasyfikowany. W oparciu o dostępne dane, kryteria klasyfikacji nie są spełnione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e) Działanie mutagenne na komórki rozrodcze: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Niesklasyfikowany. W oparciu o dostępne dane, kryteria klasyfikacji nie są spełnione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f) Rakotwórczość: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Niesklasyfikowany. W oparciu o dostępne dane, kryteria klasyfikacji nie są spełnione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g) Szkodliwe działanie na rozrodczość: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Niesklasyfikowany. W oparciu o dostępne dane, kryteria klasyfikacji nie są spełnione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h) Działanie toksyczne na narządy docelowe – narażenie jednorazowe (STOT):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Niesklasyfikowany. W oparciu o dostępne dane, kryteria klasyfikacji nie są spełnione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i) Działanie toksyczne na narządy docelowe – narażenie powtarzane (STOT):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Niesklasyfikowany. W oparciu o dostępne dane, kryteria klasyfikacji nie są spełnione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j) Zagrożenie spowodowane aspiracją: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Niesklasyfikowany. W oparciu o dostępne dane, kryteria klasyfikacji nie są spełnione.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11.2. Informacje o innych zagrożeniach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Informacje o innych zagrożeniach: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Właściwości zaburzające funkcjonowanie układu hormonalnego: Galaksolid (ang. galaxolide, CAS: 1222-05-5) - Lista II: Substancje podlegające ocenie pod kątem zaburzania funkcjonowania układu hormonalnego zgodnie z prawodawstwem UE.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12: INFORMACJE EKOLOGICZNE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12.1. Toksyczność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Toksyczność: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Postępować zgodnie z zasadami dobrej praktyki roboczej, aby uniknąć zrzutów produktu do środowiska. Informacje ekotoksykologiczne dotyczące produktu: Nie sklasyfikowany pod względem zagrożeń dla środowiska. Brak dostępnych danych dla produktu. Informacje ekotoksykologiczne dotyczące składników: octan 4-tert-butylocykloheksylu (CAS: 32210-23-4): a) Toksyczność ostra dla środowiska wodnego: EC50 Daphnia magna = 5,3 mg/L (48 h)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EC50 Glony Desmodesmus subspicatus = 22 mg/L (72 h)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LC50 Ryby Cyprinus carpio = 8,6 mg/L (96 h)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b) Toksyczność przewlekła dla środowiska wodnego: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NOEC Glony Desmodesmus subspicatus = 6,8 mg/L (72 h). Masa poreakcyjna 5-chloro-2-metylo-2H-izotiazol-3-onu i 2-metylo-2H-izotiazol-3-onu (3:1) (CAS: 55965-84-9): a) Toksyczność ostra dla środowiska wodnego: LC50 Ryby Oncorhynchus mykiss = 0,22 mg/L (96 h, OECD 203)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EC50 Glony Skeletonema costatum = 0,0052 mg/L (48 h, ISO 10253)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b) Toksyczność przewlekła dla środowiska wodnego: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NOEC Glony Skeletonema costatum = 0,00064 mg/L (48 h, ISO 10253)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NOEC Glony Pseudokirchneriella subcapitata = 0,0012 mg/L (72 h, OECD 201)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NOEC Daphnia magna = 0,004 mg/L (21 dni, OECD 211)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NOEC Ryby Oncorhynchus mykiss = 0,098 mg/L (28 dni, OECD 215).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12.2. Trwałość i zdolność do rozkładu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Trwałość i zdolność do rozkładu: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octan 4-tert-butylocykloheksylu (CAS: 32210-23-4): Nie ulega łatwej biodegradacji. Masa poreakcyjna 5-chloro-2-metylo-2H-izotiazol-3-onu i 2-metylo-2H-izotiazol-3-onu (3:1) (CAS: 55965-84-9): Łatwo biodegradowalny. Wartość: &gt; 60%. Uwagi: OECD 301 D Closed-Bottle-Test.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12.3. Zdolność do bioakumulacji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Zdolność do bioakumulacji: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octan 4-tert-butylocykloheksylu (CAS: 32210-23-4): Nie wykazuje zdolności do bioakumulacji. Test: BCF - współczynnik biokoncentracji, Wartość: = 334,6. Masa poreakcyjna 5-chloro-2-metylo-2H-izotiazol-3-onu i 2-metylo-2H-izotiazol-3-onu (3:1) (CAS: 55965-84-9): Test: BCF - współczynnik biokoncentracji, Wartość: = 3,16. Test: Współczynnik podziału log Kow, Wartość: &lt;= 0,71.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12.4. Mobilność w glebie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Mobilność w glebie: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 / Brak danych.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12.5. Wyniki oceny właściwości PBT i vPvB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Wyniki oceny właściwości PBT i vPvB: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substancji PBT lub vPvB obecnych w stężeniu &gt;= 0,1%.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12.6. Właściwości zaburzające funkcjonowanie układu hormonalnego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Właściwości zaburzające funkcjonowanie układu hormonalnego: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Galaksolid (ang. galaxolide, CAS: 1222-05-5) - Lista II: Substancje podlegające ocenie pod kątem zaburzania funkcjonowania układu hormonalnego zgodnie z prawodawstwem UE.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12.7. Inne szkodliwe skutki działania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Inne szkodliwe skutki działania: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danych.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13: POSTĘPOWANIE Z ODPADAMI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13.1. Metody unieszkodliwiania odpadów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Metody unieszkodliwiania odpadów: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 miarę możliwości odzyskać. Postępować zgodnie z obowiązującymi przepisami lokalnymi i krajowymi. Nie dopuścić do zrzutu do kanalizacji lub cieków wodnych. Utylizować za pośrednictwem uprawnionego przedsiębiorstwa gospodarowania odpadami.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14: INFORMACJE DOTYCZĄCE TRANSPORTU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14.1. Numer UN lub numer identyfikacyjny 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Numer UN lub numer identyfikacyjny ID: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dotyczy. Towar nie jest klasyfikowany jako niebezpieczny w rozumieniu przepisów transportowych.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14.2. Prawidłowa nazwa przewozowa UN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Prawidłowa nazwa przewozowa UN: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ADR-Nazwa przewozowa: Nie dotyczy. IATA-Nazwa przewozowa: Nie dotyczy. IMDG-Nazwa przewozowa: Nie dotyczy.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14.3. Klasa(-y) zagrożenia w transporcie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Klasa(-y) zagrożenia w transporcie: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ADR-Klasa: Nie dotyczy. IATA-Klasa: Nie dotyczy. IMDG-Klasa: Nie dotyczy.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14.4. Grupa pakowania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Grupa pakowania: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ADR-Grupa pakowania: Nie dotyczy. IATA-Grupa pakowania: Nie dotyczy. IMDG-Grupa pakowania: Nie dotyczy.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14.5. Zagrożenia dla środowiska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Zagrożenia dla środowiska: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Ilość składników toksycznych: 0,00. Ilość składników bardzo toksycznych: 0,00. Zanieczyszczenie morza (Marine Pollutant): Nie. Zanieczyszczenie środowiska: Nie. IMDG-EmS: Nie dotyczy.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14.6. Szczególne środki ostrożności dla użytkowników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Szczególne środki ostrożności dla użytkowników: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Transport drogowy i kolejowy (ADR-RID): Wyłączenie ADR: Nie. Etykieta ADR: Nie dotyczy. Numer rozpoznawczy zagrożenia: Nie dotyczy. Przepisy szczególne ADR: Nie dotyczy. Kategoria transportowa (kod ograniczeń przewozu przez tunele): Nie dotyczy. Transport lotniczy (IATA): Samolot pasażerski: Nie dotyczy. Samolot towarowy: Nie dotyczy. Etykieta IATA: Nie dotyczy. Zagrożenia dodatkowe IATA: Nie dotyczy. Karta awaryjna Erg: Nie dotyczy. Przepisy szczególne IATA: Nie dotyczy. Transport morski (IMDG): Sztauowanie i postępowanie: Nie dotyczy. Segregacja: Nie dotyczy. Zagrożenia dodatkowe IMDG: Nie dotyczy. Przepisy szczególne IMDG: Nie dotyczy.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14.7. Transport morski luzem zgodnie z instrumentami IMO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Transport morski luzem zgodnie z instrumentami IMO: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15: INFORMACJE DOTYCZĄCE PRZEPISÓW PRAWNYCH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15.1. Przepisy prawne dotyczące bezpieczeństwa, zdrowia i ochrony środowiska specyficzne dla substancji lub mieszaniny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Przepisy prawne dotyczące bezpieczeństwa, zdrowia i środowiska specyficzne dla substancji lub mieszaniny: Dyrektywa 98/24/WE (w sprawie ochrony zdrowia i bezpieczeństwa pracowników przed ryzykiem związanym ze środkami chemicznymi w miejscu pracy). Dyrektywa 2000/39/WE (dotycząca dopuszczalnych wartości narażenia zawodowego). Rozporządzenie (WE) nr 1907/2006 (REACH). Rozporządzenie Komisji (UE) nr 2020/878. Rozporządzenie (WE) nr 1272/2008 (CLP) wraz ze wszystkimi późniejszymi dostosowaniami do postępu technicznego (ATP 1 - 22: Rozporządzenia (WE) nr 790/2009, (UE) nr 286/2011, 618/2012, 487/2013, 944/2013, 605/2014, 2015/1221, 2016/918, 2016/1179, 2017/776, 2018/669, 2018/1480, 2019/521, 2020/217, 2020/1182, 2021/643, 2021/849, 2022/692, 2023/707, 2023/1434, 2023/1435, 2024/197, 2024/2865, 2024/2564). Ograniczenia dotyczące produktu lub substancji zawartych zgodnie z Załącznikiem XVII do rozporządzenia (WE) nr 1907/2006 (REACH) i późniejszymi zmianami: Ograniczenia dotyczące produktu: Brak. Ograniczenia dotyczące zawartych substancji: Pozycja 75. Przepisy dotyczące Dyrektywy UE 2012/18 (Seveso III): Brak. Rozporządzenie (UE) nr 649/2012 (rozporządzenie PIC): Żadna z substancji nie jest wymieniona. Niemiecka klasa zagrożenia wód (WGK): Klasa 1: nieznacznie zagrażający wodzie. Niemiecka klasa magazynowania zgodnie z TRGS 510: LGK 10. Substancje SVHC: Brak substancji SVHC w stężeniu &gt;= 0,1%. Przepisy polskie: Ustawa z dnia 25 lutego 2011 r. o substancjach chemicznych i ich mieszaninach (Dz.U. 2022 poz. 1816 z późn. zm.)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Rozporządzenie Ministra Rodziny, Pracy i Polityki Społecznej z dnia 12 czerwca 2018 r. w sprawie najwyższych dopuszczalnych stężeń i natężeń czynników szkodliwych dla zdrowia w środowisku pracy (Dz.U. 2018 poz. 1286 z późn. zm.)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Ustawa z dnia 14 grudnia 2012 r. o odpadach (Dz.U. 2023 poz. 1587 z późn. zm.)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Ustawa z dnia 13 czerwca 2013 r. o gospodarce opakowaniami i odpadami opakowaniowymi (Dz.U. 2023 poz. 1658 z późn. zm.).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Prawodawstwo Unii Europejskiej: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50"/>
      </w:pPr>
      <w:r>
        <w:rPr>
          <w:rFonts w:ascii="Arial" w:cs="Arial" w:eastAsia="Arial" w:hAnsi="Arial"/>
          <w:b/>
          <w:bCs/>
          <w:color w:val="00A651"/>
          <w:sz w:val="19"/>
          <w:szCs w:val="19"/>
        </w:rPr>
        <w:t xml:space="preserve">• </w:t>
      </w:r>
      <w:r>
        <w:rPr>
          <w:rFonts w:ascii="Arial" w:cs="Arial" w:eastAsia="Arial" w:hAnsi="Arial"/>
          <w:sz w:val="19"/>
          <w:szCs w:val="19"/>
        </w:rPr>
        <w:t xml:space="preserve">Rozporządzenie (WE) nr 1907/2006 Parlamentu Europejskiego i Rady z dnia 18 grudnia 2006 r. w sprawie rejestracji, oceny, udzielania zezwoleń i stosowanych ograniczeń w zakresie chemikaliów (REACH) z późniejszymi zmianami.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A651"/>
          <w:sz w:val="19"/>
          <w:szCs w:val="19"/>
        </w:rPr>
        <w:t xml:space="preserve">• </w:t>
      </w:r>
      <w:r>
        <w:rPr>
          <w:rFonts w:ascii="Arial" w:cs="Arial" w:eastAsia="Arial" w:hAnsi="Arial"/>
          <w:sz w:val="19"/>
          <w:szCs w:val="19"/>
        </w:rPr>
        <w:t xml:space="preserve">Rozporządzenie Komisji (UE) 2020/878 z dnia 18 czerwca 2020 r. zmieniające załącznik II do rozporządzenia (WE) nr 1907/2006 (wymogi dotyczące sporządzania kart charakterystyki).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A651"/>
          <w:sz w:val="19"/>
          <w:szCs w:val="19"/>
        </w:rPr>
        <w:t xml:space="preserve">• </w:t>
      </w:r>
      <w:r>
        <w:rPr>
          <w:rFonts w:ascii="Arial" w:cs="Arial" w:eastAsia="Arial" w:hAnsi="Arial"/>
          <w:sz w:val="19"/>
          <w:szCs w:val="19"/>
        </w:rPr>
        <w:t xml:space="preserve">Rozporządzenie Parlamentu Europejskiego i Rady (WE) nr 1272/2008 z dnia 16 grudnia 2008 r. w sprawie klasyfikacji, oznakowania i pakowania substancji i mieszanin (CLP) z późniejszymi zmianami.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- Substancje wzbudzające szczególnie duże obawy (SVHC – REACH załącznik XIV):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Mieszanina nie zawiera substancji z listy kandydackiej SVHC w stężeniu ≥ 0,1% wag.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A651"/>
          <w:sz w:val="19"/>
          <w:szCs w:val="19"/>
        </w:rPr>
        <w:t xml:space="preserve">• </w:t>
      </w:r>
      <w:r>
        <w:rPr>
          <w:rFonts w:ascii="Arial" w:cs="Arial" w:eastAsia="Arial" w:hAnsi="Arial"/>
          <w:sz w:val="19"/>
          <w:szCs w:val="19"/>
        </w:rPr>
        <w:t xml:space="preserve">Ograniczenia dotyczące produkcji, wprowadzania do obrotu i stosowania (REACH załącznik XVII): Zastosowanie mają odpowiednie pozycje załącznika XVII (w zależności od przeznaczenia).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Prawodawstwo Rzeczypospolitej Polskiej: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50"/>
      </w:pPr>
      <w:r>
        <w:rPr>
          <w:rFonts w:ascii="Arial" w:cs="Arial" w:eastAsia="Arial" w:hAnsi="Arial"/>
          <w:b/>
          <w:bCs/>
          <w:color w:val="00A651"/>
          <w:sz w:val="19"/>
          <w:szCs w:val="19"/>
        </w:rPr>
        <w:t xml:space="preserve">• </w:t>
      </w:r>
      <w:r>
        <w:rPr>
          <w:rFonts w:ascii="Arial" w:cs="Arial" w:eastAsia="Arial" w:hAnsi="Arial"/>
          <w:sz w:val="19"/>
          <w:szCs w:val="19"/>
        </w:rPr>
        <w:t xml:space="preserve">Ustawa z dnia 25 lutego 2011 r. o substancjach chemicznych i ich mieszaninach (t.j. Dz.U. 2022 poz. 1816 z późn. zm.).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A651"/>
          <w:sz w:val="19"/>
          <w:szCs w:val="19"/>
        </w:rPr>
        <w:t xml:space="preserve">• </w:t>
      </w:r>
      <w:r>
        <w:rPr>
          <w:rFonts w:ascii="Arial" w:cs="Arial" w:eastAsia="Arial" w:hAnsi="Arial"/>
          <w:sz w:val="19"/>
          <w:szCs w:val="19"/>
        </w:rPr>
        <w:t xml:space="preserve">Rozporządzenie Ministra Rodziny, Pracy i Polityki Społecznej z dnia 12 czerwca 2018 r. w sprawie najwyższych dopuszczalnych stężeń i natężeń czynników szkodliwych dla zdrowia w środowisku pracy (Dz.U. 2018 poz. 1286 z późn. zm., w tym Dz.U. 2024 poz. 1017).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A651"/>
          <w:sz w:val="19"/>
          <w:szCs w:val="19"/>
        </w:rPr>
        <w:t xml:space="preserve">• </w:t>
      </w:r>
      <w:r>
        <w:rPr>
          <w:rFonts w:ascii="Arial" w:cs="Arial" w:eastAsia="Arial" w:hAnsi="Arial"/>
          <w:sz w:val="19"/>
          <w:szCs w:val="19"/>
        </w:rPr>
        <w:t xml:space="preserve">Ustawa z dnia 14 grudnia 2012 r. o odpadach (t.j. Dz.U. 2023 poz. 1587 z późn. zm.).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A651"/>
          <w:sz w:val="19"/>
          <w:szCs w:val="19"/>
        </w:rPr>
        <w:t xml:space="preserve">• </w:t>
      </w:r>
      <w:r>
        <w:rPr>
          <w:rFonts w:ascii="Arial" w:cs="Arial" w:eastAsia="Arial" w:hAnsi="Arial"/>
          <w:sz w:val="19"/>
          <w:szCs w:val="19"/>
        </w:rPr>
        <w:t xml:space="preserve">Rozporządzenie Ministra Klimatu z dnia 2 stycznia 2020 r. w sprawie katalogu odpadów (Dz.U. 2020 poz. 10).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A651"/>
          <w:sz w:val="19"/>
          <w:szCs w:val="19"/>
        </w:rPr>
        <w:t xml:space="preserve">• </w:t>
      </w:r>
      <w:r>
        <w:rPr>
          <w:rFonts w:ascii="Arial" w:cs="Arial" w:eastAsia="Arial" w:hAnsi="Arial"/>
          <w:sz w:val="19"/>
          <w:szCs w:val="19"/>
        </w:rPr>
        <w:t xml:space="preserve">Ustawa z dnia 13 czerwca 2013 r. o gospodarce opakowaniami i odpadami opakowaniowymi (t.j. Dz.U. 2023 poz. 1658 z późn. zm.).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A651"/>
          <w:sz w:val="19"/>
          <w:szCs w:val="19"/>
        </w:rPr>
        <w:t xml:space="preserve">• </w:t>
      </w:r>
      <w:r>
        <w:rPr>
          <w:rFonts w:ascii="Arial" w:cs="Arial" w:eastAsia="Arial" w:hAnsi="Arial"/>
          <w:sz w:val="19"/>
          <w:szCs w:val="19"/>
        </w:rPr>
        <w:t xml:space="preserve">Ustawa z dnia 19 sierpnia 2011 r. o przewozie towarów niebezpiecznych (t.j. Dz.U. 2024 poz. 643 z późn. zm.) oraz Umowa europejska dotycząca międzynarodowego przewozu drogowego towarów niebezpiecznych (ADR).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15.2. Ocena bezpieczeństwa chemicznego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Ocena bezpieczeństwa chemicznego: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przeprowadzono oceny bezpieczeństwa chemicznego dla mieszaniny.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16: INNE INFORMACJE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16.1. Inne informacje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Inne informacje: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Pełne brzmienie zwrotów H i EUH przytoczonych w sekcjach 2 i 3: EUH071 Działa żrąco na drogi oddechowe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H301 Działa toksycznie po połknięciu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H310 Grozi śmiercią w kontacie ze skórą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H314 Powoduje poważne oparzenia skóry oraz uszkodzenia oczu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H315 Działa drażniąco na skórę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H317 Może powodować reakcję alergiczną skóry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H318 Powoduje poważne uszkodzenie oczu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H319 Działa drażniąco na oczy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H330 Wdychanie grozi śmiercią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H400 Działa bardzo toksycznie na organizmy wodne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H410 Działa bardzo toksycznie na organizmy wodne, powodując długotrwałe skutki. Kody klas zagrożenia i kategorii: Acute Tox. 2: Toksyczność ostra (po naniesieniu na skórę), Kategoria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Acute Tox. 2: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Toksyczność ostra (po narażeniu inhalacyjnym), Kategoria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Acute Tox. 3: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Toksyczność ostra (droga pokarmowa), Kategoria 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Skin Corr. 1C: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Działanie żrące na skórę, Kategoria 1C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Skin Irrit. 2: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Działanie drażniące na skórę, Kategoria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Eye Dam. 1: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Poważne uszkodzenie oczu, Kategoria 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Eye Irrit. 2: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Działanie drażniące na oczy, Kategoria 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Skin Sens. 1A: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Działanie uczulające na skórę, Kategoria 1A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Skin Sens. 1B: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Działanie uczulające na skórę, Kategoria 1B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Aquatic Acute 1: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Stwarzające zagrożenie dla środowiska wodnego – zagrożenie ostre, kategoria 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Aquatic Chronic 1: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Stwarzające zagrożenie dla środowiska wodnego – zagrożenie przewlekłe, kategoria 1. Niniejszy dokument został sporządzony przez kompetentną osobę, która odbyła odpowiednie przeszkolenie. Główne źródła bibliograficzne: ECDIN - Environmental Chemicals Data and Information Network, Wspólne Centrum Badawcze Komisji Wspólnot Europejskich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SAX's DANGEROUS PROPERTIES OF INDUSTRIAL MATERIALS - wydanie ósme, Van Nostrand Reinold. Objaśnienie skrótów i akronimów: ACGIH: Amerykańska Konferencja Rządowych Higienistów Przemysłowych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ADR: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Umowa europejska dotycząca międzynarodowego przewozu drogowego towarów niebezpiecznych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AND: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Umowa europejska dotycząca międzynarodowego przewozu śródlądowymi drogami wodnymi towarów niebezpiecznych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ATE: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Oszacowana toksyczność ostra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ATEmix: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Oszacowana toksyczność ostra (mieszaniny)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BCF: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Współczynnik biokoncentracji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BEI: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Wskaźnik ekspozycji biologicznej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BOD: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Biochemiczne zapotrzebowanie na tlen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CAS: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Chemical Abstracts Service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CAV: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Ośrodek Toksykologiczny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Wspólnota Europejska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CLP: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Rozporządzenie w sprawie klasyfikacji, oznakowania i pakowania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CMR: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Rakotwórczy, mutagenny, reprotoksyczny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COD: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Chemiczne zapotrzebowanie na tlen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COV / LZO: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Lotne związki organiczne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CSA: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Ocena bezpieczeństwa chemicznego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CSR: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Raport bezpieczeństwa chemicznego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DMEL: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Pochodny poziom powodujący minimalne skutki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DNEL: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Pochodny poziom niepowodujący zmian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DPD: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Dyrektywa o niebezpiecznych preparatach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DSD: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Dyrektywa o substancjach niebezpiecznych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EC50: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Stężenie skuteczne dla 50% badanej populacji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ECHA: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Europejska Agencja Chemikaliów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EINECS: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Europejski Wykaz Istniejących Substancji o Znaczeniu Komercyjnym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ES: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Scenariusz narażenia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GefStoffVO: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Niemieckie rozporządzenie o substancjach niebezpiecznych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GHS: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Globalnie Zharmonizowany System Klasyfikacji i Oznakowania Chemikaliów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IARC: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Międzynarodowa Agencja Badań nad Rakiem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IATA: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Międzynarodowe Zrzeszenie Przewoźników Powietrznych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IATA-DGR: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Przepisy dotyczące towarów niebezpiecznych Międzynarodowego Zrzeszenia Przewoźników Powietrznych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IC50: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Połowa maksymalnego stężenia hamującego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ICAO: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Organizacja Międzynarodowego Lotnictwa Cywilnego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ICAO-TI: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Instrukcje techniczne Organizacji Międzynarodowego Lotnictwa Cywilnego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IMDG: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Międzynarodowy morski kodeks towarów niebezpiecznych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INCI: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Międzynarodowe Nazewnictwo Składników Kosmetycznych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IRCCS: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Naukowy Instytut Badań, Hospitalizacji i Opieki Zdrowotnej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KAFH: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Przechowywać z dala od ciepła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KSt: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Współczynnik wybuchowości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LC50: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Stężenie śmiertelne dla 50% badanej populacji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LD50: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Dawka śmiertelna dla 50% badanej populacji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LDLo: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Najniższa dawka śmiertelna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N.A. / N/A / N/D / NA: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 / Brak danych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NDS: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Najwyższe dopuszczalne stężenie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NDSCh: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Najwyższe dopuszczalne stężenie chwilowe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NIOSH: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Narodowy Instytut Bezpieczeństwa i Higieny Pracy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NOAEL: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Poziom bez obserwowanych szkodliwych skutków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NOEC: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Najwyższe stężenie, przy którym nie obserwuje się skutków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OECD: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Organizacja Współpracy Gospodarczej i Rozwoju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OSHA: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Agencja Bezpieczeństwa i Zdrowia w Pracy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PBT: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Trwały, wykazujący zdolność do bioakumulacji i toksyczny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PGK: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Instrukcja pakowania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PNEC: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Przewidywane stężenie niepowodujące zmian w środowisku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RID: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Regulamin międzynarodowego przewozu kolejami towarów niebezpiecznych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STEL: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Krótkoterminowa granica narażenia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STOT: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Działanie toksyczne na narządy docelowe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TLV: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Wartość progowa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TWATLV: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Średnia ważona w czasie dla 8-godzinnego dnia pracy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UFI: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Niepowtarzalny identyfikator postaci czynnej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vPvB: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Bardzo trwały i wykazujący bardzo dużą zdolność do bioakumulacji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WGK: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Niemiecka klasa zagrożenia wód. Klauzula prawna: Informacje zawarte w niniejszej karcie charakterystyki opierają się na stanie naszej wiedzy w wyżej wymienionym dniu. Odnoszą się one wyłącznie do wskazanego produktu i nie stanowią gwarancji określonych właściwości jakościowych. Obowiązkiem użytkownika jest upewnienie się, że podane informacje są odpowiednie i wyczerpujące w odniesieniu do zamierzonego, specyficznego zastosowania. Niniejsza karta charakterystyki anuluje i zastępuje każdą poprzednią wersję.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1D5DB" w:sz="4" w:space="4"/>
      </w:pBdr>
      <w:spacing w:before="12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Dystrybutor: ITALLUX Sp. z o.o. | </w:t>
    </w:r>
    <w:r>
      <w:rPr>
        <w:rFonts w:ascii="Arial" w:cs="Arial" w:eastAsia="Arial" w:hAnsi="Arial"/>
        <w:color w:val="555555"/>
        <w:sz w:val="16"/>
        <w:szCs w:val="16"/>
      </w:rPr>
      <w:t xml:space="preserve">Strona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z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1D5DB" w:sz="4" w:space="4"/>
      </w:pBdr>
      <w:spacing w:after="12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KARTA CHARAKTERYSTYKI | SWEET HOME LAYALI PROFUMA TESSUTI E AMBIENTE NAJMA | Wersja: 1.0 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2026-09-17T18:40:59.890Z</dcterms:created>
  <dcterms:modified xsi:type="dcterms:W3CDTF">2026-09-17T18:40:59.891Z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