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Karta Charakterystyki</w:t>
      </w:r>
    </w:p>
    <w:p>
      <w:pPr>
        <w:spacing w:after="300"/>
        <w:jc w:val="center"/>
      </w:pPr>
      <w:r>
        <w:rPr>
          <w:sz w:val="16"/>
          <w:szCs w:val="16"/>
        </w:rPr>
        <w:t xml:space="preserve">[Sporządzona zgodnie z rozporządzeniem WE 1907/2006(REACH) wraz z późn. zm.]</w:t>
      </w:r>
    </w:p>
    <w:p>
      <w:pPr>
        <w:spacing w:after="400"/>
        <w:jc w:val="right"/>
      </w:pPr>
      <w:r>
        <w:rPr>
          <w:sz w:val="16"/>
          <w:szCs w:val="16"/>
        </w:rPr>
        <w:t xml:space="preserve">Data wystawienia: 11.09.2026</w:t>
      </w:r>
      <w:r>
        <w:rPr>
          <w:sz w:val="16"/>
          <w:szCs w:val="16"/>
        </w:rPr>
        <w:t xml:space="preserve">
Wersja: 1.0 PL</w:t>
      </w:r>
    </w:p>
    <w:p>
      <w:pPr>
        <w:pBdr>
          <w:bottom w:color="00A651" w:sz="12" w:space="1"/>
        </w:pBdr>
        <w:shd w:fill="FFF9E6" w:val="clear"/>
        <w:spacing w:after="150" w:before="300"/>
      </w:pPr>
      <w:r>
        <w:rPr>
          <w:b/>
          <w:bCs/>
          <w:sz w:val="22"/>
          <w:szCs w:val="22"/>
        </w:rPr>
        <w:t xml:space="preserve">SEKCJA 1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1.1. Identyfikator produktu: SWEET HOME LAYALI - PROFUMA TESSUTI E AMBIENTE NAJMA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UFI: AJAD-RP52-PA98-ME4H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1.4. Numer telefonu alarmowego: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112 (ogólny telefon alarmowy w Polsce), 998 (straż pożarna), 999 (pogotowie ratunkowe)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1.3. Dane dotyczące dostawcy karty charakterystyki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Firma: MITRANS Weronika Grzesiak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Adres: ul. Wesoła 16, 63-600 Kępno, woj. wielkopolskie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E-mail: kontakt@prostozwloch.com.pl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Telefon: +48 663116607</w:t>
      </w:r>
    </w:p>
    <w:p>
      <w:pPr>
        <w:pBdr>
          <w:bottom w:color="00A651" w:sz="12" w:space="1"/>
        </w:pBdr>
        <w:spacing w:after="150" w:before="300"/>
      </w:pPr>
      <w:r>
        <w:rPr>
          <w:b/>
          <w:bCs/>
          <w:sz w:val="22"/>
          <w:szCs w:val="22"/>
        </w:rPr>
        <w:t xml:space="preserve">SEKCJA 2: IDENTYFIKACJA ZAGROŻEŃ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2.1. Klasyfikacja substancji lub mieszaniny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Mieszanina nie została zaklasyfikowana jako stwarzająca zagrożenie zgodnie z rozporządzeniem (WE) nr 1272/2008 [CLP].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 Elementy oznakowania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Piktogramy określające rodzaj zagrożenia i hasło ostrzegawcze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Brak.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Nazwy niebezpiecznych substancji wymienione na etykiecie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Nie ma.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Zwroty wskazujące rodzaj zagrożenia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Brak.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Zwroty wskazujące środki ostrożności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P101 W razie konieczności zasięgnięcia porady lekarza należy pokazać pojemnik lub etykietę.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P102 Chronić przed dziećmi.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Informacje uzupełniające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EUH208 Zawiera: octan 4-tert-butylocykloheksylu, masa poreakcyjna 5-chloro-2-metylo-2H-izotiazol-3-onu i 2-metylo-2H-izotiazol-3-onu (3:1), aldehyd cynamonowy. Może powodować wystąpienie reakcji alergicznej.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2.3. Inne zagrożenia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Produkt nie zawiera składników wpisanych do wykazu ustanowionego zgodnie z art. 59 ust. 1 jako posiadające właściwości zaburzające funkcjonowanie układu hormonalnego ani składników o właściwościach zaburzających funkcjonowanie układu hormonalnego zgodnie z kryteriami określonymi w rozporządzeniu 2017/2100/UE lub rozporządzeniu 2018/605/UE w stężeniu równym lub większym od 0,1 %.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Komponenty mieszaniny nie spełniają kryteriów PBT lub vPvB zgodnie z załącznikiem XIII rozporządzenia REACH.</w:t>
      </w:r>
    </w:p>
    <w:p>
      <w:pPr>
        <w:pBdr>
          <w:bottom w:color="00A651" w:sz="12" w:space="1"/>
        </w:pBdr>
        <w:spacing w:after="150" w:before="300"/>
      </w:pPr>
      <w:r>
        <w:rPr>
          <w:b/>
          <w:bCs/>
          <w:sz w:val="22"/>
          <w:szCs w:val="22"/>
        </w:rPr>
        <w:t xml:space="preserve">SEKCJA 3: SKŁAD / INFORMACJA O SKŁADNIKACH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3.1. Substancje: Nie dotyczy.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3.2. Mieszaniny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Opis chemiczny: Mieszanina substancji niebezpiecznych wraz z dodatkami nieniebezpiecznymi.</w:t>
      </w:r>
    </w:p>
    <w:tbl>
      <w:tblPr>
        <w:tblW w:type="dxa" w:w="9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F2F4F7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Nazwa substancji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Identyfikatory</w:t>
            </w:r>
          </w:p>
        </w:tc>
        <w:tc>
          <w:tcPr>
            <w:tcW w:type="dxa" w:w="2800"/>
            <w:shd w:fill="F2F4F7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Klasyfikacja CLP</w:t>
            </w:r>
          </w:p>
        </w:tc>
        <w:tc>
          <w:tcPr>
            <w:tcW w:type="dxa" w:w="1400"/>
            <w:shd w:fill="F2F4F7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Stężenie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octan 4-tert-butylocykloheksylu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(ang. 4-tert-butylcyclohexyl acetate)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CAS: 32210-23-4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WE: 250-954-9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rejestracji REACH: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01-2119976286-24-XXXX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Skin Sens. 1B, H317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0,1 - &lt; 0,25 %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aldehyd cynamonowy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(ang. cinnamaldehyde)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CAS: 104-55-2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WE: 203-213-9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indeksowy: 606-155-00-6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rejestracji REACH: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01-2119935242-45-XXXX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Skin Sens. 1A, H317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Specyficzne stężenia graniczne: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 ≥ 0.01%: Skin Sens. 1A H317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0,001 - &lt; 0,01 %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masa poreakcyjna 5-chloro-2-metylo-2H-izotiazol-3-onu i 2-metylo-2H-izotiazol-3-onu (3:1)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(ang. reaction mass of 5-chloro-2-methyl-2H-isothiazol-3-one and 2-methyl-2H-isothiazol-3-one (3:1))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CAS: 55965-84-9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WE: 911-418-6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indeksowy: 613-167-00-5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rejestracji REACH: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01-2120764691-48-XXXX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Tox. 2, H330; Acute Tox. 2,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H310; Acute Tox. 3, H301; Skin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Corr. 1C, H314; Eye Dam. 1,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H318; Skin Sens. 1A, H317;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Stwarzające zagrożenie dla środowiska wodnego - kategoria ostra 1, H400; Stwarzające zagrożenie dla środowiska wodnego - kategoria przewlekła 1, H410, M (przewlekły) = 100,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 (ostry) = 100, EUH071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Specyficzne stężenia graniczne: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 ≥ 0.6%: Skin Corr. 1C H314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0.06% ≤ C &lt; 0.6%: Skin Irrit. 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H315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 ≥ 0.6%: Eye Dam. 1 H318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0.06% ≤ C &lt; 0.6%: Eye Irrit. 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H319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 ≥ 0.0015%: Skin Sens. 1A H317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0,00093 %</w:t>
            </w:r>
          </w:p>
        </w:tc>
      </w:tr>
    </w:tbl>
    <w:p>
      <w:pPr>
        <w:spacing w:after="150" w:before="18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Pełne brzmienie zwrotów H i EUH znajduje się w sekcji 16 karty charakterystyki.</w:t>
      </w:r>
    </w:p>
    <w:p>
      <w:pPr>
        <w:pBdr>
          <w:bottom w:color="00A651" w:sz="12" w:space="1"/>
        </w:pBdr>
        <w:spacing w:after="150" w:before="300"/>
      </w:pPr>
      <w:r>
        <w:rPr>
          <w:b/>
          <w:bCs/>
          <w:sz w:val="22"/>
          <w:szCs w:val="22"/>
        </w:rPr>
        <w:t xml:space="preserve">SEKCJA 4: ŚRODKI PIERWSZEJ POMOCY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4.1. Opis środków pierwszej pomocy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 kontakcie ze skórą:</w:t>
      </w:r>
      <w:r>
        <w:rPr>
          <w:rFonts w:ascii="Arial" w:cs="Arial" w:eastAsia="Arial" w:hAnsi="Arial"/>
          <w:sz w:val="20"/>
          <w:szCs w:val="20"/>
        </w:rPr>
        <w:t xml:space="preserve"> Zdjąć zanieczyszczoną odzież. Narażone partie skóry zmyć dokładnie dużą ilością wody z mydłem. W przypadku wystąpienia podrażnienia skóry lub reakcji alergicznej skonsultować się z lekarzem.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 kontakcie z oczami:</w:t>
      </w:r>
      <w:r>
        <w:rPr>
          <w:rFonts w:ascii="Arial" w:cs="Arial" w:eastAsia="Arial" w:hAnsi="Arial"/>
          <w:sz w:val="20"/>
          <w:szCs w:val="20"/>
        </w:rPr>
        <w:t xml:space="preserve"> Płukać obficie wodą przy szeroko otwartych powiekach przez co najmniej 10-15 minut. Chronić niepodrażnione oko, usunąć soczewki kontaktowe, jeżeli są i można je łatwo usunąć. Natychmiast skonsultować się z lekarzem okulistą.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 przypadku spożycia:</w:t>
      </w:r>
      <w:r>
        <w:rPr>
          <w:rFonts w:ascii="Arial" w:cs="Arial" w:eastAsia="Arial" w:hAnsi="Arial"/>
          <w:sz w:val="20"/>
          <w:szCs w:val="20"/>
        </w:rPr>
        <w:t xml:space="preserve"> Nie wywoływać wymiotów bez konsultacji lekarskiej. Wypłukać usta wodą. Nigdy nie podawać niczego do ust osobie nieprzytomnej. Natychmiast zasięgnąć porady lekarza, pokazując kartę charakterystyki lub etykietę produktu.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 narażeniu drogą oddechową:</w:t>
      </w:r>
      <w:r>
        <w:rPr>
          <w:rFonts w:ascii="Arial" w:cs="Arial" w:eastAsia="Arial" w:hAnsi="Arial"/>
          <w:sz w:val="20"/>
          <w:szCs w:val="20"/>
        </w:rPr>
        <w:t xml:space="preserve"> Wyprowadzić poszkodowanego na świeże powietrze, zapewnić ciepło i spokój w pozycji półsiedzącej. W przypadku wystąpienia niepokojących objawów lub złego samopoczucia skonsultować się z lekarzem i pokazać opakowanie lub etykietę.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4.2. Najważniejsze ostre i opóźnione objawy oraz skutki narażenia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Brak dostępnych szczegółowych informacji na temat specyficznych objawów i skutków wywoływanych przez produkt. W kontakcie ze skórą może wywoływać reakcję alergiczną u osób podatnych (zawiera substancje uczulające wymienione w sekcji 2.2).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4.3. Wskazania dotyczące wszelkiej natychmiastowej pomocy lekarskiej i szczególnego postępowania z poszkodowanym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Leczenie:</w:t>
      </w:r>
      <w:r>
        <w:rPr>
          <w:rFonts w:ascii="Arial" w:cs="Arial" w:eastAsia="Arial" w:hAnsi="Arial"/>
          <w:sz w:val="20"/>
          <w:szCs w:val="20"/>
        </w:rPr>
        <w:t xml:space="preserve"> Leczenie objawowe. Brak dostępnych szczegółowych danych dotyczących specyficznego leczenia lub antidotum. Decyzję o sposobie postępowania ratunkowego podejmuje lekarz po dokładnej ocenie stanu poszkodowanego.</w:t>
      </w:r>
    </w:p>
    <w:p>
      <w:pPr>
        <w:pBdr>
          <w:bottom w:color="00A651" w:sz="12" w:space="1"/>
        </w:pBdr>
        <w:spacing w:after="150" w:before="300"/>
      </w:pPr>
      <w:r>
        <w:rPr>
          <w:b/>
          <w:bCs/>
          <w:sz w:val="22"/>
          <w:szCs w:val="22"/>
        </w:rPr>
        <w:t xml:space="preserve">SEKCJA 5: POSTĘPOWANIE W PRZYPADKU POŻARU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5.1. Środki gaśnicze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Odpowiednie środki gaśnicze:</w:t>
      </w:r>
      <w:r>
        <w:rPr>
          <w:rFonts w:ascii="Arial" w:cs="Arial" w:eastAsia="Arial" w:hAnsi="Arial"/>
          <w:sz w:val="20"/>
          <w:szCs w:val="20"/>
        </w:rPr>
        <w:t xml:space="preserve"> Piana gaśnicza, proszek gaśniczy, gaśnica śniegowa (CO2), rozproszony strumień wody (mgła wodna).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Niewłaściwe środki gaśnicze:</w:t>
      </w:r>
      <w:r>
        <w:rPr>
          <w:rFonts w:ascii="Arial" w:cs="Arial" w:eastAsia="Arial" w:hAnsi="Arial"/>
          <w:sz w:val="20"/>
          <w:szCs w:val="20"/>
        </w:rPr>
        <w:t xml:space="preserve"> Brak szczególnych ograniczeń. Nie zaleca się stosowania zwartego strumienia wody ze względu na ryzyko rozprzestrzenienia pożaru.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5.2. Szczególne zagrożenia związane z substancją lub mieszaniną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Unikać wdychania produktów spalania. Podczas pożaru mogą wydzielać się toksyczne gazy, dymy i tlenki węgla.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5.3. Informacje dla straży pożarnej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Środki ochrony strażaków:</w:t>
      </w:r>
      <w:r>
        <w:rPr>
          <w:rFonts w:ascii="Arial" w:cs="Arial" w:eastAsia="Arial" w:hAnsi="Arial"/>
          <w:sz w:val="20"/>
          <w:szCs w:val="20"/>
        </w:rPr>
        <w:t xml:space="preserve"> Gromadzić oddzielnie zanieczyszczoną wodę gaśniczą; nie dopuścić do jej przedostania się do kanalizacji i wód gruntowych. Stosować odzież ochronną dla strażaków zgodną z normą europejską EN 469. Stosować autonomiczny aparat oddechowy (SCBA) z rękawicami chemoodpornymi.</w:t>
      </w:r>
    </w:p>
    <w:p>
      <w:pPr>
        <w:pBdr>
          <w:bottom w:color="00A651" w:sz="12" w:space="1"/>
        </w:pBdr>
        <w:spacing w:after="150" w:before="300"/>
      </w:pPr>
      <w:r>
        <w:rPr>
          <w:b/>
          <w:bCs/>
          <w:sz w:val="22"/>
          <w:szCs w:val="22"/>
        </w:rPr>
        <w:t xml:space="preserve">SEKCJA 6: POSTĘPOWANIE W PRZYPADKU NIEZAMIERZONEGO UWOLNIENIA DO ŚRODOWISKA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 Indywidualne środki ostrożności: Zapewnić odpowiednią wentylację.</w:t>
      </w:r>
    </w:p>
    <w:p>
      <w:pPr>
        <w:pBdr>
          <w:bottom w:color="00A651" w:sz="12" w:space="1"/>
        </w:pBdr>
        <w:spacing w:after="150" w:before="300"/>
      </w:pPr>
      <w:r>
        <w:rPr>
          <w:b/>
          <w:bCs/>
          <w:sz w:val="22"/>
          <w:szCs w:val="22"/>
        </w:rPr>
        <w:t xml:space="preserve">SEKCJA 7: POSTĘPOWANIE Z SUBSTANCJAMI I MIESZANINAMI ORAZ ICH MAGAZYNOWANIE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7.1. Środki ostrożności: Unikać kontaktu ze skórą i oczami.</w:t>
      </w:r>
    </w:p>
    <w:p>
      <w:pPr>
        <w:pBdr>
          <w:bottom w:color="00A651" w:sz="12" w:space="1"/>
        </w:pBdr>
        <w:spacing w:after="150" w:before="300"/>
      </w:pPr>
      <w:r>
        <w:rPr>
          <w:b/>
          <w:bCs/>
          <w:sz w:val="22"/>
          <w:szCs w:val="22"/>
        </w:rPr>
        <w:t xml:space="preserve">SEKCJA 8: KONTROLA NARAŻENIA/ŚRODKI OCHRONY INDYWIDUALNEJ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8.1. Parametry dotyczące kontroli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[FLAGA_QUARANTINE_REVIEW] Algorytm zablokował zagraniczne limity OEL/MAK/TLV.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KRYTYCZNE: Safety Assessor ma obowiązek uzupełnić poniższe wartości o polskie limity NDS, NDSCh, NDSP zgodnie z Dz.U. 2018 poz. 1286.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- [CAS: 32210-23-4]: NDS: ______ | NDSCh: ______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- [CAS: 104-55-2]: NDS: ______ | NDSCh: ______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- [CAS: 55965-84-9]: NDS: ______ | NDSCh: ______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8.2. Kontrola narażenia: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Ochrona rąk: Rękawice ochronne zgodne z normą EN 374. Ochrona oczu: Okulary ochronne (EN 166).</w:t>
      </w:r>
    </w:p>
    <w:p>
      <w:pPr>
        <w:pBdr>
          <w:bottom w:color="00A651" w:sz="12" w:space="1"/>
        </w:pBdr>
        <w:spacing w:after="150" w:before="300"/>
      </w:pPr>
      <w:r>
        <w:rPr>
          <w:b/>
          <w:bCs/>
          <w:sz w:val="22"/>
          <w:szCs w:val="22"/>
        </w:rPr>
        <w:t xml:space="preserve">SEKCJA 9: WŁAŚCIWOŚCI FIZYCZNE I CHEMICZNE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Stan skupienia: Ciecz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Barwa: Charakterystyczna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Zapach: Zgodny ze wzorcem</w:t>
      </w:r>
    </w:p>
    <w:p>
      <w:pPr>
        <w:pBdr>
          <w:bottom w:color="00A651" w:sz="12" w:space="1"/>
        </w:pBdr>
        <w:spacing w:after="150" w:before="300"/>
      </w:pPr>
      <w:r>
        <w:rPr>
          <w:b/>
          <w:bCs/>
          <w:sz w:val="22"/>
          <w:szCs w:val="22"/>
        </w:rPr>
        <w:t xml:space="preserve">SEKCJA 10: STABILNOŚĆ I REAKTYWNOŚĆ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10.1. Reaktywność: Brak szczególnych zagrożeń.</w:t>
      </w:r>
    </w:p>
    <w:p>
      <w:pPr>
        <w:pBdr>
          <w:bottom w:color="00A651" w:sz="12" w:space="1"/>
        </w:pBdr>
        <w:spacing w:after="150" w:before="300"/>
      </w:pPr>
      <w:r>
        <w:rPr>
          <w:b/>
          <w:bCs/>
          <w:sz w:val="22"/>
          <w:szCs w:val="22"/>
        </w:rPr>
        <w:t xml:space="preserve">SEKCJA 11: INFORMACJE TOKSYKOLOGICZNE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11.1. Informacje na temat klas zagrożenia: Nie sklasyfikowano.</w:t>
      </w:r>
    </w:p>
    <w:p>
      <w:pPr>
        <w:pBdr>
          <w:bottom w:color="00A651" w:sz="12" w:space="1"/>
        </w:pBdr>
        <w:spacing w:after="150" w:before="300"/>
      </w:pPr>
      <w:r>
        <w:rPr>
          <w:b/>
          <w:bCs/>
          <w:sz w:val="22"/>
          <w:szCs w:val="22"/>
        </w:rPr>
        <w:t xml:space="preserve">SEKCJA 12: INFORMACJE EKOLOGICZNE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12.1. Toksyczność: Brak danych.</w:t>
      </w:r>
    </w:p>
    <w:p>
      <w:pPr>
        <w:pBdr>
          <w:bottom w:color="00A651" w:sz="12" w:space="1"/>
        </w:pBdr>
        <w:shd w:fill="FFF9E6" w:val="clear"/>
        <w:spacing w:after="150" w:before="300"/>
      </w:pPr>
      <w:r>
        <w:rPr>
          <w:b/>
          <w:bCs/>
          <w:sz w:val="22"/>
          <w:szCs w:val="22"/>
        </w:rPr>
        <w:t xml:space="preserve">SEKCJA 13: POSTĘPOWANIE Z ODPADAMI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13.1. Metody unieszkodliwiania odpadów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[FLAGA_QUARANTINE_REVIEW] Wymagane nadanie 6-cyfrowego kodu odpadu według katalogu BDO przez Safety Assessora.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Odpadowy produkt należy poddać odzyskowi lub likwidować w uprawnionych spalarniach lub zakładach utylizacji/unieszkodliwiania odpadów, zgodnie z obowiązującymi przepisami. Nie wprowadzać do kanalizacji.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Krajowe akty prawne: ustawa o odpadach (t.j. Dz. U. 2023, poz. 1587 wraz z późn. zm.), ustawa o gospodarce opakowaniami i odpadami opakowaniowymi (tj. Dz. U. 2023, poz. 1658 wraz z późn. zm.).</w:t>
      </w:r>
    </w:p>
    <w:p>
      <w:pPr>
        <w:pBdr>
          <w:bottom w:color="00A651" w:sz="12" w:space="1"/>
        </w:pBdr>
        <w:spacing w:after="150" w:before="300"/>
      </w:pPr>
      <w:r>
        <w:rPr>
          <w:b/>
          <w:bCs/>
          <w:sz w:val="22"/>
          <w:szCs w:val="22"/>
        </w:rPr>
        <w:t xml:space="preserve">SEKCJA 14: INFORMACJE DOTYCZĄCE TRANSPORTU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Towar nie jest niebezpieczny w rozumieniu przepisów transportowych (ADR, RID, IMDG, IATA).</w:t>
      </w:r>
    </w:p>
    <w:p>
      <w:pPr>
        <w:pBdr>
          <w:bottom w:color="00A651" w:sz="12" w:space="1"/>
        </w:pBdr>
        <w:shd w:fill="FFF9E6" w:val="clear"/>
        <w:spacing w:after="150" w:before="300"/>
      </w:pPr>
      <w:r>
        <w:rPr>
          <w:b/>
          <w:bCs/>
          <w:sz w:val="22"/>
          <w:szCs w:val="22"/>
        </w:rPr>
        <w:t xml:space="preserve">SEKCJA 15: INFORMACJE DOTYCZĄCE PRZEPISÓW PRAWNYCH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15.1. Przepisy prawne dotyczące bezpieczeństwa, zdrowia i ochrony środowiska specyficzne dla substancji lub mieszaniny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Prawodawstwo Unii Europejskiej: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Rozporządzenie (WE) nr 1907/2006 Parlamentu Europejskiego i Rady z dnia 18 grudnia 2006 r. w sprawie rejestracji, oceny, udzielania zezwoleń i stosowanych ograniczeń w zakresie chemikaliów (REACH) z późniejszymi zmianami.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Rozporządzenie Komisji (UE) 2020/878 z dnia 18 czerwca 2020 r. zmieniające załącznik II do rozporządzenia (WE) nr 1907/2006 (wymogi dotyczące sporządzania kart charakterystyki).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Rozporządzenie Parlamentu Europejskiego i Rady (WE) nr 1272/2008 z dnia 16 grudnia 2008 r. w sprawie klasyfikacji, oznakowania i pakowania substancji i mieszanin (CLP) z późniejszymi zmianami (ATP).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Rozporządzenie (WE) nr 648/2004 Parlamentu Europejskiego i Rady z dnia 31 marca 2004 r. w sprawie detergentów z późniejszymi zmianami (Uwaga dla algorytmu: pozostawić, jeśli produkt jest detergentem/środkiem czystości).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Kandydacka lista substancji wzbudzających szczególnie duże obawy (SVHC) podlegających procedurze udzielania zezwoleń (REACH załącznik XIV): Mieszanina nie zawiera substancji z listy SVHC w stężeniu &gt;= 0,1%.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Ograniczenia dotyczące produkcji, wprowadzania do obrotu i stosowania niektórych niebezpiecznych substancji, preparatów i wyrobów (REACH załącznik XVII): Nie dotyczy (chyba że w sekcji 3 zidentyfikowano składniki podlegające restrykcjom).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Dyrektywa Parlamentu Europejskiego i Rady 2012/18/UE (Seveso III): Mieszanina nie podlega.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Prawodawstwo Rzeczypospolitej Polskiej: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Ustawa z dnia 25 lutego 2011 r. o substancjach chemicznych i ich mieszaninach (Dz.U. 2011 nr 63 poz. 322 z późn. zm.).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Rozporządzenie Ministra Rodziny, Pracy i Polityki Społecznej z dnia 12 czerwca 2018 r. w sprawie najwyższych dopuszczalnych stężeń i natężeń czynników szkodliwych dla zdrowia w środowisku pracy (Dz.U. 2018 poz. 1286 z późn. zm.).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Ustawa z dnia 14 grudnia 2012 r. o odpadach (Dz.U. 2013 poz. 21 z późn. zm.) oraz przepisy wykonawcze do ustawy.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Ustawa z dnia 13 czerwca 2013 r. o gospodarce opakowaniami i odpadach opakowaniowych (Dz.U. 2013 poz. 888 z późn. zm.).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Rozporządzenie Ministra Zdrowia z dnia 2 lutego 2011 r. w sprawie badań i pomiarów czynników szkodliwych dla zdrowia w środowisku pracy (Dz.U. 2011 nr 33 poz. 166).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Ustawa z dnia 19 sierpnia 2011 r. o przewozie towarów niebezpiecznych (Dz.U. 2011 nr 227 poz. 1367 z późn. zm.) wraz z oświadczeniami rządowymi w sprawie Umowy europejskiej dotyczącej międzynarodowego przewozu drogowego towarów niebezpiecznych (ADR).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Rozporządzenie Ministra Zdrowia z dnia 30 grudnia 2004 r. w sprawie bezpieczeństwa i higieny pracy związanej z występowaniem w miejscu pracy czynników chemicznych (Dz.U. 2005 nr 11 poz. 86 z późn. zm.).</w:t>
      </w:r>
    </w:p>
    <w:p>
      <w:pPr>
        <w:pBdr>
          <w:bottom w:color="00A651" w:sz="12" w:space="1"/>
        </w:pBdr>
        <w:spacing w:after="150" w:before="300"/>
      </w:pPr>
      <w:r>
        <w:rPr>
          <w:b/>
          <w:bCs/>
          <w:sz w:val="22"/>
          <w:szCs w:val="22"/>
        </w:rPr>
        <w:t xml:space="preserve">SEKCJA 16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SECTION 16: Other information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document was prepared by a competent person who has received appropriate training.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 bibliographic sources: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CodeDescription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EUH071Corrosive to the respiratory tract.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H301Toxic if swallowed.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H310Fatal in contact with skin.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H314Causes severe skin burns and eye damage.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H315Causes skin irritation.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H317May cause an allergic skin reaction.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H318Causes serious eye damage.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H319Causes serious eye irritation.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H330Fatal if inhaled.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H400Very toxic to aquatic life.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H410Very toxic to aquatic life with long lasting effects.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CodeHazard class and hazard categoryDescription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3.1/2/DermalAcute Tox. 2Acute toxicity (dermal), Category 2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3.1/2/InhalAcute Tox. 2Acute toxicity (inhalation), Category 2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3.1/3/OralAcute Tox. 3Acute toxicity (oral), Category 3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3.2/1CSkin Corr. 1CSkin corrosion, Category 1C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3.2/2Skin Irrit. 2Skin irritation, Category 2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3.3/1Eye Dam. 1Serious eye damage, Category 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3.3/2Eye Irrit. 2Eye irritation, Category 2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3.4.2/1ASkin Sens. 1ASkin Sensitisation, Category 1A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3.4.2/1BSkin Sens. 1BSkin Sensitisation, Category 1B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4.1/A1Aquatic Acute 1Acute aquatic hazard, category 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4.1/C1Aquatic Chronic 1Chronic (long term) aquatic hazard, category 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 n.of79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07/03/2026Production NameSWEET HOME LAYALI - PROFUMA TESSUTI E AMBIENTE NAJMADate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 bibliographic sources: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ECDIN - Environmental Chemicals Data and Information Network - Joint Research Centre, Commission of the European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Communities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SAX's DANGEROUS PROPERTIES OF INDUSTRIAL MATERIALS - Eight Edition - Van Nostrand Reinold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information contained herein is based on our state of knowledge at the above-specified date. It refers solely to the product indicated and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constitutes no guarantee of particular quality.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 is the duty of the user to ensure that this information is appropriate and complete with respect to the specific use intended.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MSDS cancels and replaces any preceding release.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Legend to abbreviations and acronyms used in the safety data sheet: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ACGIH: American Conference of Governmental Industrial Hygienists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ADR: European Agreement concerning the International Carriage of Dangerous Goods by Road.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AND: European Agreement concerning the International Carriage of Dangerous Goods by Inland Waterways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ATE: Acute Toxicity Estimate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ATEmix: Acute toxicity Estimate (Mixtures)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BCF: Biological Concentration Factor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BEI: Biological Exposure Index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BOD: Biochemical Oxygen Demand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CAS: Chemical Abstracts Service (division of the American Chemical Society).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CAV: Poison Center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CE: European Community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CLP: Classification, Labeling, Packaging.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CMR: Carcinogenic, Mutagenic and Reprotoxic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COD: Chemical Oxygen Demand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COV: Volatile Organic Compound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CSA: Chemical Safety Assessment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CSR: Chemical Safety Report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DMEL: Derived Minimal Effect Level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DNEL:</w:t>
      </w:r>
      <w:r>
        <w:rPr>
          <w:rFonts w:ascii="Arial" w:cs="Arial" w:eastAsia="Arial" w:hAnsi="Arial"/>
          <w:sz w:val="20"/>
          <w:szCs w:val="20"/>
        </w:rPr>
        <w:t xml:space="preserve"> Derived No Effect Level.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DPD: Dangerous Preparations Directive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DSD: Dangerous Substances Directive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EC50: Half Maximal Effective Concentration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ECHA: European Chemicals Agency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EINECS: European Inventory of Existing Commercial Chemical Substances.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ES: Exposure Scenario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GefStoffVO: Ordinance on Hazardous Substances, Germany.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GHS: Globally Harmonized System of Classification and Labeling of Chemicals.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IARC: International Agency for Research on Cancer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IATA: International Air Transport Association.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IATA-DGR: Dangerous Goods Regulation by the "International Air Transport Association" (IATA).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IC50: half maximal inhibitory concentration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ICAO: International Civil Aviation Organization.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ICAO-TI: Technical Instructions by the "International Civil Aviation Organization" (ICAO).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IMDG: International Maritime Code for Dangerous Goods.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INCI: International Nomenclature of Cosmetic Ingredients.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IRCCS: Scientific Institute for Research, Hospitalization and Health Care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KAFH: Keep Away From Heat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KSt: Explosion coefficient.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LC50: Lethal concentration, for 50 percent of test population.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LD50: Lethal dose, for 50 percent of test population.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LDLo: Leathal Dose Low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N.A.: Not Applicable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N/A: Not Applicable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N/D: Not defined/ Not available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NA: Not available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NIOSH: National Institute for Occupational Safety and Health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NOAEL: No Observed Adverse Effect Level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OSHA: Occupational Safety and Health Administration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PBT: Persistent, Bioaccumulative and Toxic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PGK: Packaging Instruction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PNEC:</w:t>
      </w:r>
      <w:r>
        <w:rPr>
          <w:rFonts w:ascii="Arial" w:cs="Arial" w:eastAsia="Arial" w:hAnsi="Arial"/>
          <w:sz w:val="20"/>
          <w:szCs w:val="20"/>
        </w:rPr>
        <w:t xml:space="preserve"> Predicted No Effect Concentration.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PSG: Passengers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RID: Regulation Concerning the International Transport of Dangerous Goods by Rail.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 n.of89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07/03/2026Production NameSWEET HOME LAYALI - PROFUMA TESSUTI E AMBIENTE NAJMADate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STEL: Short Term Exposure limit.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STOT: Specific Target Organ Toxicity.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TLV: Threshold Limiting Value.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TWATLV: Threshold Limit Value for the Time Weighted Average 8 hour day. (ACGIH Standard).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vPvB: Very Persistent, Very Bioaccumulative.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WGK: German Water Hazard Class.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 n.of99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07/03/2026Production NameSWEET HOME LAYALI - PROFUMA TESSUTI E AMBIENTE NAJMADate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</w:rPr>
      <w:t xml:space="preserve">Strona </w:t>
    </w:r>
    <w:r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</w:rPr>
      <w:t xml:space="preserve"> z </w:t>
    </w:r>
    <w:r>
      <w:rPr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</w:rPr>
      <w:t xml:space="preserve">SDS | SWEET HOME LAYALI - PROFUMA TESSUTI E AMBIENTE NAJMA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2026-09-11T12:19:50.361Z</dcterms:created>
  <dcterms:modified xsi:type="dcterms:W3CDTF">2026-09-11T12:19:50.361Z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