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6"/>
          <w:szCs w:val="36"/>
        </w:rPr>
        <w:t xml:space="preserve">Karta Charakterystyki</w:t>
      </w:r>
    </w:p>
    <w:p>
      <w:pPr>
        <w:spacing w:after="300"/>
        <w:jc w:val="center"/>
      </w:pPr>
      <w:r>
        <w:rPr>
          <w:sz w:val="16"/>
          <w:szCs w:val="16"/>
        </w:rPr>
        <w:t xml:space="preserve">[Sporządzona zgodnie z rozporządzeniem WE 1907/2006(REACH) wraz z późn. zm.]</w:t>
      </w:r>
    </w:p>
    <w:p>
      <w:pPr>
        <w:spacing w:after="400"/>
        <w:jc w:val="right"/>
      </w:pPr>
      <w:r>
        <w:rPr>
          <w:sz w:val="16"/>
          <w:szCs w:val="16"/>
        </w:rPr>
        <w:t xml:space="preserve">Data wystawienia: 15.09.2026</w:t>
      </w:r>
      <w:r>
        <w:rPr>
          <w:sz w:val="16"/>
          <w:szCs w:val="16"/>
        </w:rPr>
        <w:t xml:space="preserve">
Wersja: 1.0 PL</w:t>
      </w: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before="80"/>
      </w:pPr>
      <w:r>
        <w:rPr>
          <w:rFonts w:ascii="Arial" w:cs="Arial" w:eastAsia="Arial" w:hAnsi="Arial"/>
          <w:b/>
          <w:bCs/>
          <w:sz w:val="20"/>
          <w:szCs w:val="20"/>
        </w:rPr>
        <w:t xml:space="preserve">Zastosowanie zidentyfikowane:</w:t>
      </w:r>
      <w:r>
        <w:rPr>
          <w:rFonts w:ascii="Arial" w:cs="Arial" w:eastAsia="Arial" w:hAnsi="Arial"/>
          <w:sz w:val="20"/>
          <w:szCs w:val="20"/>
        </w:rPr>
        <w:t xml:space="preserve"> Zastosowanie konsumenckie: odświeżacz powietrza (dyfuzor zapachowy do wnętrz).</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Wszelkie inne zastosowania nieprzewidziane przez producenta (nie stosować do celów przemysłowych ani profesjonalnych).</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MITRANS Weronika Grzesiak</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 woj. wielkopolskie</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kontakt@prostozwloch.com.pl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pPr>
      <w:r>
        <w:rPr>
          <w:rFonts w:ascii="Arial" w:cs="Arial" w:eastAsia="Arial" w:hAnsi="Arial"/>
          <w:sz w:val="20"/>
          <w:szCs w:val="20"/>
        </w:rPr>
        <w:t xml:space="preserve">Piktogramy określające rodzaj zagrożenia:</w:t>
      </w:r>
    </w:p>
    <w:p>
      <w:pPr>
        <w:spacing w:after="80"/>
      </w:pPr>
      <w:r>
        <w:rPr>
          <w:rFonts w:ascii="Arial" w:cs="Arial" w:eastAsia="Arial" w:hAnsi="Arial"/>
          <w:sz w:val="20"/>
          <w:szCs w:val="20"/>
        </w:rPr>
        <w:t xml:space="preserve">GH02: płomień</w:t>
      </w:r>
    </w:p>
    <w:p>
      <w:pPr>
        <w:spacing w:after="80"/>
      </w:pPr>
      <w:r>
        <w:rPr>
          <w:rFonts w:ascii="Arial" w:cs="Arial" w:eastAsia="Arial" w:hAnsi="Arial"/>
          <w:sz w:val="20"/>
          <w:szCs w:val="20"/>
        </w:rPr>
        <w:t xml:space="preserve">GH07: wykrzyknik</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substancji spełniających kryteria PBT lub vPvB zgodnie z załącznikiem XIII do rozporządzenia (WE) nr 1907/2006 (REACH) w stężeniu ≥ 0,1% wag.</w:t>
      </w:r>
    </w:p>
    <w:p>
      <w:pPr>
        <w:spacing w:after="80"/>
      </w:pPr>
      <w:r>
        <w:rPr>
          <w:rFonts w:ascii="Arial" w:cs="Arial" w:eastAsia="Arial" w:hAnsi="Arial"/>
          <w:sz w:val="20"/>
          <w:szCs w:val="20"/>
        </w:rPr>
        <w:t xml:space="preserve">Produkt nie zawiera substancji o właściwościach zaburzających funkcjonowanie układu hormonalnego zgodnie z kryteriami określonymi w rozporządzeniu delegowanym Komisji (UE) 2017/2100 lub rozporządzeniu Komisji (UE) 2018/605 w stężeniu ≥ 0,1% wag.</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należy skontaktować się z lekarzem i pokazać mu niniejszą kartę.</w:t>
      </w:r>
    </w:p>
    <w:p>
      <w:pPr>
        <w:spacing w:after="80"/>
      </w:pPr>
      <w:r>
        <w:rPr>
          <w:rFonts w:ascii="Arial" w:cs="Arial" w:eastAsia="Arial" w:hAnsi="Arial"/>
          <w:sz w:val="20"/>
          <w:szCs w:val="20"/>
        </w:rPr>
        <w:t xml:space="preserve">W przypadku wystąpienia cięższych objawów należy wezwać natychmiastową pomoc medyczną.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Natychmiast przepłukiwać dużą ilością wody przez co najmniej 15 minut, całkowicie otwierając powieki. Zasięgnąć porady / zgłosić się pod opiekę lekarza.</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Zdjąć zanieczyszczoną odzież. Natychmiast i dokładnie zmyć bieżącą wodą (oraz mydłem, jeśli to możliwe). Zasięgnąć porady lekarza. Unikać ponownego kontaktu ze skażoną odzieżą.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Zasięgnąć porady / zgłosić się pod opiekę lekarza.</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lub wynieść poszkodowanego na świeże powietrze, z dala od miejsca wypadku. Zasięgnąć porady / 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dla osób udzielających pomocy poszkodowanemu narażonemu na działanie substancji chemicznej lub mieszaniny jest stosowanie środków ochrony indywidualnej. Rodzaj takiej ochrony zależy od poziomu zagrożenia stwarzanego przez substancję lub mieszaninę, od rodzaju narażenia oraz od stopnia skażenia. W przypadku braku innych, bardziej szczegółowych wskazań, zaleca się stosowanie rękawic jednorazowych na wypadek potencjalnego kontaktu z płynami ustrojowymi. Informacje na temat środków ochrony indywidualnej odpowiednich do właściwości substancji lub mieszaniny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pPr>
      <w:r>
        <w:rPr>
          <w:rFonts w:ascii="Arial" w:cs="Arial" w:eastAsia="Arial" w:hAnsi="Arial"/>
          <w:sz w:val="20"/>
          <w:szCs w:val="20"/>
        </w:rPr>
        <w:t xml:space="preserve">Szczegółowe informacje dotyczące objawów i skutków wywoływanych przez produkt nie są znane.</w:t>
      </w:r>
    </w:p>
    <w:p>
      <w:pPr>
        <w:spacing w:after="80"/>
      </w:pPr>
      <w:r>
        <w:rPr>
          <w:rFonts w:ascii="Arial" w:cs="Arial" w:eastAsia="Arial" w:hAnsi="Arial"/>
          <w:sz w:val="20"/>
          <w:szCs w:val="20"/>
        </w:rPr>
        <w:t xml:space="preserve">SKUTKI OPÓŹNIONE: Na podstawie aktualnie dostępnych informacji nie są znane przypadki wystąpienia opóźnionych skutków w następstwie narażenia na ten produkt.</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zarówno ostrych, jak i opóźnionych, należy skonsultować się z lekarzem.</w:t>
      </w:r>
    </w:p>
    <w:p>
      <w:pPr>
        <w:spacing w:after="80"/>
      </w:pPr>
      <w:r>
        <w:rPr>
          <w:rFonts w:ascii="Arial" w:cs="Arial" w:eastAsia="Arial" w:hAnsi="Arial"/>
          <w:sz w:val="20"/>
          <w:szCs w:val="20"/>
        </w:rPr>
        <w:t xml:space="preserve">Środki, które powinny być dostępne w miejscu pracy w celu podjęcia natychmiastowego i specjalistycznego leczenia:</w:t>
      </w:r>
    </w:p>
    <w:p>
      <w:pPr>
        <w:spacing w:after="80"/>
      </w:pPr>
      <w:r>
        <w:rPr>
          <w:rFonts w:ascii="Arial" w:cs="Arial" w:eastAsia="Arial" w:hAnsi="Arial"/>
          <w:sz w:val="20"/>
          <w:szCs w:val="20"/>
        </w:rPr>
        <w:t xml:space="preserve">Bieżąca woda do przemywania skóry i oczu.</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pPr>
      <w:r>
        <w:rPr>
          <w:rFonts w:ascii="Arial" w:cs="Arial" w:eastAsia="Arial" w:hAnsi="Arial"/>
          <w:sz w:val="20"/>
          <w:szCs w:val="20"/>
        </w:rPr>
        <w:t xml:space="preserve">ODPOWIEDNIE ŚRODKI GAŚNICZE</w:t>
      </w:r>
    </w:p>
    <w:p>
      <w:pPr>
        <w:spacing w:after="80"/>
      </w:pPr>
      <w:r>
        <w:rPr>
          <w:rFonts w:ascii="Arial" w:cs="Arial" w:eastAsia="Arial" w:hAnsi="Arial"/>
          <w:sz w:val="20"/>
          <w:szCs w:val="20"/>
        </w:rPr>
        <w:t xml:space="preserve">Odpowiednimi środkami gaśniczymi są: ditlenek węgla, piana, proszek gaśniczy. W przypadku wycieku lub rozlania produktu, który nie uległ zapłonowi, można zastosować rozpyloną wodę w celu rozproszenia łatwopalnych par i ochrony osób podejmujących próbę zatamowania wycieku.</w:t>
      </w:r>
    </w:p>
    <w:p>
      <w:pPr>
        <w:spacing w:after="80"/>
      </w:pPr>
      <w:r>
        <w:rPr>
          <w:rFonts w:ascii="Arial" w:cs="Arial" w:eastAsia="Arial" w:hAnsi="Arial"/>
          <w:sz w:val="20"/>
          <w:szCs w:val="20"/>
        </w:rPr>
        <w:t xml:space="preserve">NIEODPOWIEDNIE ŚRODKI GAŚNICZE</w:t>
      </w:r>
    </w:p>
    <w:p>
      <w:pPr>
        <w:spacing w:after="80"/>
      </w:pPr>
      <w:r>
        <w:rPr>
          <w:rFonts w:ascii="Arial" w:cs="Arial" w:eastAsia="Arial" w:hAnsi="Arial"/>
          <w:sz w:val="20"/>
          <w:szCs w:val="20"/>
        </w:rPr>
        <w:t xml:space="preserve">Nie stosować zwartych strumieni wody. Woda nie jest skuteczna w gaszeniu ognia, lecz może być stosowana do chłodzenia zbiorników narażonych na działanie płomieni w celu zapobieżenia wybuchom.</w:t>
      </w:r>
    </w:p>
    <w:p>
      <w:pPr>
        <w:spacing w:after="100" w:before="200"/>
      </w:pPr>
      <w:r>
        <w:rPr>
          <w:rFonts w:ascii="Arial" w:cs="Arial" w:eastAsia="Arial" w:hAnsi="Arial"/>
          <w:b/>
          <w:bCs/>
          <w:sz w:val="20"/>
          <w:szCs w:val="20"/>
        </w:rPr>
        <w:t xml:space="preserve">5.2. Szczególne zagrożenia związane z substancją lub mieszaniną</w:t>
      </w:r>
    </w:p>
    <w:p>
      <w:pPr>
        <w:spacing w:after="80"/>
      </w:pPr>
      <w:r>
        <w:rPr>
          <w:rFonts w:ascii="Arial" w:cs="Arial" w:eastAsia="Arial" w:hAnsi="Arial"/>
          <w:sz w:val="20"/>
          <w:szCs w:val="20"/>
        </w:rPr>
        <w:t xml:space="preserve">ZAGROŻENIA WYNIKAJĄCE Z NARAŻENIA W PRZYPADKU POŻARU</w:t>
      </w:r>
    </w:p>
    <w:p>
      <w:pPr>
        <w:spacing w:after="80"/>
      </w:pPr>
      <w:r>
        <w:rPr>
          <w:rFonts w:ascii="Arial" w:cs="Arial" w:eastAsia="Arial" w:hAnsi="Arial"/>
          <w:sz w:val="20"/>
          <w:szCs w:val="20"/>
        </w:rPr>
        <w:t xml:space="preserve">W zbiornikach narażonych na działanie ognia może powstać nadciśnienie grożące wybuchem. Nie wdychać produktów spalania.</w:t>
      </w:r>
    </w:p>
    <w:p>
      <w:pPr>
        <w:spacing w:after="100" w:before="200"/>
      </w:pPr>
      <w:r>
        <w:rPr>
          <w:rFonts w:ascii="Arial" w:cs="Arial" w:eastAsia="Arial" w:hAnsi="Arial"/>
          <w:b/>
          <w:bCs/>
          <w:sz w:val="20"/>
          <w:szCs w:val="20"/>
        </w:rPr>
        <w:t xml:space="preserve">5.3. Informacje dla straży pożarnej</w:t>
      </w:r>
    </w:p>
    <w:p>
      <w:pPr>
        <w:spacing w:after="80"/>
      </w:pPr>
      <w:r>
        <w:rPr>
          <w:rFonts w:ascii="Arial" w:cs="Arial" w:eastAsia="Arial" w:hAnsi="Arial"/>
          <w:sz w:val="20"/>
          <w:szCs w:val="20"/>
        </w:rPr>
        <w:t xml:space="preserve">INFORMACJE OGÓLNE</w:t>
      </w:r>
    </w:p>
    <w:p>
      <w:pPr>
        <w:spacing w:after="80"/>
      </w:pPr>
      <w:r>
        <w:rPr>
          <w:rFonts w:ascii="Arial" w:cs="Arial" w:eastAsia="Arial" w:hAnsi="Arial"/>
          <w:sz w:val="20"/>
          <w:szCs w:val="20"/>
        </w:rPr>
        <w:t xml:space="preserve">Stosować strumienie wody do chłodzenia pojemników, aby zapobiec rozkładowi produktu i powstawaniu substancji potencjalnie niebezpiecznych dla zdrowia. Należy zawsze nosić kompletny sprzęt ochrony przeciwpożarowej. Zbierać wodę użytą do gaszenia pożaru, aby zapobiec jej przedostaniu się do kanalizacji. Zanieczyszczoną wodę gaśniczą oraz pozostałości po pożarze usuwać zgodnie z obowiązującymi przepisami.</w:t>
      </w:r>
    </w:p>
    <w:p>
      <w:pPr>
        <w:spacing w:after="80"/>
      </w:pPr>
      <w:r>
        <w:rPr>
          <w:rFonts w:ascii="Arial" w:cs="Arial" w:eastAsia="Arial" w:hAnsi="Arial"/>
          <w:sz w:val="20"/>
          <w:szCs w:val="20"/>
        </w:rPr>
        <w:t xml:space="preserve">SPECJALNY SPRZĘT OCHRONNY DLA STRAŻAKÓW</w:t>
      </w:r>
    </w:p>
    <w:p>
      <w:pPr>
        <w:spacing w:after="80"/>
      </w:pPr>
      <w:r>
        <w:rPr>
          <w:rFonts w:ascii="Arial" w:cs="Arial" w:eastAsia="Arial" w:hAnsi="Arial"/>
          <w:sz w:val="20"/>
          <w:szCs w:val="20"/>
        </w:rPr>
        <w:t xml:space="preserve">Standardowa odzież strażacka, tj. ubranie specjalne (zgodne z normą PN-EN 469), rękawice (zgodne z normą PN-EN 659) i buty strażackie (zgodne ze specyfikacją HO A29 i A30), w połączeniu z autonomicznym aparatem oddechowym na sprężone powietrze o obiegu otwartym i nadciśnieniu (zgodnym z normą PN-EN 137).</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wyposażenie ochronne i procedury w sytuacjach awaryjnych</w:t>
      </w:r>
    </w:p>
    <w:p>
      <w:pPr>
        <w:spacing w:after="80"/>
      </w:pPr>
      <w:r>
        <w:rPr>
          <w:rFonts w:ascii="Arial" w:cs="Arial" w:eastAsia="Arial" w:hAnsi="Arial"/>
          <w:sz w:val="20"/>
          <w:szCs w:val="20"/>
        </w:rPr>
        <w:t xml:space="preserve">Zatamować wyciek, o ile nie wiąże się to z zagrożeniem.</w:t>
      </w:r>
    </w:p>
    <w:p>
      <w:pPr>
        <w:spacing w:after="80"/>
      </w:pPr>
      <w:r>
        <w:rPr>
          <w:rFonts w:ascii="Arial" w:cs="Arial" w:eastAsia="Arial" w:hAnsi="Arial"/>
          <w:sz w:val="20"/>
          <w:szCs w:val="20"/>
        </w:rPr>
        <w:t xml:space="preserve">Stosować odpowiednie wyposażenie ochronne (w tym środki ochrony indywidualnej wymienione w sekcji 8 karty charakterystyki), aby zapobiec skażeniu skóry, oczu i odzieży osobistej. Wskazania te dotyczą zarówno pracowników produkcyjnych, jak i personelu biorącego udział w akcji ratowniczej.</w:t>
      </w:r>
    </w:p>
    <w:p>
      <w:pPr>
        <w:spacing w:after="80"/>
      </w:pPr>
      <w:r>
        <w:rPr>
          <w:rFonts w:ascii="Arial" w:cs="Arial" w:eastAsia="Arial" w:hAnsi="Arial"/>
          <w:sz w:val="20"/>
          <w:szCs w:val="20"/>
        </w:rPr>
        <w:t xml:space="preserve">Oddalić osoby niewyposażone w odpowiedni sprzęt ochronny. Używać sprzętu w wykonaniu przeciwwybuchowym. Wyeliminować wszelkie źródła zapłonu (papierosy, płomienie, iskry itp.) z miejsca uwolnienia.</w:t>
      </w:r>
    </w:p>
    <w:p>
      <w:pPr>
        <w:spacing w:after="100" w:before="200"/>
      </w:pPr>
      <w:r>
        <w:rPr>
          <w:rFonts w:ascii="Arial" w:cs="Arial" w:eastAsia="Arial" w:hAnsi="Arial"/>
          <w:b/>
          <w:bCs/>
          <w:sz w:val="20"/>
          <w:szCs w:val="20"/>
        </w:rPr>
        <w:t xml:space="preserve">6.2. Środki ostrożności w zakresie ochrony środowiska</w:t>
      </w:r>
    </w:p>
    <w:p>
      <w:pPr>
        <w:spacing w:after="80"/>
      </w:pPr>
      <w:r>
        <w:rPr>
          <w:rFonts w:ascii="Arial" w:cs="Arial" w:eastAsia="Arial" w:hAnsi="Arial"/>
          <w:sz w:val="20"/>
          <w:szCs w:val="20"/>
        </w:rPr>
        <w:t xml:space="preserve">Nie dopuścić do przedostania się produktu do kanalizacji, wód powierzchniowych ani wód gruntowych.</w:t>
      </w:r>
    </w:p>
    <w:p>
      <w:pPr>
        <w:spacing w:after="100" w:before="200"/>
      </w:pPr>
      <w:r>
        <w:rPr>
          <w:rFonts w:ascii="Arial" w:cs="Arial" w:eastAsia="Arial" w:hAnsi="Arial"/>
          <w:b/>
          <w:bCs/>
          <w:sz w:val="20"/>
          <w:szCs w:val="20"/>
        </w:rPr>
        <w:t xml:space="preserve">6.3. Metody i materiały zapobiegające rozprzestrzenianiu się skażenia i służące do usuwania skażenia</w:t>
      </w:r>
    </w:p>
    <w:p>
      <w:pPr>
        <w:spacing w:after="80"/>
      </w:pPr>
      <w:r>
        <w:rPr>
          <w:rFonts w:ascii="Arial" w:cs="Arial" w:eastAsia="Arial" w:hAnsi="Arial"/>
          <w:sz w:val="20"/>
          <w:szCs w:val="20"/>
        </w:rPr>
        <w:t xml:space="preserve">Zebrać wyciekły produkt do odpowiedniego pojemnika. Ocenę kompatybilności zastosowanego pojemnika należy przeprowadzić na podstawie informacji w sekcji 10. Pozostałość zebrać za pomocą obojętnego materiału sorpcyjnego.</w:t>
      </w:r>
    </w:p>
    <w:p>
      <w:pPr>
        <w:spacing w:after="80"/>
      </w:pPr>
      <w:r>
        <w:rPr>
          <w:rFonts w:ascii="Arial" w:cs="Arial" w:eastAsia="Arial" w:hAnsi="Arial"/>
          <w:sz w:val="20"/>
          <w:szCs w:val="20"/>
        </w:rPr>
        <w:t xml:space="preserve">Zapewnić odpowiednią wentylację w miejscu wycieku. Usuwanie zanieczyszczonego materiału powinno odbywać się zgodnie z przepisami określonymi w punkcie 13.</w:t>
      </w:r>
    </w:p>
    <w:p>
      <w:pPr>
        <w:spacing w:after="100" w:before="200"/>
      </w:pPr>
      <w:r>
        <w:rPr>
          <w:rFonts w:ascii="Arial" w:cs="Arial" w:eastAsia="Arial" w:hAnsi="Arial"/>
          <w:b/>
          <w:bCs/>
          <w:sz w:val="20"/>
          <w:szCs w:val="20"/>
        </w:rPr>
        <w:t xml:space="preserve">6.4. Odniesienia do innych sekcji</w:t>
      </w:r>
    </w:p>
    <w:p>
      <w:pPr>
        <w:spacing w:after="80"/>
      </w:pPr>
      <w:r>
        <w:rPr>
          <w:rFonts w:ascii="Arial" w:cs="Arial" w:eastAsia="Arial" w:hAnsi="Arial"/>
          <w:sz w:val="20"/>
          <w:szCs w:val="20"/>
        </w:rPr>
        <w:t xml:space="preserve">Wszelkie informacje dotyczące ochrony indywidualnej oraz unieszkodliwiania odpadów podano w sekcjach 8 i 13.</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w:t>
      </w:r>
    </w:p>
    <w:p>
      <w:pPr>
        <w:spacing w:after="80"/>
      </w:pPr>
      <w:r>
        <w:rPr>
          <w:rFonts w:ascii="Arial" w:cs="Arial" w:eastAsia="Arial" w:hAnsi="Arial"/>
          <w:sz w:val="20"/>
          <w:szCs w:val="20"/>
        </w:rPr>
        <w:t xml:space="preserve">Przechowywać z dala od źródeł ciepła, iskrzenia i otwartego ognia; nie palić tytoniu, nie używać zapałek ani zapalniczek. Bez odpowiedniej wentylacji pary mogą gromadzić się przy podłożu i w przypadku zapłonu ulec spalaniu nawet na odległość, z ryzykiem cofnięcia się płomienia. Unikać gromadzenia się ładunków elektrostatycznych. Podczas wykonywania operacji przepompowywania z udziałem dużych pojemników połączyć instalację z systemem uziemiającym i stosować obuwie antystatyczne. Gwałtowne mieszanie i przepływ przez przewody rurowe oraz urządzenia mogą prowadzić do powstawania i gromadzenia się ładunków elektrostatycznych. W celu uniknięcia ryzyka pożaru i wybuchu nigdy nie stosować sprężonego powietrza podczas przeładunku. Ostrożnie otwierać pojemniki, ponieważ mogą znajdować się pod ciśnieniem. Nie jeść, nie pić i nie palić podczas stosowania. Unikać uwolnienia produktu do środowiska.</w:t>
      </w:r>
    </w:p>
    <w:p>
      <w:pPr>
        <w:spacing w:after="100" w:before="200"/>
      </w:pPr>
      <w:r>
        <w:rPr>
          <w:rFonts w:ascii="Arial" w:cs="Arial" w:eastAsia="Arial" w:hAnsi="Arial"/>
          <w:b/>
          <w:bCs/>
          <w:sz w:val="20"/>
          <w:szCs w:val="20"/>
        </w:rPr>
        <w:t xml:space="preserve">7.2. Warunki bezpiecznego magazynowania, w tym informacje dotyczące wszelkich wzajemnych niezgodności</w:t>
      </w:r>
    </w:p>
    <w:p>
      <w:pPr>
        <w:spacing w:after="80"/>
      </w:pPr>
      <w:r>
        <w:rPr>
          <w:rFonts w:ascii="Arial" w:cs="Arial" w:eastAsia="Arial" w:hAnsi="Arial"/>
          <w:sz w:val="20"/>
          <w:szCs w:val="20"/>
        </w:rPr>
        <w:t xml:space="preserve">Przechowywać wyłącznie w oryginalnym pojemniku. Przechowywać pojemniki szczelnie zamknięte, w dobrze wentylowanym miejscu, z dala od bezpośredniego działania promieni słonecznych. Przechowywać w chłodnym i dobrze wentylowanym miejscu, z dala od źródeł ciepła, otwartego ognia, iskier i innych źródeł zapłonu. Przechowywać pojemniki z dala od wszelkich materiałów niezgodnych, szczegółowe informacje podano w sekcji 10.</w:t>
      </w:r>
    </w:p>
    <w:p>
      <w:pPr>
        <w:spacing w:after="80"/>
      </w:pPr>
      <w:r>
        <w:rPr>
          <w:rFonts w:ascii="Arial" w:cs="Arial" w:eastAsia="Arial" w:hAnsi="Arial"/>
          <w:sz w:val="20"/>
          <w:szCs w:val="20"/>
        </w:rPr>
        <w:t xml:space="preserve">Klasa magazynowania TRGS 510 (Niemcy):</w:t>
      </w:r>
    </w:p>
    <w:p>
      <w:pPr>
        <w:spacing w:after="80"/>
      </w:pPr>
      <w:r>
        <w:rPr>
          <w:rFonts w:ascii="Arial" w:cs="Arial" w:eastAsia="Arial" w:hAnsi="Arial"/>
          <w:sz w:val="20"/>
          <w:szCs w:val="20"/>
        </w:rPr>
        <w:t xml:space="preserve">3</w:t>
      </w:r>
    </w:p>
    <w:p>
      <w:pPr>
        <w:spacing w:after="100" w:before="200"/>
      </w:pPr>
      <w:r>
        <w:rPr>
          <w:rFonts w:ascii="Arial" w:cs="Arial" w:eastAsia="Arial" w:hAnsi="Arial"/>
          <w:b/>
          <w:bCs/>
          <w:sz w:val="20"/>
          <w:szCs w:val="20"/>
        </w:rPr>
        <w:t xml:space="preserve">7.3. Szczególne zastosowania końcowe</w:t>
      </w:r>
    </w:p>
    <w:p>
      <w:pPr>
        <w:spacing w:after="80"/>
      </w:pPr>
      <w:r>
        <w:rPr>
          <w:rFonts w:ascii="Arial" w:cs="Arial" w:eastAsia="Arial" w:hAnsi="Arial"/>
          <w:sz w:val="20"/>
          <w:szCs w:val="20"/>
        </w:rPr>
        <w:t xml:space="preserve">Brak dostępnych danych</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80"/>
      </w:pPr>
      <w:r>
        <w:rPr>
          <w:rFonts w:ascii="Arial" w:cs="Arial" w:eastAsia="Arial" w:hAnsi="Arial"/>
          <w:sz w:val="20"/>
          <w:szCs w:val="20"/>
        </w:rPr>
        <w:t xml:space="preserve">- NDS: 1900 mg/m³</w:t>
      </w:r>
    </w:p>
    <w:p>
      <w:pPr>
        <w:spacing w:after="80"/>
      </w:pPr>
      <w:r>
        <w:rPr>
          <w:rFonts w:ascii="Arial" w:cs="Arial" w:eastAsia="Arial" w:hAnsi="Arial"/>
          <w:sz w:val="20"/>
          <w:szCs w:val="20"/>
        </w:rPr>
        <w:t xml:space="preserve">2,6-Di-tert-butylo-4-metylofenol [CAS: 128-37-0]:</w:t>
      </w:r>
    </w:p>
    <w:p>
      <w:pPr>
        <w:spacing w:after="80"/>
      </w:pPr>
      <w:r>
        <w:rPr>
          <w:rFonts w:ascii="Arial" w:cs="Arial" w:eastAsia="Arial" w:hAnsi="Arial"/>
          <w:sz w:val="20"/>
          <w:szCs w:val="20"/>
        </w:rPr>
        <w:t xml:space="preserve">- NDS: 10 mg/m³</w:t>
      </w:r>
    </w:p>
    <w:p>
      <w:pPr>
        <w:spacing w:after="80"/>
      </w:pPr>
      <w:r>
        <w:rPr>
          <w:rFonts w:ascii="Arial" w:cs="Arial" w:eastAsia="Arial" w:hAnsi="Arial"/>
          <w:sz w:val="20"/>
          <w:szCs w:val="20"/>
        </w:rPr>
        <w:t xml:space="preserve">Toluen [CAS: 108-88-3]:</w:t>
      </w:r>
    </w:p>
    <w:p>
      <w:pPr>
        <w:spacing w:after="80"/>
      </w:pPr>
      <w:r>
        <w:rPr>
          <w:rFonts w:ascii="Arial" w:cs="Arial" w:eastAsia="Arial" w:hAnsi="Arial"/>
          <w:sz w:val="20"/>
          <w:szCs w:val="20"/>
        </w:rPr>
        <w:t xml:space="preserve">- NDS: 100 mg/m³</w:t>
      </w:r>
    </w:p>
    <w:p>
      <w:pPr>
        <w:spacing w:after="80"/>
      </w:pPr>
      <w:r>
        <w:rPr>
          <w:rFonts w:ascii="Arial" w:cs="Arial" w:eastAsia="Arial" w:hAnsi="Arial"/>
          <w:sz w:val="20"/>
          <w:szCs w:val="20"/>
        </w:rPr>
        <w:t xml:space="preserve">- NDSCh: 200 mg/m³</w:t>
      </w:r>
    </w:p>
    <w:p>
      <w:pPr>
        <w:spacing w:after="80"/>
      </w:pPr>
      <w:r>
        <w:rPr>
          <w:rFonts w:ascii="Arial" w:cs="Arial" w:eastAsia="Arial" w:hAnsi="Arial"/>
          <w:sz w:val="20"/>
          <w:szCs w:val="20"/>
        </w:rPr>
        <w:t xml:space="preserve">- Uwagi: oznakowanie substancji notacją „skóra” (wchłanianie przez skórę)</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80"/>
      </w:pPr>
      <w:r>
        <w:rPr>
          <w:rFonts w:ascii="Arial" w:cs="Arial" w:eastAsia="Arial" w:hAnsi="Arial"/>
          <w:sz w:val="20"/>
          <w:szCs w:val="20"/>
        </w:rPr>
        <w:t xml:space="preserve">- Pracownicy:</w:t>
      </w:r>
    </w:p>
    <w:p>
      <w:pPr>
        <w:spacing w:after="80"/>
      </w:pPr>
      <w:r>
        <w:rPr>
          <w:rFonts w:ascii="Arial" w:cs="Arial" w:eastAsia="Arial" w:hAnsi="Arial"/>
          <w:sz w:val="20"/>
          <w:szCs w:val="20"/>
        </w:rPr>
        <w:t xml:space="preserve">* Inhalacyjnie, skutki przewlekłe, układowe: 950 mg/m³</w:t>
      </w:r>
    </w:p>
    <w:p>
      <w:pPr>
        <w:spacing w:after="80"/>
      </w:pPr>
      <w:r>
        <w:rPr>
          <w:rFonts w:ascii="Arial" w:cs="Arial" w:eastAsia="Arial" w:hAnsi="Arial"/>
          <w:sz w:val="20"/>
          <w:szCs w:val="20"/>
        </w:rPr>
        <w:t xml:space="preserve">* Przez skórę, skutki przewlekłe, układowe: 343 mg/kg mc./dzień</w:t>
      </w:r>
    </w:p>
    <w:p>
      <w:pPr>
        <w:spacing w:after="80"/>
      </w:pPr>
      <w:r>
        <w:rPr>
          <w:rFonts w:ascii="Arial" w:cs="Arial" w:eastAsia="Arial" w:hAnsi="Arial"/>
          <w:sz w:val="20"/>
          <w:szCs w:val="20"/>
        </w:rPr>
        <w:t xml:space="preserve">- Konsumenci:</w:t>
      </w:r>
    </w:p>
    <w:p>
      <w:pPr>
        <w:spacing w:after="80"/>
      </w:pPr>
      <w:r>
        <w:rPr>
          <w:rFonts w:ascii="Arial" w:cs="Arial" w:eastAsia="Arial" w:hAnsi="Arial"/>
          <w:sz w:val="20"/>
          <w:szCs w:val="20"/>
        </w:rPr>
        <w:t xml:space="preserve">* Inhalacyjnie, skutki przewlekłe, układowe: 114 mg/m³</w:t>
      </w:r>
    </w:p>
    <w:p>
      <w:pPr>
        <w:spacing w:after="80"/>
      </w:pPr>
      <w:r>
        <w:rPr>
          <w:rFonts w:ascii="Arial" w:cs="Arial" w:eastAsia="Arial" w:hAnsi="Arial"/>
          <w:sz w:val="20"/>
          <w:szCs w:val="20"/>
        </w:rPr>
        <w:t xml:space="preserve">* Przez skórę, skutki przewlekłe, układowe: 206 mg/kg mc./dzień</w:t>
      </w:r>
    </w:p>
    <w:p>
      <w:pPr>
        <w:spacing w:after="80"/>
      </w:pPr>
      <w:r>
        <w:rPr>
          <w:rFonts w:ascii="Arial" w:cs="Arial" w:eastAsia="Arial" w:hAnsi="Arial"/>
          <w:sz w:val="20"/>
          <w:szCs w:val="20"/>
        </w:rPr>
        <w:t xml:space="preserve">* Droga pokarmowa, skutki przewlekłe, układowe: 87 mg/kg mc./dzień</w:t>
      </w:r>
    </w:p>
    <w:p>
      <w:pPr>
        <w:spacing w:after="80"/>
      </w:pPr>
      <w:r>
        <w:rPr>
          <w:rFonts w:ascii="Arial" w:cs="Arial" w:eastAsia="Arial" w:hAnsi="Arial"/>
          <w:sz w:val="20"/>
          <w:szCs w:val="20"/>
        </w:rPr>
        <w:t xml:space="preserve">Przewidywane stężenia niepowodujące zmian w środowisku (PNEC):</w:t>
      </w:r>
    </w:p>
    <w:p>
      <w:pPr>
        <w:spacing w:after="80"/>
      </w:pPr>
      <w:r>
        <w:rPr>
          <w:rFonts w:ascii="Arial" w:cs="Arial" w:eastAsia="Arial" w:hAnsi="Arial"/>
          <w:sz w:val="20"/>
          <w:szCs w:val="20"/>
        </w:rPr>
        <w:t xml:space="preserve">- Woda słodka: 0,96 mg/l</w:t>
      </w:r>
    </w:p>
    <w:p>
      <w:pPr>
        <w:spacing w:after="80"/>
      </w:pPr>
      <w:r>
        <w:rPr>
          <w:rFonts w:ascii="Arial" w:cs="Arial" w:eastAsia="Arial" w:hAnsi="Arial"/>
          <w:sz w:val="20"/>
          <w:szCs w:val="20"/>
        </w:rPr>
        <w:t xml:space="preserve">- Woda morska: 0,79 mg/l</w:t>
      </w:r>
    </w:p>
    <w:p>
      <w:pPr>
        <w:spacing w:after="80"/>
      </w:pPr>
      <w:r>
        <w:rPr>
          <w:rFonts w:ascii="Arial" w:cs="Arial" w:eastAsia="Arial" w:hAnsi="Arial"/>
          <w:sz w:val="20"/>
          <w:szCs w:val="20"/>
        </w:rPr>
        <w:t xml:space="preserve">- Osady słodkowodne: 3,6 mg/kg suchej masy osadu</w:t>
      </w:r>
    </w:p>
    <w:p>
      <w:pPr>
        <w:spacing w:after="80"/>
      </w:pPr>
      <w:r>
        <w:rPr>
          <w:rFonts w:ascii="Arial" w:cs="Arial" w:eastAsia="Arial" w:hAnsi="Arial"/>
          <w:sz w:val="20"/>
          <w:szCs w:val="20"/>
        </w:rPr>
        <w:t xml:space="preserve">- Osady morskie: 2,9 mg/kg suchej masy osadu</w:t>
      </w:r>
    </w:p>
    <w:p>
      <w:pPr>
        <w:spacing w:after="80"/>
      </w:pPr>
      <w:r>
        <w:rPr>
          <w:rFonts w:ascii="Arial" w:cs="Arial" w:eastAsia="Arial" w:hAnsi="Arial"/>
          <w:sz w:val="20"/>
          <w:szCs w:val="20"/>
        </w:rPr>
        <w:t xml:space="preserve">- Woda (uwalnianie okresowe): 2,75 mg/l</w:t>
      </w:r>
    </w:p>
    <w:p>
      <w:pPr>
        <w:spacing w:after="80"/>
      </w:pPr>
      <w:r>
        <w:rPr>
          <w:rFonts w:ascii="Arial" w:cs="Arial" w:eastAsia="Arial" w:hAnsi="Arial"/>
          <w:sz w:val="20"/>
          <w:szCs w:val="20"/>
        </w:rPr>
        <w:t xml:space="preserve">- Oczyszczalnia ścieków (STP): 580 mg/l</w:t>
      </w:r>
    </w:p>
    <w:p>
      <w:pPr>
        <w:spacing w:after="80"/>
      </w:pPr>
      <w:r>
        <w:rPr>
          <w:rFonts w:ascii="Arial" w:cs="Arial" w:eastAsia="Arial" w:hAnsi="Arial"/>
          <w:sz w:val="20"/>
          <w:szCs w:val="20"/>
        </w:rPr>
        <w:t xml:space="preserve">- Łańcuch pokarmowy (zatrucie wtórne): 0,38 mg/kg pożywienia</w:t>
      </w:r>
    </w:p>
    <w:p>
      <w:pPr>
        <w:spacing w:after="80"/>
      </w:pPr>
      <w:r>
        <w:rPr>
          <w:rFonts w:ascii="Arial" w:cs="Arial" w:eastAsia="Arial" w:hAnsi="Arial"/>
          <w:sz w:val="20"/>
          <w:szCs w:val="20"/>
        </w:rPr>
        <w:t xml:space="preserve">- Gleba: 0,63 mg/kg suchej masy gleby</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80"/>
      </w:pPr>
      <w:r>
        <w:rPr>
          <w:rFonts w:ascii="Arial" w:cs="Arial" w:eastAsia="Arial" w:hAnsi="Arial"/>
          <w:sz w:val="20"/>
          <w:szCs w:val="20"/>
        </w:rPr>
        <w:t xml:space="preserve">- Pracownicy:</w:t>
      </w:r>
    </w:p>
    <w:p>
      <w:pPr>
        <w:spacing w:after="80"/>
      </w:pPr>
      <w:r>
        <w:rPr>
          <w:rFonts w:ascii="Arial" w:cs="Arial" w:eastAsia="Arial" w:hAnsi="Arial"/>
          <w:sz w:val="20"/>
          <w:szCs w:val="20"/>
        </w:rPr>
        <w:t xml:space="preserve">* Inhalacyjnie, skutki przewlekłe, układowe: 14,7 mg/m³</w:t>
      </w:r>
    </w:p>
    <w:p>
      <w:pPr>
        <w:spacing w:after="80"/>
      </w:pPr>
      <w:r>
        <w:rPr>
          <w:rFonts w:ascii="Arial" w:cs="Arial" w:eastAsia="Arial" w:hAnsi="Arial"/>
          <w:sz w:val="20"/>
          <w:szCs w:val="20"/>
        </w:rPr>
        <w:t xml:space="preserve">* Przez skórę, skutki przewlekłe, układowe: 6,9 mg/kg mc./dzień</w:t>
      </w:r>
    </w:p>
    <w:p>
      <w:pPr>
        <w:spacing w:after="80"/>
      </w:pPr>
      <w:r>
        <w:rPr>
          <w:rFonts w:ascii="Arial" w:cs="Arial" w:eastAsia="Arial" w:hAnsi="Arial"/>
          <w:sz w:val="20"/>
          <w:szCs w:val="20"/>
        </w:rPr>
        <w:t xml:space="preserve">- Konsumenci:</w:t>
      </w:r>
    </w:p>
    <w:p>
      <w:pPr>
        <w:spacing w:after="80"/>
      </w:pPr>
      <w:r>
        <w:rPr>
          <w:rFonts w:ascii="Arial" w:cs="Arial" w:eastAsia="Arial" w:hAnsi="Arial"/>
          <w:sz w:val="20"/>
          <w:szCs w:val="20"/>
        </w:rPr>
        <w:t xml:space="preserve">* Inhalacyjnie, skutki przewlekłe, układowe: 4,35 mg/m³</w:t>
      </w:r>
    </w:p>
    <w:p>
      <w:pPr>
        <w:spacing w:after="80"/>
      </w:pPr>
      <w:r>
        <w:rPr>
          <w:rFonts w:ascii="Arial" w:cs="Arial" w:eastAsia="Arial" w:hAnsi="Arial"/>
          <w:sz w:val="20"/>
          <w:szCs w:val="20"/>
        </w:rPr>
        <w:t xml:space="preserve">* Przez skórę, skutki przewlekłe, układowe: 4,2 mg/kg mc./dzień</w:t>
      </w:r>
    </w:p>
    <w:p>
      <w:pPr>
        <w:spacing w:after="80"/>
      </w:pPr>
      <w:r>
        <w:rPr>
          <w:rFonts w:ascii="Arial" w:cs="Arial" w:eastAsia="Arial" w:hAnsi="Arial"/>
          <w:sz w:val="20"/>
          <w:szCs w:val="20"/>
        </w:rPr>
        <w:t xml:space="preserve">* Droga pokarmowa, skutki przewlekłe, układowe: 2,5 mg/kg mc./dzień</w:t>
      </w:r>
    </w:p>
    <w:p>
      <w:pPr>
        <w:spacing w:after="80"/>
      </w:pPr>
      <w:r>
        <w:rPr>
          <w:rFonts w:ascii="Arial" w:cs="Arial" w:eastAsia="Arial" w:hAnsi="Arial"/>
          <w:sz w:val="20"/>
          <w:szCs w:val="20"/>
        </w:rPr>
        <w:t xml:space="preserve">Przewidywane stężenia niepowodujące zmian w środowisku (PNEC):</w:t>
      </w:r>
    </w:p>
    <w:p>
      <w:pPr>
        <w:spacing w:after="80"/>
      </w:pPr>
      <w:r>
        <w:rPr>
          <w:rFonts w:ascii="Arial" w:cs="Arial" w:eastAsia="Arial" w:hAnsi="Arial"/>
          <w:sz w:val="20"/>
          <w:szCs w:val="20"/>
        </w:rPr>
        <w:t xml:space="preserve">- Woda słodka: 0,081 mg/l</w:t>
      </w:r>
    </w:p>
    <w:p>
      <w:pPr>
        <w:spacing w:after="80"/>
      </w:pPr>
      <w:r>
        <w:rPr>
          <w:rFonts w:ascii="Arial" w:cs="Arial" w:eastAsia="Arial" w:hAnsi="Arial"/>
          <w:sz w:val="20"/>
          <w:szCs w:val="20"/>
        </w:rPr>
        <w:t xml:space="preserve">- Woda morska: 0,00811 mg/l</w:t>
      </w:r>
    </w:p>
    <w:p>
      <w:pPr>
        <w:spacing w:after="80"/>
      </w:pPr>
      <w:r>
        <w:rPr>
          <w:rFonts w:ascii="Arial" w:cs="Arial" w:eastAsia="Arial" w:hAnsi="Arial"/>
          <w:sz w:val="20"/>
          <w:szCs w:val="20"/>
        </w:rPr>
        <w:t xml:space="preserve">- Osady słodkowodne: 0,409 mg/kg suchej masy osadu</w:t>
      </w:r>
    </w:p>
    <w:p>
      <w:pPr>
        <w:spacing w:after="80"/>
      </w:pPr>
      <w:r>
        <w:rPr>
          <w:rFonts w:ascii="Arial" w:cs="Arial" w:eastAsia="Arial" w:hAnsi="Arial"/>
          <w:sz w:val="20"/>
          <w:szCs w:val="20"/>
        </w:rPr>
        <w:t xml:space="preserve">- Osady morskie: 0,0409 mg/kg suchej masy osadu</w:t>
      </w:r>
    </w:p>
    <w:p>
      <w:pPr>
        <w:spacing w:after="80"/>
      </w:pPr>
      <w:r>
        <w:rPr>
          <w:rFonts w:ascii="Arial" w:cs="Arial" w:eastAsia="Arial" w:hAnsi="Arial"/>
          <w:sz w:val="20"/>
          <w:szCs w:val="20"/>
        </w:rPr>
        <w:t xml:space="preserve">- Woda (uwalnianie okresowe): 0,811 mg/l</w:t>
      </w:r>
    </w:p>
    <w:p>
      <w:pPr>
        <w:spacing w:after="80"/>
      </w:pPr>
      <w:r>
        <w:rPr>
          <w:rFonts w:ascii="Arial" w:cs="Arial" w:eastAsia="Arial" w:hAnsi="Arial"/>
          <w:sz w:val="20"/>
          <w:szCs w:val="20"/>
        </w:rPr>
        <w:t xml:space="preserve">- Oczyszczalnia ścieków (STP): 4,5 mg/l</w:t>
      </w:r>
    </w:p>
    <w:p>
      <w:pPr>
        <w:spacing w:after="80"/>
      </w:pPr>
      <w:r>
        <w:rPr>
          <w:rFonts w:ascii="Arial" w:cs="Arial" w:eastAsia="Arial" w:hAnsi="Arial"/>
          <w:sz w:val="20"/>
          <w:szCs w:val="20"/>
        </w:rPr>
        <w:t xml:space="preserve">- Gleba: 0,0967 mg/kg suchej masy gleby</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80"/>
      </w:pPr>
      <w:r>
        <w:rPr>
          <w:rFonts w:ascii="Arial" w:cs="Arial" w:eastAsia="Arial" w:hAnsi="Arial"/>
          <w:sz w:val="20"/>
          <w:szCs w:val="20"/>
        </w:rPr>
        <w:t xml:space="preserve">- Pracownicy:</w:t>
      </w:r>
    </w:p>
    <w:p>
      <w:pPr>
        <w:spacing w:after="80"/>
      </w:pPr>
      <w:r>
        <w:rPr>
          <w:rFonts w:ascii="Arial" w:cs="Arial" w:eastAsia="Arial" w:hAnsi="Arial"/>
          <w:sz w:val="20"/>
          <w:szCs w:val="20"/>
        </w:rPr>
        <w:t xml:space="preserve">* Inhalacyjnie, skutki przewlekłe, układowe: 6,78 mg/m³</w:t>
      </w:r>
    </w:p>
    <w:p>
      <w:pPr>
        <w:spacing w:after="80"/>
      </w:pPr>
      <w:r>
        <w:rPr>
          <w:rFonts w:ascii="Arial" w:cs="Arial" w:eastAsia="Arial" w:hAnsi="Arial"/>
          <w:sz w:val="20"/>
          <w:szCs w:val="20"/>
        </w:rPr>
        <w:t xml:space="preserve">* Przez skórę, skutki przewlekłe, układowe: 0,79 mg/kg mc./dzień</w:t>
      </w:r>
    </w:p>
    <w:p>
      <w:pPr>
        <w:spacing w:after="80"/>
      </w:pPr>
      <w:r>
        <w:rPr>
          <w:rFonts w:ascii="Arial" w:cs="Arial" w:eastAsia="Arial" w:hAnsi="Arial"/>
          <w:sz w:val="20"/>
          <w:szCs w:val="20"/>
        </w:rPr>
        <w:t xml:space="preserve">- Konsumenci:</w:t>
      </w:r>
    </w:p>
    <w:p>
      <w:pPr>
        <w:spacing w:after="80"/>
      </w:pPr>
      <w:r>
        <w:rPr>
          <w:rFonts w:ascii="Arial" w:cs="Arial" w:eastAsia="Arial" w:hAnsi="Arial"/>
          <w:sz w:val="20"/>
          <w:szCs w:val="20"/>
        </w:rPr>
        <w:t xml:space="preserve">* Inhalacyjnie, skutki przewlekłe, układowe: 1,69 mg/m³</w:t>
      </w:r>
    </w:p>
    <w:p>
      <w:pPr>
        <w:spacing w:after="80"/>
      </w:pPr>
      <w:r>
        <w:rPr>
          <w:rFonts w:ascii="Arial" w:cs="Arial" w:eastAsia="Arial" w:hAnsi="Arial"/>
          <w:sz w:val="20"/>
          <w:szCs w:val="20"/>
        </w:rPr>
        <w:t xml:space="preserve">* Przez skórę, skutki przewlekłe, układowe: 0,39 mg/kg mc./dzień</w:t>
      </w:r>
    </w:p>
    <w:p>
      <w:pPr>
        <w:spacing w:after="80"/>
      </w:pPr>
      <w:r>
        <w:rPr>
          <w:rFonts w:ascii="Arial" w:cs="Arial" w:eastAsia="Arial" w:hAnsi="Arial"/>
          <w:sz w:val="20"/>
          <w:szCs w:val="20"/>
        </w:rPr>
        <w:t xml:space="preserve">* Droga pokarmowa, skutki przewlekłe, układowe: 0,39 mg/kg mc./dzień</w:t>
      </w:r>
    </w:p>
    <w:p>
      <w:pPr>
        <w:spacing w:after="80"/>
      </w:pPr>
      <w:r>
        <w:rPr>
          <w:rFonts w:ascii="Arial" w:cs="Arial" w:eastAsia="Arial" w:hAnsi="Arial"/>
          <w:sz w:val="20"/>
          <w:szCs w:val="20"/>
        </w:rPr>
        <w:t xml:space="preserve">Przewidywane stężenia niepowodujące zmian w środowisku (PNEC):</w:t>
      </w:r>
    </w:p>
    <w:p>
      <w:pPr>
        <w:spacing w:after="80"/>
      </w:pPr>
      <w:r>
        <w:rPr>
          <w:rFonts w:ascii="Arial" w:cs="Arial" w:eastAsia="Arial" w:hAnsi="Arial"/>
          <w:sz w:val="20"/>
          <w:szCs w:val="20"/>
        </w:rPr>
        <w:t xml:space="preserve">- Woda słodka: 0,019 mg/l</w:t>
      </w:r>
    </w:p>
    <w:p>
      <w:pPr>
        <w:spacing w:after="80"/>
      </w:pPr>
      <w:r>
        <w:rPr>
          <w:rFonts w:ascii="Arial" w:cs="Arial" w:eastAsia="Arial" w:hAnsi="Arial"/>
          <w:sz w:val="20"/>
          <w:szCs w:val="20"/>
        </w:rPr>
        <w:t xml:space="preserve">- Woda morska: 0,0019 mg/l</w:t>
      </w:r>
    </w:p>
    <w:p>
      <w:pPr>
        <w:spacing w:after="80"/>
      </w:pPr>
      <w:r>
        <w:rPr>
          <w:rFonts w:ascii="Arial" w:cs="Arial" w:eastAsia="Arial" w:hAnsi="Arial"/>
          <w:sz w:val="20"/>
          <w:szCs w:val="20"/>
        </w:rPr>
        <w:t xml:space="preserve">- Osady słodkowodne: 0,15 mg/kg suchej masy osadu</w:t>
      </w:r>
    </w:p>
    <w:p>
      <w:pPr>
        <w:spacing w:after="80"/>
      </w:pPr>
      <w:r>
        <w:rPr>
          <w:rFonts w:ascii="Arial" w:cs="Arial" w:eastAsia="Arial" w:hAnsi="Arial"/>
          <w:sz w:val="20"/>
          <w:szCs w:val="20"/>
        </w:rPr>
        <w:t xml:space="preserve">- Osady morskie: 0,015 mg/kg suchej masy osadu</w:t>
      </w:r>
    </w:p>
    <w:p>
      <w:pPr>
        <w:spacing w:after="80"/>
      </w:pPr>
      <w:r>
        <w:rPr>
          <w:rFonts w:ascii="Arial" w:cs="Arial" w:eastAsia="Arial" w:hAnsi="Arial"/>
          <w:sz w:val="20"/>
          <w:szCs w:val="20"/>
        </w:rPr>
        <w:t xml:space="preserve">- Woda (uwalnianie okresowe): 0,0142 mg/l</w:t>
      </w:r>
    </w:p>
    <w:p>
      <w:pPr>
        <w:spacing w:after="80"/>
      </w:pPr>
      <w:r>
        <w:rPr>
          <w:rFonts w:ascii="Arial" w:cs="Arial" w:eastAsia="Arial" w:hAnsi="Arial"/>
          <w:sz w:val="20"/>
          <w:szCs w:val="20"/>
        </w:rPr>
        <w:t xml:space="preserve">- Oczyszczalnia ścieków (STP): 6,4 mg/l</w:t>
      </w:r>
    </w:p>
    <w:p>
      <w:pPr>
        <w:spacing w:after="80"/>
      </w:pPr>
      <w:r>
        <w:rPr>
          <w:rFonts w:ascii="Arial" w:cs="Arial" w:eastAsia="Arial" w:hAnsi="Arial"/>
          <w:sz w:val="20"/>
          <w:szCs w:val="20"/>
        </w:rPr>
        <w:t xml:space="preserve">- Łańcuch pokarmowy (zatrucie wtórne): 30,7 mg/kg pożywienia</w:t>
      </w:r>
    </w:p>
    <w:p>
      <w:pPr>
        <w:spacing w:after="80"/>
      </w:pPr>
      <w:r>
        <w:rPr>
          <w:rFonts w:ascii="Arial" w:cs="Arial" w:eastAsia="Arial" w:hAnsi="Arial"/>
          <w:sz w:val="20"/>
          <w:szCs w:val="20"/>
        </w:rPr>
        <w:t xml:space="preserve">- Gleba: 0,018 mg/kg suchej masy gleby</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80"/>
      </w:pPr>
      <w:r>
        <w:rPr>
          <w:rFonts w:ascii="Arial" w:cs="Arial" w:eastAsia="Arial" w:hAnsi="Arial"/>
          <w:sz w:val="20"/>
          <w:szCs w:val="20"/>
        </w:rPr>
        <w:t xml:space="preserve">- Pracownicy:</w:t>
      </w:r>
    </w:p>
    <w:p>
      <w:pPr>
        <w:spacing w:after="80"/>
      </w:pPr>
      <w:r>
        <w:rPr>
          <w:rFonts w:ascii="Arial" w:cs="Arial" w:eastAsia="Arial" w:hAnsi="Arial"/>
          <w:sz w:val="20"/>
          <w:szCs w:val="20"/>
        </w:rPr>
        <w:t xml:space="preserve">* Inhalacyjnie, skutki przewlekłe, układowe: 3,5 mg/m³</w:t>
      </w:r>
    </w:p>
    <w:p>
      <w:pPr>
        <w:spacing w:after="80"/>
      </w:pPr>
      <w:r>
        <w:rPr>
          <w:rFonts w:ascii="Arial" w:cs="Arial" w:eastAsia="Arial" w:hAnsi="Arial"/>
          <w:sz w:val="20"/>
          <w:szCs w:val="20"/>
        </w:rPr>
        <w:t xml:space="preserve">* Przez skórę, skutki przewlekłe, układowe: 0,5 mg/kg mc./dzień</w:t>
      </w:r>
    </w:p>
    <w:p>
      <w:pPr>
        <w:spacing w:after="80"/>
      </w:pPr>
      <w:r>
        <w:rPr>
          <w:rFonts w:ascii="Arial" w:cs="Arial" w:eastAsia="Arial" w:hAnsi="Arial"/>
          <w:sz w:val="20"/>
          <w:szCs w:val="20"/>
        </w:rPr>
        <w:t xml:space="preserve">- Konsumenci:</w:t>
      </w:r>
    </w:p>
    <w:p>
      <w:pPr>
        <w:spacing w:after="80"/>
      </w:pPr>
      <w:r>
        <w:rPr>
          <w:rFonts w:ascii="Arial" w:cs="Arial" w:eastAsia="Arial" w:hAnsi="Arial"/>
          <w:sz w:val="20"/>
          <w:szCs w:val="20"/>
        </w:rPr>
        <w:t xml:space="preserve">* Inhalacyjnie, skutki przewlekłe, układowe: 0,86 mg/m³</w:t>
      </w:r>
    </w:p>
    <w:p>
      <w:pPr>
        <w:spacing w:after="80"/>
      </w:pPr>
      <w:r>
        <w:rPr>
          <w:rFonts w:ascii="Arial" w:cs="Arial" w:eastAsia="Arial" w:hAnsi="Arial"/>
          <w:sz w:val="20"/>
          <w:szCs w:val="20"/>
        </w:rPr>
        <w:t xml:space="preserve">* Przez skórę, skutki przewlekłe, układowe: 0,25 mg/kg mc./dzień</w:t>
      </w:r>
    </w:p>
    <w:p>
      <w:pPr>
        <w:spacing w:after="80"/>
      </w:pPr>
      <w:r>
        <w:rPr>
          <w:rFonts w:ascii="Arial" w:cs="Arial" w:eastAsia="Arial" w:hAnsi="Arial"/>
          <w:sz w:val="20"/>
          <w:szCs w:val="20"/>
        </w:rPr>
        <w:t xml:space="preserve">* Droga pokarmowa, skutki przewlekłe, układowe: 0,25 mg/kg mc./dzień</w:t>
      </w:r>
    </w:p>
    <w:p>
      <w:pPr>
        <w:spacing w:after="80"/>
      </w:pPr>
      <w:r>
        <w:rPr>
          <w:rFonts w:ascii="Arial" w:cs="Arial" w:eastAsia="Arial" w:hAnsi="Arial"/>
          <w:sz w:val="20"/>
          <w:szCs w:val="20"/>
        </w:rPr>
        <w:t xml:space="preserve">Przewidywane stężenia niepowodujące zmian w środowisku (PNEC):</w:t>
      </w:r>
    </w:p>
    <w:p>
      <w:pPr>
        <w:spacing w:after="80"/>
      </w:pPr>
      <w:r>
        <w:rPr>
          <w:rFonts w:ascii="Arial" w:cs="Arial" w:eastAsia="Arial" w:hAnsi="Arial"/>
          <w:sz w:val="20"/>
          <w:szCs w:val="20"/>
        </w:rPr>
        <w:t xml:space="preserve">- Woda słodka: 0,000199 mg/l</w:t>
      </w:r>
    </w:p>
    <w:p>
      <w:pPr>
        <w:spacing w:after="80"/>
      </w:pPr>
      <w:r>
        <w:rPr>
          <w:rFonts w:ascii="Arial" w:cs="Arial" w:eastAsia="Arial" w:hAnsi="Arial"/>
          <w:sz w:val="20"/>
          <w:szCs w:val="20"/>
        </w:rPr>
        <w:t xml:space="preserve">- Woda morska: 0,00002 mg/l</w:t>
      </w:r>
    </w:p>
    <w:p>
      <w:pPr>
        <w:spacing w:after="80"/>
      </w:pPr>
      <w:r>
        <w:rPr>
          <w:rFonts w:ascii="Arial" w:cs="Arial" w:eastAsia="Arial" w:hAnsi="Arial"/>
          <w:sz w:val="20"/>
          <w:szCs w:val="20"/>
        </w:rPr>
        <w:t xml:space="preserve">- Osady słodkowodne: 0,0996 mg/kg suchej masy osadu</w:t>
      </w:r>
    </w:p>
    <w:p>
      <w:pPr>
        <w:spacing w:after="80"/>
      </w:pPr>
      <w:r>
        <w:rPr>
          <w:rFonts w:ascii="Arial" w:cs="Arial" w:eastAsia="Arial" w:hAnsi="Arial"/>
          <w:sz w:val="20"/>
          <w:szCs w:val="20"/>
        </w:rPr>
        <w:t xml:space="preserve">- Osady morskie: 0,00996 mg/kg suchej masy osadu</w:t>
      </w:r>
    </w:p>
    <w:p>
      <w:pPr>
        <w:spacing w:after="80"/>
      </w:pPr>
      <w:r>
        <w:rPr>
          <w:rFonts w:ascii="Arial" w:cs="Arial" w:eastAsia="Arial" w:hAnsi="Arial"/>
          <w:sz w:val="20"/>
          <w:szCs w:val="20"/>
        </w:rPr>
        <w:t xml:space="preserve">- Woda (uwalnianie okresowe): 0,00199 mg/l</w:t>
      </w:r>
    </w:p>
    <w:p>
      <w:pPr>
        <w:spacing w:after="80"/>
      </w:pPr>
      <w:r>
        <w:rPr>
          <w:rFonts w:ascii="Arial" w:cs="Arial" w:eastAsia="Arial" w:hAnsi="Arial"/>
          <w:sz w:val="20"/>
          <w:szCs w:val="20"/>
        </w:rPr>
        <w:t xml:space="preserve">- Oczyszczalnia ścieków (STP): 0,17 mg/l</w:t>
      </w:r>
    </w:p>
    <w:p>
      <w:pPr>
        <w:spacing w:after="80"/>
      </w:pPr>
      <w:r>
        <w:rPr>
          <w:rFonts w:ascii="Arial" w:cs="Arial" w:eastAsia="Arial" w:hAnsi="Arial"/>
          <w:sz w:val="20"/>
          <w:szCs w:val="20"/>
        </w:rPr>
        <w:t xml:space="preserve">- Łańcuch pokarmowy (zatrucie wtórne): 8,33 mg/kg pożywienia</w:t>
      </w:r>
    </w:p>
    <w:p>
      <w:pPr>
        <w:spacing w:after="80"/>
      </w:pPr>
      <w:r>
        <w:rPr>
          <w:rFonts w:ascii="Arial" w:cs="Arial" w:eastAsia="Arial" w:hAnsi="Arial"/>
          <w:sz w:val="20"/>
          <w:szCs w:val="20"/>
        </w:rPr>
        <w:t xml:space="preserve">- Gleba: 0,04769 mg/kg suchej masy gleby</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80"/>
      </w:pPr>
      <w:r>
        <w:rPr>
          <w:rFonts w:ascii="Arial" w:cs="Arial" w:eastAsia="Arial" w:hAnsi="Arial"/>
          <w:sz w:val="20"/>
          <w:szCs w:val="20"/>
        </w:rPr>
        <w:t xml:space="preserve">- Pracownicy:</w:t>
      </w:r>
    </w:p>
    <w:p>
      <w:pPr>
        <w:spacing w:after="80"/>
      </w:pPr>
      <w:r>
        <w:rPr>
          <w:rFonts w:ascii="Arial" w:cs="Arial" w:eastAsia="Arial" w:hAnsi="Arial"/>
          <w:sz w:val="20"/>
          <w:szCs w:val="20"/>
        </w:rPr>
        <w:t xml:space="preserve">* Inhalacyjnie, ostre, miejscowe: 384 mg/m³</w:t>
      </w:r>
    </w:p>
    <w:p>
      <w:pPr>
        <w:spacing w:after="80"/>
      </w:pPr>
      <w:r>
        <w:rPr>
          <w:rFonts w:ascii="Arial" w:cs="Arial" w:eastAsia="Arial" w:hAnsi="Arial"/>
          <w:sz w:val="20"/>
          <w:szCs w:val="20"/>
        </w:rPr>
        <w:t xml:space="preserve">* Inhalacyjnie, ostre, układowe: 384 mg/m³</w:t>
      </w:r>
    </w:p>
    <w:p>
      <w:pPr>
        <w:spacing w:after="80"/>
      </w:pPr>
      <w:r>
        <w:rPr>
          <w:rFonts w:ascii="Arial" w:cs="Arial" w:eastAsia="Arial" w:hAnsi="Arial"/>
          <w:sz w:val="20"/>
          <w:szCs w:val="20"/>
        </w:rPr>
        <w:t xml:space="preserve">* Inhalacyjnie, przewlekłe, miejscowe: 192 mg/m³</w:t>
      </w:r>
    </w:p>
    <w:p>
      <w:pPr>
        <w:spacing w:after="80"/>
      </w:pPr>
      <w:r>
        <w:rPr>
          <w:rFonts w:ascii="Arial" w:cs="Arial" w:eastAsia="Arial" w:hAnsi="Arial"/>
          <w:sz w:val="20"/>
          <w:szCs w:val="20"/>
        </w:rPr>
        <w:t xml:space="preserve">* Inhalacyjnie, przewlekłe, układowe: 192 mg/m³</w:t>
      </w:r>
    </w:p>
    <w:p>
      <w:pPr>
        <w:spacing w:after="80"/>
      </w:pPr>
      <w:r>
        <w:rPr>
          <w:rFonts w:ascii="Arial" w:cs="Arial" w:eastAsia="Arial" w:hAnsi="Arial"/>
          <w:sz w:val="20"/>
          <w:szCs w:val="20"/>
        </w:rPr>
        <w:t xml:space="preserve">* Przez skórę, skutki przewlekłe, układowe: 384 mg/kg mc./dzień</w:t>
      </w:r>
    </w:p>
    <w:p>
      <w:pPr>
        <w:spacing w:after="80"/>
      </w:pPr>
      <w:r>
        <w:rPr>
          <w:rFonts w:ascii="Arial" w:cs="Arial" w:eastAsia="Arial" w:hAnsi="Arial"/>
          <w:sz w:val="20"/>
          <w:szCs w:val="20"/>
        </w:rPr>
        <w:t xml:space="preserve">- Konsumenci:</w:t>
      </w:r>
    </w:p>
    <w:p>
      <w:pPr>
        <w:spacing w:after="80"/>
      </w:pPr>
      <w:r>
        <w:rPr>
          <w:rFonts w:ascii="Arial" w:cs="Arial" w:eastAsia="Arial" w:hAnsi="Arial"/>
          <w:sz w:val="20"/>
          <w:szCs w:val="20"/>
        </w:rPr>
        <w:t xml:space="preserve">* Inhalacyjnie, ostre, miejscowe: 226 mg/m³</w:t>
      </w:r>
    </w:p>
    <w:p>
      <w:pPr>
        <w:spacing w:after="80"/>
      </w:pPr>
      <w:r>
        <w:rPr>
          <w:rFonts w:ascii="Arial" w:cs="Arial" w:eastAsia="Arial" w:hAnsi="Arial"/>
          <w:sz w:val="20"/>
          <w:szCs w:val="20"/>
        </w:rPr>
        <w:t xml:space="preserve">* Inhalacyjnie, ostre, układowe: 226 mg/m³</w:t>
      </w:r>
    </w:p>
    <w:p>
      <w:pPr>
        <w:spacing w:after="80"/>
      </w:pPr>
      <w:r>
        <w:rPr>
          <w:rFonts w:ascii="Arial" w:cs="Arial" w:eastAsia="Arial" w:hAnsi="Arial"/>
          <w:sz w:val="20"/>
          <w:szCs w:val="20"/>
        </w:rPr>
        <w:t xml:space="preserve">* Inhalacyjnie, przewlekłe, miejscowe: 56,5 mg/m³</w:t>
      </w:r>
    </w:p>
    <w:p>
      <w:pPr>
        <w:spacing w:after="80"/>
      </w:pPr>
      <w:r>
        <w:rPr>
          <w:rFonts w:ascii="Arial" w:cs="Arial" w:eastAsia="Arial" w:hAnsi="Arial"/>
          <w:sz w:val="20"/>
          <w:szCs w:val="20"/>
        </w:rPr>
        <w:t xml:space="preserve">* Inhalacyjnie, przewlekłe, układowe: 56,5 mg/m³</w:t>
      </w:r>
    </w:p>
    <w:p>
      <w:pPr>
        <w:spacing w:after="80"/>
      </w:pPr>
      <w:r>
        <w:rPr>
          <w:rFonts w:ascii="Arial" w:cs="Arial" w:eastAsia="Arial" w:hAnsi="Arial"/>
          <w:sz w:val="20"/>
          <w:szCs w:val="20"/>
        </w:rPr>
        <w:t xml:space="preserve">* Przez skórę, skutki przewlekłe, układowe: 226 mg/kg mc./dzień</w:t>
      </w:r>
    </w:p>
    <w:p>
      <w:pPr>
        <w:spacing w:after="80"/>
      </w:pPr>
      <w:r>
        <w:rPr>
          <w:rFonts w:ascii="Arial" w:cs="Arial" w:eastAsia="Arial" w:hAnsi="Arial"/>
          <w:sz w:val="20"/>
          <w:szCs w:val="20"/>
        </w:rPr>
        <w:t xml:space="preserve">* Droga pokarmowa, skutki przewlekłe, układowe: 8,13 mg/kg mc./dzień</w:t>
      </w:r>
    </w:p>
    <w:p>
      <w:pPr>
        <w:spacing w:after="80"/>
      </w:pPr>
      <w:r>
        <w:rPr>
          <w:rFonts w:ascii="Arial" w:cs="Arial" w:eastAsia="Arial" w:hAnsi="Arial"/>
          <w:sz w:val="20"/>
          <w:szCs w:val="20"/>
        </w:rPr>
        <w:t xml:space="preserve">Przewidywane stężenia niepowodujące zmian w środowisku (PNEC):</w:t>
      </w:r>
    </w:p>
    <w:p>
      <w:pPr>
        <w:spacing w:after="80"/>
      </w:pPr>
      <w:r>
        <w:rPr>
          <w:rFonts w:ascii="Arial" w:cs="Arial" w:eastAsia="Arial" w:hAnsi="Arial"/>
          <w:sz w:val="20"/>
          <w:szCs w:val="20"/>
        </w:rPr>
        <w:t xml:space="preserve">- Woda słodka: 0,68 mg/l</w:t>
      </w:r>
    </w:p>
    <w:p>
      <w:pPr>
        <w:spacing w:after="80"/>
      </w:pPr>
      <w:r>
        <w:rPr>
          <w:rFonts w:ascii="Arial" w:cs="Arial" w:eastAsia="Arial" w:hAnsi="Arial"/>
          <w:sz w:val="20"/>
          <w:szCs w:val="20"/>
        </w:rPr>
        <w:t xml:space="preserve">- Woda morska: 0,68 mg/l</w:t>
      </w:r>
    </w:p>
    <w:p>
      <w:pPr>
        <w:spacing w:after="80"/>
      </w:pPr>
      <w:r>
        <w:rPr>
          <w:rFonts w:ascii="Arial" w:cs="Arial" w:eastAsia="Arial" w:hAnsi="Arial"/>
          <w:sz w:val="20"/>
          <w:szCs w:val="20"/>
        </w:rPr>
        <w:t xml:space="preserve">- Osady słodkowodne: 16,39 mg/kg suchej masy osadu</w:t>
      </w:r>
    </w:p>
    <w:p>
      <w:pPr>
        <w:spacing w:after="80"/>
      </w:pPr>
      <w:r>
        <w:rPr>
          <w:rFonts w:ascii="Arial" w:cs="Arial" w:eastAsia="Arial" w:hAnsi="Arial"/>
          <w:sz w:val="20"/>
          <w:szCs w:val="20"/>
        </w:rPr>
        <w:t xml:space="preserve">- Osady morskie: 16,39 mg/kg suchej masy osadu</w:t>
      </w:r>
    </w:p>
    <w:p>
      <w:pPr>
        <w:spacing w:after="80"/>
      </w:pPr>
      <w:r>
        <w:rPr>
          <w:rFonts w:ascii="Arial" w:cs="Arial" w:eastAsia="Arial" w:hAnsi="Arial"/>
          <w:sz w:val="20"/>
          <w:szCs w:val="20"/>
        </w:rPr>
        <w:t xml:space="preserve">- Woda (uwalnianie okresowe): 0,68 mg/l</w:t>
      </w:r>
    </w:p>
    <w:p>
      <w:pPr>
        <w:spacing w:after="80"/>
      </w:pPr>
      <w:r>
        <w:rPr>
          <w:rFonts w:ascii="Arial" w:cs="Arial" w:eastAsia="Arial" w:hAnsi="Arial"/>
          <w:sz w:val="20"/>
          <w:szCs w:val="20"/>
        </w:rPr>
        <w:t xml:space="preserve">- Oczyszczalnia ścieków (STP): 13,61 mg/l</w:t>
      </w:r>
    </w:p>
    <w:p>
      <w:pPr>
        <w:spacing w:after="80"/>
      </w:pPr>
      <w:r>
        <w:rPr>
          <w:rFonts w:ascii="Arial" w:cs="Arial" w:eastAsia="Arial" w:hAnsi="Arial"/>
          <w:sz w:val="20"/>
          <w:szCs w:val="20"/>
        </w:rPr>
        <w:t xml:space="preserve">- Łańcuch pokarmowy (zatrucie wtórne): 2,89 mg/kg suchej masy gleby</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Polskimi Normami.</w:t>
      </w:r>
    </w:p>
    <w:p>
      <w:pPr>
        <w:spacing w:after="100" w:before="200"/>
      </w:pPr>
      <w:r>
        <w:rPr>
          <w:rFonts w:ascii="Arial" w:cs="Arial" w:eastAsia="Arial" w:hAnsi="Arial"/>
          <w:b/>
          <w:bCs/>
          <w:sz w:val="20"/>
          <w:szCs w:val="20"/>
        </w:rPr>
        <w:t xml:space="preserve">8.2. Kontrola narażenia</w:t>
      </w:r>
    </w:p>
    <w:p>
      <w:pPr>
        <w:spacing w:after="80"/>
      </w:pPr>
      <w:r>
        <w:rPr>
          <w:rFonts w:ascii="Arial" w:cs="Arial" w:eastAsia="Arial" w:hAnsi="Arial"/>
          <w:sz w:val="20"/>
          <w:szCs w:val="20"/>
        </w:rPr>
        <w:t xml:space="preserve">Stosowne techniczne środki kontroli:</w:t>
      </w:r>
    </w:p>
    <w:p>
      <w:pPr>
        <w:spacing w:after="80"/>
      </w:pPr>
      <w:r>
        <w:rPr>
          <w:rFonts w:ascii="Arial" w:cs="Arial" w:eastAsia="Arial" w:hAnsi="Arial"/>
          <w:sz w:val="20"/>
          <w:szCs w:val="20"/>
        </w:rPr>
        <w:t xml:space="preserve">Zapewnić dobrą wentylację ogólną i/lub miejscowy odciąg na stanowiskach pracy, aby utrzymać stężenia w powietrzu poniżej wartości dopuszczalnych. Stosować wyposażenie przeciwwybuchowe.</w:t>
      </w:r>
    </w:p>
    <w:p>
      <w:pPr>
        <w:spacing w:after="80"/>
      </w:pPr>
      <w:r>
        <w:rPr>
          <w:rFonts w:ascii="Arial" w:cs="Arial" w:eastAsia="Arial" w:hAnsi="Arial"/>
          <w:sz w:val="20"/>
          <w:szCs w:val="20"/>
        </w:rPr>
        <w:t xml:space="preserve">Indywidualne środki ochrony, takie jak indywidualny sprzęt ochronny:</w:t>
      </w:r>
    </w:p>
    <w:p>
      <w:pPr>
        <w:spacing w:after="80"/>
      </w:pPr>
      <w:r>
        <w:rPr>
          <w:rFonts w:ascii="Arial" w:cs="Arial" w:eastAsia="Arial" w:hAnsi="Arial"/>
          <w:sz w:val="20"/>
          <w:szCs w:val="20"/>
        </w:rPr>
        <w:t xml:space="preserve">Ochrona oczu lub twarzy: Nosić okulary ochronne w szczelnej obudowie lub gogle ochronne zgodne z normą PN-EN 166.</w:t>
      </w:r>
    </w:p>
    <w:p>
      <w:pPr>
        <w:spacing w:after="80"/>
      </w:pPr>
      <w:r>
        <w:rPr>
          <w:rFonts w:ascii="Arial" w:cs="Arial" w:eastAsia="Arial" w:hAnsi="Arial"/>
          <w:sz w:val="20"/>
          <w:szCs w:val="20"/>
        </w:rPr>
        <w:t xml:space="preserve">Ochrona skóry i rąk: Stosować rękawice ochronne odporne na działanie chemikaliów (np. kauczuk nitrylowy lub kauczuk butylowy) zgodne z normą PN-EN ISO 374-1. Nosić odpowiednią odzież roboczą chroniącą przed kontaktem z cieczą.</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wartości stężeń stosować odpowiedni sprzęt ochrony dróg oddechowych z pochłaniaczem par organicznych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w:r>
    </w:p>
    <w:p>
      <w:pPr>
        <w:spacing w:after="80"/>
      </w:pPr>
      <w:r>
        <w:rPr>
          <w:rFonts w:ascii="Arial" w:cs="Arial" w:eastAsia="Arial" w:hAnsi="Arial"/>
          <w:sz w:val="20"/>
          <w:szCs w:val="20"/>
        </w:rPr>
        <w:t xml:space="preserve">Nie dopuścić do przedostania się dużych ilości produktu do kanalizacji, wód powierzchniowych, gruntowych ani gleby.</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w:r>
    </w:p>
    <w:p>
      <w:pPr>
        <w:spacing w:after="80"/>
      </w:pPr>
      <w:r>
        <w:rPr>
          <w:rFonts w:ascii="Arial" w:cs="Arial" w:eastAsia="Arial" w:hAnsi="Arial"/>
          <w:sz w:val="20"/>
          <w:szCs w:val="20"/>
        </w:rPr>
        <w:t xml:space="preserve">Myć ręce po zakończeniu pracy z produktem. Nie jeść, nie pić i nie palić podczas stosowania. Zdjąć zanieczyszczoną odzież i wyprać ją przed ponownym użyciem.</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(w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(w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wysoce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3,3 % obj.; górna: 19 % obj.</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 tygiel zamknięty)</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(brak danych)</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 mm²/s (w 20 °C)</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brak dostępnych danych</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 (dotyczy etanolu)</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 (w 20 °C)</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(w 20 °C)</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(powietrze = 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w postaci cieczy)</w:t>
      </w:r>
    </w:p>
    <w:p>
      <w:pPr>
        <w:spacing w:after="100" w:before="200"/>
      </w:pPr>
      <w:r>
        <w:rPr>
          <w:rFonts w:ascii="Arial" w:cs="Arial" w:eastAsia="Arial" w:hAnsi="Arial"/>
          <w:b/>
          <w:bCs/>
          <w:sz w:val="20"/>
          <w:szCs w:val="20"/>
        </w:rPr>
        <w:t xml:space="preserve">9.2. Inne informacje</w:t>
      </w:r>
    </w:p>
    <w:p>
      <w:pPr>
        <w:spacing w:after="100" w:before="200"/>
      </w:pPr>
      <w:r>
        <w:rPr>
          <w:rFonts w:ascii="Arial" w:cs="Arial" w:eastAsia="Arial" w:hAnsi="Arial"/>
          <w:b/>
          <w:bCs/>
          <w:sz w:val="20"/>
          <w:szCs w:val="20"/>
        </w:rPr>
        <w:t xml:space="preserve">9.2.1. Informacje dotyczące klas zagrożenia fizycznego:</w:t>
      </w:r>
    </w:p>
    <w:p>
      <w:pPr>
        <w:spacing w:after="80"/>
      </w:pPr>
      <w:r>
        <w:rPr>
          <w:rFonts w:ascii="Arial" w:cs="Arial" w:eastAsia="Arial" w:hAnsi="Arial"/>
          <w:sz w:val="20"/>
          <w:szCs w:val="20"/>
        </w:rPr>
        <w:t xml:space="preserve">Brak dodatkowych danych badawczych poza klasyfikacją jako ciecz łatwopalna kategoria 2.</w:t>
      </w:r>
    </w:p>
    <w:p>
      <w:pPr>
        <w:spacing w:after="100" w:before="200"/>
      </w:pPr>
      <w:r>
        <w:rPr>
          <w:rFonts w:ascii="Arial" w:cs="Arial" w:eastAsia="Arial" w:hAnsi="Arial"/>
          <w:b/>
          <w:bCs/>
          <w:sz w:val="20"/>
          <w:szCs w:val="20"/>
        </w:rPr>
        <w:t xml:space="preserve">9.2.2. Inne właściwości bezpieczeństwa:</w:t>
      </w:r>
    </w:p>
    <w:p>
      <w:pPr>
        <w:spacing w:after="80"/>
      </w:pPr>
      <w:r>
        <w:rPr>
          <w:rFonts w:ascii="Arial" w:cs="Arial" w:eastAsia="Arial" w:hAnsi="Arial"/>
          <w:sz w:val="20"/>
          <w:szCs w:val="20"/>
        </w:rPr>
        <w:t xml:space="preserve">Zawartość lotnych związków organicznych (LZO /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w:t>
      </w:r>
    </w:p>
    <w:p>
      <w:pPr>
        <w:spacing w:after="80"/>
      </w:pPr>
      <w:r>
        <w:rPr>
          <w:rFonts w:ascii="Arial" w:cs="Arial" w:eastAsia="Arial" w:hAnsi="Arial"/>
          <w:sz w:val="20"/>
          <w:szCs w:val="20"/>
        </w:rPr>
        <w:t xml:space="preserve">W normalnych warunkach stosowania nie występuje szczególne ryzyko reakcji z innymi substancjami.</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Unikać narażenia na: światło.</w:t>
      </w:r>
    </w:p>
    <w:p>
      <w:pPr>
        <w:spacing w:after="100" w:before="200"/>
      </w:pPr>
      <w:r>
        <w:rPr>
          <w:rFonts w:ascii="Arial" w:cs="Arial" w:eastAsia="Arial" w:hAnsi="Arial"/>
          <w:b/>
          <w:bCs/>
          <w:sz w:val="20"/>
          <w:szCs w:val="20"/>
        </w:rPr>
        <w:t xml:space="preserve">10.2. Stabilność chemiczna</w:t>
      </w:r>
    </w:p>
    <w:p>
      <w:pPr>
        <w:spacing w:after="80"/>
      </w:pPr>
      <w:r>
        <w:rPr>
          <w:rFonts w:ascii="Arial" w:cs="Arial" w:eastAsia="Arial" w:hAnsi="Arial"/>
          <w:sz w:val="20"/>
          <w:szCs w:val="20"/>
        </w:rPr>
        <w:t xml:space="preserve">Produkt jest stabilny w normalnych warunkach stosowania i magazynowania.</w:t>
      </w:r>
    </w:p>
    <w:p>
      <w:pPr>
        <w:spacing w:after="100" w:before="200"/>
      </w:pPr>
      <w:r>
        <w:rPr>
          <w:rFonts w:ascii="Arial" w:cs="Arial" w:eastAsia="Arial" w:hAnsi="Arial"/>
          <w:b/>
          <w:bCs/>
          <w:sz w:val="20"/>
          <w:szCs w:val="20"/>
        </w:rPr>
        <w:t xml:space="preserve">10.3. Możliwość występowania niebezpiecznych reakcji</w:t>
      </w:r>
    </w:p>
    <w:p>
      <w:pPr>
        <w:spacing w:after="80"/>
      </w:pPr>
      <w:r>
        <w:rPr>
          <w:rFonts w:ascii="Arial" w:cs="Arial" w:eastAsia="Arial" w:hAnsi="Arial"/>
          <w:sz w:val="20"/>
          <w:szCs w:val="20"/>
        </w:rPr>
        <w:t xml:space="preserve">Pary mogą tworzyć z powietrzem mieszaniny wybuchowe.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Ryzyko wybuchu w kontakcie z: metale alkaliczne, tlenki metali alkalicznych, podchloryn wapnia, monofluorosiarczek, bezwodnik octowy, kwasy, stężony nadtlenek wodoru, nadchlorany, kwas nadchlorowy, chloronitryl, azotan rtęci(II), kwas azotowy, srebro, azotan srebra, amoniak, tlenek srebra, amoniak, silne utleniacze, ditlenek azotu. Może reagować niebezpiecznie z: bromoacetylen, chloroacetylen, trifluorek bromu, tritlenek chromu, chlorek chromylu, fluor, tert-butanolan potasu, wodorek litu, tritlenek fosforu, czerń platynowa, chlorek cyrkonu(IV), jodek cyrkonu(IV). Tworzy z powietrzem mieszaniny wybuchowe.</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Ryzyko wybuchu w kontakcie z: dymiący kwas siarkowy, kwas azotowy, nadchloran srebra, ditlenek azotu, halogenki niemetali, kwas octowy, organiczne związki nitrowe. Może tworzyć z powietrzem mieszaniny wybuchowe. Może reagować niebezpiecznie z: silne utleniacze, silne kwasy, siarka.</w:t>
      </w:r>
    </w:p>
    <w:p>
      <w:pPr>
        <w:spacing w:after="100" w:before="200"/>
      </w:pPr>
      <w:r>
        <w:rPr>
          <w:rFonts w:ascii="Arial" w:cs="Arial" w:eastAsia="Arial" w:hAnsi="Arial"/>
          <w:b/>
          <w:bCs/>
          <w:sz w:val="20"/>
          <w:szCs w:val="20"/>
        </w:rPr>
        <w:t xml:space="preserve">10.4. Warunki, których należy unikać</w:t>
      </w:r>
    </w:p>
    <w:p>
      <w:pPr>
        <w:spacing w:after="80"/>
      </w:pPr>
      <w:r>
        <w:rPr>
          <w:rFonts w:ascii="Arial" w:cs="Arial" w:eastAsia="Arial" w:hAnsi="Arial"/>
          <w:sz w:val="20"/>
          <w:szCs w:val="20"/>
        </w:rPr>
        <w:t xml:space="preserve">Unikać przegrzania. Unikać gromadzenia się ładunków elektrostatycznych. Unikać wszelkich źródeł zapłonu.</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Unikać narażenia na: źródła ciepła, otwarty ogień.</w:t>
      </w:r>
    </w:p>
    <w:p>
      <w:pPr>
        <w:spacing w:after="100" w:before="200"/>
      </w:pPr>
      <w:r>
        <w:rPr>
          <w:rFonts w:ascii="Arial" w:cs="Arial" w:eastAsia="Arial" w:hAnsi="Arial"/>
          <w:b/>
          <w:bCs/>
          <w:sz w:val="20"/>
          <w:szCs w:val="20"/>
        </w:rPr>
        <w:t xml:space="preserve">10.5. Materiały niezgodne</w:t>
      </w:r>
    </w:p>
    <w:p>
      <w:pPr>
        <w:spacing w:after="80"/>
      </w:pPr>
      <w:r>
        <w:rPr>
          <w:rFonts w:ascii="Arial" w:cs="Arial" w:eastAsia="Arial" w:hAnsi="Arial"/>
          <w:sz w:val="20"/>
          <w:szCs w:val="20"/>
        </w:rPr>
        <w:t xml:space="preserve">Brak dostępnych danych</w:t>
      </w:r>
    </w:p>
    <w:p>
      <w:pPr>
        <w:spacing w:after="100" w:before="200"/>
      </w:pPr>
      <w:r>
        <w:rPr>
          <w:rFonts w:ascii="Arial" w:cs="Arial" w:eastAsia="Arial" w:hAnsi="Arial"/>
          <w:b/>
          <w:bCs/>
          <w:sz w:val="20"/>
          <w:szCs w:val="20"/>
        </w:rPr>
        <w:t xml:space="preserve">10.6. Niebezpieczne produkty rozkładu</w:t>
      </w:r>
    </w:p>
    <w:p>
      <w:pPr>
        <w:spacing w:after="80"/>
      </w:pPr>
      <w:r>
        <w:rPr>
          <w:rFonts w:ascii="Arial" w:cs="Arial" w:eastAsia="Arial" w:hAnsi="Arial"/>
          <w:sz w:val="20"/>
          <w:szCs w:val="20"/>
        </w:rPr>
        <w:t xml:space="preserve">W przypadku rozkładu termicznego lub pożaru mogą uwalniać się gazy i pary potencjalnie niebezpieczne dla zdrowia.</w:t>
      </w:r>
    </w:p>
    <w:p>
      <w:pPr>
        <w:pBdr>
          <w:bottom w:color="00A651" w:sz="12" w:space="1"/>
        </w:pBdr>
        <w:spacing w:after="150" w:before="300"/>
      </w:pPr>
      <w:r>
        <w:rPr>
          <w:b/>
          <w:bCs/>
          <w:sz w:val="22"/>
          <w:szCs w:val="22"/>
        </w:rPr>
        <w:t xml:space="preserve">SEKCJA 11: INFORMACJE TOKSYKOLOGICZNE</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Wobec braku danych doświadczalnych dla samej mieszaniny, klasyfikację przeprowadzono metodą obliczeniową na podstawie zawartości i właściwości poszczególnych składników zgodnie z rozporządzeniem CLP.</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 Droga pokarmowa (doustnie): W oparciu o dostępne dane, kryteria klasyfikacji nie są spełnione (ATE mieszaniny obliczona &gt; 2000 mg/kg mc.).</w:t>
      </w:r>
    </w:p>
    <w:p>
      <w:pPr>
        <w:spacing w:after="80"/>
      </w:pPr>
      <w:r>
        <w:rPr>
          <w:rFonts w:ascii="Arial" w:cs="Arial" w:eastAsia="Arial" w:hAnsi="Arial"/>
          <w:sz w:val="20"/>
          <w:szCs w:val="20"/>
        </w:rPr>
        <w:t xml:space="preserve">- Po naniesieniu na skórę: W oparciu o dostępne dane, kryteria klasyfikacji nie są spełnione (ATE mieszaniny obliczona &gt; 2000 mg/kg mc.).</w:t>
      </w:r>
    </w:p>
    <w:p>
      <w:pPr>
        <w:spacing w:after="80"/>
      </w:pPr>
      <w:r>
        <w:rPr>
          <w:rFonts w:ascii="Arial" w:cs="Arial" w:eastAsia="Arial" w:hAnsi="Arial"/>
          <w:sz w:val="20"/>
          <w:szCs w:val="20"/>
        </w:rPr>
        <w:t xml:space="preserve">- Przez drogi oddechowe (inhalacyjnie): W oparciu o dostępne dane, kryteria klasyfikacji nie są spełnione (ATE mieszaniny obliczona &gt; 20 mg/l dla par).</w:t>
      </w:r>
    </w:p>
    <w:p>
      <w:pPr>
        <w:spacing w:after="80"/>
      </w:pPr>
      <w:r>
        <w:rPr>
          <w:rFonts w:ascii="Arial" w:cs="Arial" w:eastAsia="Arial" w:hAnsi="Arial"/>
          <w:sz w:val="20"/>
          <w:szCs w:val="20"/>
        </w:rPr>
        <w:t xml:space="preserve">Dane toksykologiczne dla składników:</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 LD50 (doustnie, szczur): &gt; 5000 mg/kg mc.</w:t>
      </w:r>
    </w:p>
    <w:p>
      <w:pPr>
        <w:spacing w:after="80"/>
      </w:pPr>
      <w:r>
        <w:rPr>
          <w:rFonts w:ascii="Arial" w:cs="Arial" w:eastAsia="Arial" w:hAnsi="Arial"/>
          <w:sz w:val="20"/>
          <w:szCs w:val="20"/>
        </w:rPr>
        <w:t xml:space="preserve">* LC50 (inhalacyjnie, pary, szczur): &gt; 50 mg/l/4 h</w:t>
      </w:r>
    </w:p>
    <w:p>
      <w:pPr>
        <w:spacing w:after="80" w:before="150"/>
      </w:pPr>
      <w:r>
        <w:rPr>
          <w:rFonts w:ascii="Arial" w:cs="Arial" w:eastAsia="Arial" w:hAnsi="Arial"/>
          <w:b/>
          <w:bCs/>
          <w:sz w:val="20"/>
          <w:szCs w:val="20"/>
        </w:rPr>
        <w:t xml:space="preserve">aldehyd anyżowy (4-metoksybenzaldehyd) (CAS: 123-11-5):</w:t>
      </w:r>
    </w:p>
    <w:p>
      <w:pPr>
        <w:spacing w:after="80"/>
      </w:pPr>
      <w:r>
        <w:rPr>
          <w:rFonts w:ascii="Arial" w:cs="Arial" w:eastAsia="Arial" w:hAnsi="Arial"/>
          <w:sz w:val="20"/>
          <w:szCs w:val="20"/>
        </w:rPr>
        <w:t xml:space="preserve">* LD50 (doustnie, szczur): 3210 mg/kg mc.</w:t>
      </w:r>
    </w:p>
    <w:p>
      <w:pPr>
        <w:spacing w:after="80"/>
      </w:pPr>
      <w:r>
        <w:rPr>
          <w:rFonts w:ascii="Arial" w:cs="Arial" w:eastAsia="Arial" w:hAnsi="Arial"/>
          <w:sz w:val="20"/>
          <w:szCs w:val="20"/>
        </w:rPr>
        <w:t xml:space="preserve">* LD50 (skóra, królik): &gt; 5000 mg/kg mc.</w:t>
      </w:r>
    </w:p>
    <w:p>
      <w:pPr>
        <w:spacing w:after="80"/>
      </w:pPr>
      <w:r>
        <w:rPr>
          <w:rFonts w:ascii="Arial" w:cs="Arial" w:eastAsia="Arial" w:hAnsi="Arial"/>
          <w:sz w:val="20"/>
          <w:szCs w:val="20"/>
        </w:rPr>
        <w:t xml:space="preserve">* LC50 (inhalacyjnie, pary, szczur): 0,32 mg/l/7 h</w:t>
      </w:r>
    </w:p>
    <w:p>
      <w:pPr>
        <w:spacing w:after="80" w:before="150"/>
      </w:pPr>
      <w:r>
        <w:rPr>
          <w:rFonts w:ascii="Arial" w:cs="Arial" w:eastAsia="Arial" w:hAnsi="Arial"/>
          <w:b/>
          <w:bCs/>
          <w:sz w:val="20"/>
          <w:szCs w:val="20"/>
        </w:rPr>
        <w:t xml:space="preserve">kumaryna (2H-chromen-2-on) (CAS: 91-64-5):</w:t>
      </w:r>
    </w:p>
    <w:p>
      <w:pPr>
        <w:spacing w:after="80"/>
      </w:pPr>
      <w:r>
        <w:rPr>
          <w:rFonts w:ascii="Arial" w:cs="Arial" w:eastAsia="Arial" w:hAnsi="Arial"/>
          <w:sz w:val="20"/>
          <w:szCs w:val="20"/>
        </w:rPr>
        <w:t xml:space="preserve">* LD50 (doustnie, szczur): 290 mg/kg mc. (ATE = 500 mg/kg mc.)</w:t>
      </w:r>
    </w:p>
    <w:p>
      <w:pPr>
        <w:spacing w:after="80"/>
      </w:pPr>
      <w:r>
        <w:rPr>
          <w:rFonts w:ascii="Arial" w:cs="Arial" w:eastAsia="Arial" w:hAnsi="Arial"/>
          <w:sz w:val="20"/>
          <w:szCs w:val="20"/>
        </w:rPr>
        <w:t xml:space="preserve">* LD50 (skóra, szczur): 293 mg/kg mc.</w:t>
      </w:r>
    </w:p>
    <w:p>
      <w:pPr>
        <w:spacing w:after="80"/>
      </w:pPr>
      <w:r>
        <w:rPr>
          <w:rFonts w:ascii="Arial" w:cs="Arial" w:eastAsia="Arial" w:hAnsi="Arial"/>
          <w:sz w:val="20"/>
          <w:szCs w:val="20"/>
        </w:rPr>
        <w:t xml:space="preserve">* LC50 (inhalacyjnie, pyły/mgły, szczur): 293 mg/kg</w:t>
      </w:r>
    </w:p>
    <w:p>
      <w:pPr>
        <w:spacing w:after="80" w:before="150"/>
      </w:pPr>
      <w:r>
        <w:rPr>
          <w:rFonts w:ascii="Arial" w:cs="Arial" w:eastAsia="Arial" w:hAnsi="Arial"/>
          <w:b/>
          <w:bCs/>
          <w:sz w:val="20"/>
          <w:szCs w:val="20"/>
        </w:rPr>
        <w:t xml:space="preserve">2,6-di-tert-butylo-4-metylofenol (BHT) (CAS: 128-37-0):</w:t>
      </w:r>
    </w:p>
    <w:p>
      <w:pPr>
        <w:spacing w:after="80"/>
      </w:pPr>
      <w:r>
        <w:rPr>
          <w:rFonts w:ascii="Arial" w:cs="Arial" w:eastAsia="Arial" w:hAnsi="Arial"/>
          <w:sz w:val="20"/>
          <w:szCs w:val="20"/>
        </w:rPr>
        <w:t xml:space="preserve">* LD50 (doustnie, szczur): 2930 mg/kg mc.</w:t>
      </w:r>
    </w:p>
    <w:p>
      <w:pPr>
        <w:spacing w:after="80"/>
      </w:pPr>
      <w:r>
        <w:rPr>
          <w:rFonts w:ascii="Arial" w:cs="Arial" w:eastAsia="Arial" w:hAnsi="Arial"/>
          <w:sz w:val="20"/>
          <w:szCs w:val="20"/>
        </w:rPr>
        <w:t xml:space="preserve">* LD50 (skóra, szczur): &gt; 2000 mg/kg mc.</w:t>
      </w:r>
    </w:p>
    <w:p>
      <w:pPr>
        <w:spacing w:after="80" w:before="150"/>
      </w:pPr>
      <w:r>
        <w:rPr>
          <w:rFonts w:ascii="Arial" w:cs="Arial" w:eastAsia="Arial" w:hAnsi="Arial"/>
          <w:b/>
          <w:bCs/>
          <w:sz w:val="20"/>
          <w:szCs w:val="20"/>
        </w:rPr>
        <w:t xml:space="preserve">toluen (CAS: 108-88-3):</w:t>
      </w:r>
    </w:p>
    <w:p>
      <w:pPr>
        <w:spacing w:after="80"/>
      </w:pPr>
      <w:r>
        <w:rPr>
          <w:rFonts w:ascii="Arial" w:cs="Arial" w:eastAsia="Arial" w:hAnsi="Arial"/>
          <w:sz w:val="20"/>
          <w:szCs w:val="20"/>
        </w:rPr>
        <w:t xml:space="preserve">* LD50 (doustnie, szczur): &gt; 5000 mg/kg mc.</w:t>
      </w:r>
    </w:p>
    <w:p>
      <w:pPr>
        <w:spacing w:after="80"/>
      </w:pPr>
      <w:r>
        <w:rPr>
          <w:rFonts w:ascii="Arial" w:cs="Arial" w:eastAsia="Arial" w:hAnsi="Arial"/>
          <w:sz w:val="20"/>
          <w:szCs w:val="20"/>
        </w:rPr>
        <w:t xml:space="preserve">* LD50 (skóra, królik): &gt; 5000 mg/kg mc.</w:t>
      </w:r>
    </w:p>
    <w:p>
      <w:pPr>
        <w:spacing w:after="80"/>
      </w:pPr>
      <w:r>
        <w:rPr>
          <w:rFonts w:ascii="Arial" w:cs="Arial" w:eastAsia="Arial" w:hAnsi="Arial"/>
          <w:sz w:val="20"/>
          <w:szCs w:val="20"/>
        </w:rPr>
        <w:t xml:space="preserve">* LC50 (inhalacyjnie, pary, człowiek): 100 ppm</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 (Kategoria 2) – mieszanina zawiera etanol w stężeniu przekraczającym specyficzne stężenie graniczne (≥ 50%).</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W oparciu o dostępne dane, kryteria klasyfikacji mieszaniny jako uczulającej nie są spełnione. Jednakże mieszanina zawiera kumarynę (2H-chromen-2-on) w stężeniu ≥ 0,1%, co nakłada obowiązek podania informacji uzupełniającej na etykiecie: EUH208 Zawiera kumarynę (2H-chromen-2-on). Może powodować wystąpienie reakcji alergicznej.</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 (aldehyd anyżowy i toluen występują poniżej wartości progowych klasyfikacji).</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 (lepkość kinematyczna mieszaniny oraz śladowa zawartość substancji stwarzających zagrożenie aspiracją wykluczają klasyfikację).</w:t>
      </w:r>
    </w:p>
    <w:p>
      <w:pPr>
        <w:spacing w:after="100" w:before="200"/>
      </w:pPr>
      <w:r>
        <w:rPr>
          <w:rFonts w:ascii="Arial" w:cs="Arial" w:eastAsia="Arial" w:hAnsi="Arial"/>
          <w:b/>
          <w:bCs/>
          <w:sz w:val="20"/>
          <w:szCs w:val="20"/>
        </w:rPr>
        <w:t xml:space="preserve">11.2. Informacje o innych zagrożeniach</w:t>
      </w:r>
    </w:p>
    <w:p>
      <w:pPr>
        <w:spacing w:after="100" w:before="200"/>
      </w:pPr>
      <w:r>
        <w:rPr>
          <w:rFonts w:ascii="Arial" w:cs="Arial" w:eastAsia="Arial" w:hAnsi="Arial"/>
          <w:b/>
          <w:bCs/>
          <w:sz w:val="20"/>
          <w:szCs w:val="20"/>
        </w:rPr>
        <w:t xml:space="preserve">11.2.1.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zdrowia ludzi zgodnie z kryteriami określonymi w rozporządzeniach (UE) 2017/2100 lub (UE) 2018/605 w stężeniu ≥ 0,1% wag.</w:t>
      </w:r>
    </w:p>
    <w:p>
      <w:pPr>
        <w:spacing w:after="100" w:before="200"/>
      </w:pPr>
      <w:r>
        <w:rPr>
          <w:rFonts w:ascii="Arial" w:cs="Arial" w:eastAsia="Arial" w:hAnsi="Arial"/>
          <w:b/>
          <w:bCs/>
          <w:sz w:val="20"/>
          <w:szCs w:val="20"/>
        </w:rPr>
        <w:t xml:space="preserve">11.2.2. Inne informacje:</w:t>
      </w:r>
    </w:p>
    <w:p>
      <w:pPr>
        <w:spacing w:after="80"/>
      </w:pPr>
      <w:r>
        <w:rPr>
          <w:rFonts w:ascii="Arial" w:cs="Arial" w:eastAsia="Arial" w:hAnsi="Arial"/>
          <w:sz w:val="20"/>
          <w:szCs w:val="20"/>
        </w:rPr>
        <w:t xml:space="preserve">Brak innych znanych zagrożeń dla zdrowia.</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Mieszanina nie została zaklasyfikowana jako stwarzająca zagrożenie dla środowiska wodnego zgodnie z metodą obliczeniową rozporządzenia CLP. Należy jednak unikać przedostawania się produktu do wód, gleby i kanalizacji.</w:t>
      </w:r>
    </w:p>
    <w:p>
      <w:pPr>
        <w:spacing w:after="80"/>
      </w:pPr>
      <w:r>
        <w:rPr>
          <w:rFonts w:ascii="Arial" w:cs="Arial" w:eastAsia="Arial" w:hAnsi="Arial"/>
          <w:sz w:val="20"/>
          <w:szCs w:val="20"/>
        </w:rPr>
        <w:t xml:space="preserve">Informacje ekotoksykologiczne dotyczące składników:</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 LC50 (ryby, 96 h): 14200 mg/l</w:t>
      </w:r>
    </w:p>
    <w:p>
      <w:pPr>
        <w:spacing w:after="80"/>
      </w:pPr>
      <w:r>
        <w:rPr>
          <w:rFonts w:ascii="Arial" w:cs="Arial" w:eastAsia="Arial" w:hAnsi="Arial"/>
          <w:sz w:val="20"/>
          <w:szCs w:val="20"/>
        </w:rPr>
        <w:t xml:space="preserve">- EC50 (skorupiaki, Daphnia magna, 48 h): 454 mg/l</w:t>
      </w:r>
    </w:p>
    <w:p>
      <w:pPr>
        <w:spacing w:after="80"/>
      </w:pPr>
      <w:r>
        <w:rPr>
          <w:rFonts w:ascii="Arial" w:cs="Arial" w:eastAsia="Arial" w:hAnsi="Arial"/>
          <w:sz w:val="20"/>
          <w:szCs w:val="20"/>
        </w:rPr>
        <w:t xml:space="preserve">- EC50 (glony, 72 h): 275 mg/l</w:t>
      </w:r>
    </w:p>
    <w:p>
      <w:pPr>
        <w:spacing w:after="80"/>
      </w:pPr>
      <w:r>
        <w:rPr>
          <w:rFonts w:ascii="Arial" w:cs="Arial" w:eastAsia="Arial" w:hAnsi="Arial"/>
          <w:sz w:val="20"/>
          <w:szCs w:val="20"/>
        </w:rPr>
        <w:t xml:space="preserve">- NOEC (przewlekła, ryby): 250 mg/l</w:t>
      </w:r>
    </w:p>
    <w:p>
      <w:pPr>
        <w:spacing w:after="80"/>
      </w:pPr>
      <w:r>
        <w:rPr>
          <w:rFonts w:ascii="Arial" w:cs="Arial" w:eastAsia="Arial" w:hAnsi="Arial"/>
          <w:sz w:val="20"/>
          <w:szCs w:val="20"/>
        </w:rPr>
        <w:t xml:space="preserve">- NOEC (przewlekła, skorupiaki): 96 mg/l</w:t>
      </w:r>
    </w:p>
    <w:p>
      <w:pPr>
        <w:spacing w:after="80"/>
      </w:pPr>
      <w:r>
        <w:rPr>
          <w:rFonts w:ascii="Arial" w:cs="Arial" w:eastAsia="Arial" w:hAnsi="Arial"/>
          <w:sz w:val="20"/>
          <w:szCs w:val="20"/>
        </w:rPr>
        <w:t xml:space="preserve">- NOEC (przewlekła, glony): 11,5 mg/l</w:t>
      </w:r>
    </w:p>
    <w:p>
      <w:pPr>
        <w:spacing w:after="80" w:before="150"/>
      </w:pPr>
      <w:r>
        <w:rPr>
          <w:rFonts w:ascii="Arial" w:cs="Arial" w:eastAsia="Arial" w:hAnsi="Arial"/>
          <w:b/>
          <w:bCs/>
          <w:sz w:val="20"/>
          <w:szCs w:val="20"/>
        </w:rPr>
        <w:t xml:space="preserve">aldehyd anyżowy (4-metoksybenzaldehyd) (CAS: 123-11-5):</w:t>
      </w:r>
    </w:p>
    <w:p>
      <w:pPr>
        <w:spacing w:after="80"/>
      </w:pPr>
      <w:r>
        <w:rPr>
          <w:rFonts w:ascii="Arial" w:cs="Arial" w:eastAsia="Arial" w:hAnsi="Arial"/>
          <w:sz w:val="20"/>
          <w:szCs w:val="20"/>
        </w:rPr>
        <w:t xml:space="preserve">- LC50 (ryby, Leuciscus idus, 96 h): 148,32 mg/l</w:t>
      </w:r>
    </w:p>
    <w:p>
      <w:pPr>
        <w:spacing w:after="80"/>
      </w:pPr>
      <w:r>
        <w:rPr>
          <w:rFonts w:ascii="Arial" w:cs="Arial" w:eastAsia="Arial" w:hAnsi="Arial"/>
          <w:sz w:val="20"/>
          <w:szCs w:val="20"/>
        </w:rPr>
        <w:t xml:space="preserve">- EC50 (skorupiaki, Daphnia magna, 48 h): 82,8 mg/l</w:t>
      </w:r>
    </w:p>
    <w:p>
      <w:pPr>
        <w:spacing w:after="80"/>
      </w:pPr>
      <w:r>
        <w:rPr>
          <w:rFonts w:ascii="Arial" w:cs="Arial" w:eastAsia="Arial" w:hAnsi="Arial"/>
          <w:sz w:val="20"/>
          <w:szCs w:val="20"/>
        </w:rPr>
        <w:t xml:space="preserve">- EC50 (glony, Desmodesmus subspicatus, 72 h): 81,11 mg/l</w:t>
      </w:r>
    </w:p>
    <w:p>
      <w:pPr>
        <w:spacing w:after="80"/>
      </w:pPr>
      <w:r>
        <w:rPr>
          <w:rFonts w:ascii="Arial" w:cs="Arial" w:eastAsia="Arial" w:hAnsi="Arial"/>
          <w:sz w:val="20"/>
          <w:szCs w:val="20"/>
        </w:rPr>
        <w:t xml:space="preserve">- NOEC (przewlekła, ryby, 96 h): 100 mg/l</w:t>
      </w:r>
    </w:p>
    <w:p>
      <w:pPr>
        <w:spacing w:after="80" w:before="150"/>
      </w:pPr>
      <w:r>
        <w:rPr>
          <w:rFonts w:ascii="Arial" w:cs="Arial" w:eastAsia="Arial" w:hAnsi="Arial"/>
          <w:b/>
          <w:bCs/>
          <w:sz w:val="20"/>
          <w:szCs w:val="20"/>
        </w:rPr>
        <w:t xml:space="preserve">kumaryna (2H-chromen-2-on) (CAS: 91-64-5):</w:t>
      </w:r>
    </w:p>
    <w:p>
      <w:pPr>
        <w:spacing w:after="80"/>
      </w:pPr>
      <w:r>
        <w:rPr>
          <w:rFonts w:ascii="Arial" w:cs="Arial" w:eastAsia="Arial" w:hAnsi="Arial"/>
          <w:sz w:val="20"/>
          <w:szCs w:val="20"/>
        </w:rPr>
        <w:t xml:space="preserve">- LC50 (ryby, 96 h): 1,324 mg/l</w:t>
      </w:r>
    </w:p>
    <w:p>
      <w:pPr>
        <w:spacing w:after="80"/>
      </w:pPr>
      <w:r>
        <w:rPr>
          <w:rFonts w:ascii="Arial" w:cs="Arial" w:eastAsia="Arial" w:hAnsi="Arial"/>
          <w:sz w:val="20"/>
          <w:szCs w:val="20"/>
        </w:rPr>
        <w:t xml:space="preserve">- EC50 (skorupiaki, 48 h): 8,012 mg/l</w:t>
      </w:r>
    </w:p>
    <w:p>
      <w:pPr>
        <w:spacing w:after="80"/>
      </w:pPr>
      <w:r>
        <w:rPr>
          <w:rFonts w:ascii="Arial" w:cs="Arial" w:eastAsia="Arial" w:hAnsi="Arial"/>
          <w:sz w:val="20"/>
          <w:szCs w:val="20"/>
        </w:rPr>
        <w:t xml:space="preserve">- EC50 (glony, 72 h): 1,452 mg/l</w:t>
      </w:r>
    </w:p>
    <w:p>
      <w:pPr>
        <w:spacing w:after="80"/>
      </w:pPr>
      <w:r>
        <w:rPr>
          <w:rFonts w:ascii="Arial" w:cs="Arial" w:eastAsia="Arial" w:hAnsi="Arial"/>
          <w:sz w:val="20"/>
          <w:szCs w:val="20"/>
        </w:rPr>
        <w:t xml:space="preserve">- NOEC (przewlekła, ryby): 0,119 mg/l</w:t>
      </w:r>
    </w:p>
    <w:p>
      <w:pPr>
        <w:spacing w:after="80"/>
      </w:pPr>
      <w:r>
        <w:rPr>
          <w:rFonts w:ascii="Arial" w:cs="Arial" w:eastAsia="Arial" w:hAnsi="Arial"/>
          <w:sz w:val="20"/>
          <w:szCs w:val="20"/>
        </w:rPr>
        <w:t xml:space="preserve">- NOEC (przewlekła, skorupiaki): 0,448 mg/l</w:t>
      </w:r>
    </w:p>
    <w:p>
      <w:pPr>
        <w:spacing w:after="80"/>
      </w:pPr>
      <w:r>
        <w:rPr>
          <w:rFonts w:ascii="Arial" w:cs="Arial" w:eastAsia="Arial" w:hAnsi="Arial"/>
          <w:sz w:val="20"/>
          <w:szCs w:val="20"/>
        </w:rPr>
        <w:t xml:space="preserve">- NOEC (przewlekła, glony): 0,408 mg/l</w:t>
      </w:r>
    </w:p>
    <w:p>
      <w:pPr>
        <w:spacing w:after="80" w:before="150"/>
      </w:pPr>
      <w:r>
        <w:rPr>
          <w:rFonts w:ascii="Arial" w:cs="Arial" w:eastAsia="Arial" w:hAnsi="Arial"/>
          <w:b/>
          <w:bCs/>
          <w:sz w:val="20"/>
          <w:szCs w:val="20"/>
        </w:rPr>
        <w:t xml:space="preserve">2,6-di-tert-butylo-4-metylofenol (BHT) (CAS: 128-37-0):</w:t>
      </w:r>
    </w:p>
    <w:p>
      <w:pPr>
        <w:spacing w:after="80"/>
      </w:pPr>
      <w:r>
        <w:rPr>
          <w:rFonts w:ascii="Arial" w:cs="Arial" w:eastAsia="Arial" w:hAnsi="Arial"/>
          <w:sz w:val="20"/>
          <w:szCs w:val="20"/>
        </w:rPr>
        <w:t xml:space="preserve">- LC50 (ryby, 96 h): 0,199 mg/l</w:t>
      </w:r>
    </w:p>
    <w:p>
      <w:pPr>
        <w:spacing w:after="80"/>
      </w:pPr>
      <w:r>
        <w:rPr>
          <w:rFonts w:ascii="Arial" w:cs="Arial" w:eastAsia="Arial" w:hAnsi="Arial"/>
          <w:sz w:val="20"/>
          <w:szCs w:val="20"/>
        </w:rPr>
        <w:t xml:space="preserve">- EC50 (skorupiaki, Daphnia magna, 48 h): 0,48 mg/l</w:t>
      </w:r>
    </w:p>
    <w:p>
      <w:pPr>
        <w:spacing w:after="80"/>
      </w:pPr>
      <w:r>
        <w:rPr>
          <w:rFonts w:ascii="Arial" w:cs="Arial" w:eastAsia="Arial" w:hAnsi="Arial"/>
          <w:sz w:val="20"/>
          <w:szCs w:val="20"/>
        </w:rPr>
        <w:t xml:space="preserve">- EC50 (glony, 72 h): &gt; 0,4 mg/l</w:t>
      </w:r>
    </w:p>
    <w:p>
      <w:pPr>
        <w:spacing w:after="80"/>
      </w:pPr>
      <w:r>
        <w:rPr>
          <w:rFonts w:ascii="Arial" w:cs="Arial" w:eastAsia="Arial" w:hAnsi="Arial"/>
          <w:sz w:val="20"/>
          <w:szCs w:val="20"/>
        </w:rPr>
        <w:t xml:space="preserve">- NOEC (przewlekła, ryby): 0,053 mg/l</w:t>
      </w:r>
    </w:p>
    <w:p>
      <w:pPr>
        <w:spacing w:after="80"/>
      </w:pPr>
      <w:r>
        <w:rPr>
          <w:rFonts w:ascii="Arial" w:cs="Arial" w:eastAsia="Arial" w:hAnsi="Arial"/>
          <w:sz w:val="20"/>
          <w:szCs w:val="20"/>
        </w:rPr>
        <w:t xml:space="preserve">- NOEC (przewlekła, skorupiaki): 0,15 mg/l</w:t>
      </w:r>
    </w:p>
    <w:p>
      <w:pPr>
        <w:spacing w:after="80" w:before="150"/>
      </w:pPr>
      <w:r>
        <w:rPr>
          <w:rFonts w:ascii="Arial" w:cs="Arial" w:eastAsia="Arial" w:hAnsi="Arial"/>
          <w:b/>
          <w:bCs/>
          <w:sz w:val="20"/>
          <w:szCs w:val="20"/>
        </w:rPr>
        <w:t xml:space="preserve">toluen (CAS: 108-88-3):</w:t>
      </w:r>
    </w:p>
    <w:p>
      <w:pPr>
        <w:spacing w:after="80"/>
      </w:pPr>
      <w:r>
        <w:rPr>
          <w:rFonts w:ascii="Arial" w:cs="Arial" w:eastAsia="Arial" w:hAnsi="Arial"/>
          <w:sz w:val="20"/>
          <w:szCs w:val="20"/>
        </w:rPr>
        <w:t xml:space="preserve">- LC50 (ryby, Oncorhynchus kisutch, 96 h): 5,5 mg/l</w:t>
      </w:r>
    </w:p>
    <w:p>
      <w:pPr>
        <w:spacing w:after="80"/>
      </w:pPr>
      <w:r>
        <w:rPr>
          <w:rFonts w:ascii="Arial" w:cs="Arial" w:eastAsia="Arial" w:hAnsi="Arial"/>
          <w:sz w:val="20"/>
          <w:szCs w:val="20"/>
        </w:rPr>
        <w:t xml:space="preserve">- EC50 (skorupiaki, 48 h): 3,78 mg/l</w:t>
      </w:r>
    </w:p>
    <w:p>
      <w:pPr>
        <w:spacing w:after="80"/>
      </w:pPr>
      <w:r>
        <w:rPr>
          <w:rFonts w:ascii="Arial" w:cs="Arial" w:eastAsia="Arial" w:hAnsi="Arial"/>
          <w:sz w:val="20"/>
          <w:szCs w:val="20"/>
        </w:rPr>
        <w:t xml:space="preserve">- EC50 (glony, 72 h): 134 mg/l</w:t>
      </w:r>
    </w:p>
    <w:p>
      <w:pPr>
        <w:spacing w:after="80"/>
      </w:pPr>
      <w:r>
        <w:rPr>
          <w:rFonts w:ascii="Arial" w:cs="Arial" w:eastAsia="Arial" w:hAnsi="Arial"/>
          <w:sz w:val="20"/>
          <w:szCs w:val="20"/>
        </w:rPr>
        <w:t xml:space="preserve">- NOEC (przewlekła, glony, 72 h): 10 mg/l</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 etanol (CAS: 64-17-5): łatwo ulega biodegradacji.</w:t>
      </w:r>
    </w:p>
    <w:p>
      <w:pPr>
        <w:spacing w:after="80"/>
      </w:pPr>
      <w:r>
        <w:rPr>
          <w:rFonts w:ascii="Arial" w:cs="Arial" w:eastAsia="Arial" w:hAnsi="Arial"/>
          <w:sz w:val="20"/>
          <w:szCs w:val="20"/>
        </w:rPr>
        <w:t xml:space="preserve">- aldehyd anyżowy (4-metoksybenzaldehyd) (CAS: 123-11-5): łatwo ulega biodegradacji.</w:t>
      </w:r>
    </w:p>
    <w:p>
      <w:pPr>
        <w:spacing w:after="80"/>
      </w:pPr>
      <w:r>
        <w:rPr>
          <w:rFonts w:ascii="Arial" w:cs="Arial" w:eastAsia="Arial" w:hAnsi="Arial"/>
          <w:sz w:val="20"/>
          <w:szCs w:val="20"/>
        </w:rPr>
        <w:t xml:space="preserve">- kumaryna (2H-chromen-2-on) (CAS: 91-64-5): łatwo ulega biodegradacji.</w:t>
      </w:r>
    </w:p>
    <w:p>
      <w:pPr>
        <w:spacing w:after="80"/>
      </w:pPr>
      <w:r>
        <w:rPr>
          <w:rFonts w:ascii="Arial" w:cs="Arial" w:eastAsia="Arial" w:hAnsi="Arial"/>
          <w:sz w:val="20"/>
          <w:szCs w:val="20"/>
        </w:rPr>
        <w:t xml:space="preserve">- 2,6-di-tert-butylo-4-metylofenol (BHT) (CAS: 128-37-0): substancja nie jest łatwo biodegradowalna w środowisku wodnym.</w:t>
      </w:r>
    </w:p>
    <w:p>
      <w:pPr>
        <w:spacing w:after="80"/>
      </w:pPr>
      <w:r>
        <w:rPr>
          <w:rFonts w:ascii="Arial" w:cs="Arial" w:eastAsia="Arial" w:hAnsi="Arial"/>
          <w:sz w:val="20"/>
          <w:szCs w:val="20"/>
        </w:rPr>
        <w:t xml:space="preserve">- toluen (CAS: 108-88-3): łatwo ulega biodegradacji.</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 etanol (CAS: 64-17-5): współczynnik podziału n-oktanol/woda (log Kow): -0,35 (niski potencjał bioakumulacji).</w:t>
      </w:r>
    </w:p>
    <w:p>
      <w:pPr>
        <w:spacing w:after="80"/>
      </w:pPr>
      <w:r>
        <w:rPr>
          <w:rFonts w:ascii="Arial" w:cs="Arial" w:eastAsia="Arial" w:hAnsi="Arial"/>
          <w:sz w:val="20"/>
          <w:szCs w:val="20"/>
        </w:rPr>
        <w:t xml:space="preserve">- 2,6-di-tert-butylo-4-metylofenol (BHT) (CAS: 128-37-0): log Kow = 5,1; BCF = 598,4 (potencjał do bioakumulacji).</w:t>
      </w:r>
    </w:p>
    <w:p>
      <w:pPr>
        <w:spacing w:after="80"/>
      </w:pPr>
      <w:r>
        <w:rPr>
          <w:rFonts w:ascii="Arial" w:cs="Arial" w:eastAsia="Arial" w:hAnsi="Arial"/>
          <w:sz w:val="20"/>
          <w:szCs w:val="20"/>
        </w:rPr>
        <w:t xml:space="preserve">- toluen (CAS: 108-88-3): log Kow = 2,73; BCF = 90 (niski potencjał bioakumulacji).</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 aldehyd anyżowy (CAS: 123-11-5): współczynnik podziału gleba/woda Koc: 1 (wysoka mobilność).</w:t>
      </w:r>
    </w:p>
    <w:p>
      <w:pPr>
        <w:spacing w:after="80"/>
      </w:pPr>
      <w:r>
        <w:rPr>
          <w:rFonts w:ascii="Arial" w:cs="Arial" w:eastAsia="Arial" w:hAnsi="Arial"/>
          <w:sz w:val="20"/>
          <w:szCs w:val="20"/>
        </w:rPr>
        <w:t xml:space="preserve">- 2,6-di-tert-butylo-4-metylofenol (BHT) (CAS: 128-37-0): współczynnik podziału gleba/woda Koc: 4,2 (silna adsorpcja).</w:t>
      </w:r>
    </w:p>
    <w:p>
      <w:pPr>
        <w:spacing w:after="80"/>
      </w:pPr>
      <w:r>
        <w:rPr>
          <w:rFonts w:ascii="Arial" w:cs="Arial" w:eastAsia="Arial" w:hAnsi="Arial"/>
          <w:sz w:val="20"/>
          <w:szCs w:val="20"/>
        </w:rPr>
        <w:t xml:space="preserve">- toluen (CAS: 108-88-3): współczynnik podziału gleba/woda Koc: 2,31.</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niepożądane skutki działania na środowisko (brak substancji niszczących warstwę ozonową lub mających wysoki potencjał tworzenia ozonu fotochemicznego).</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80"/>
      </w:pPr>
      <w:r>
        <w:rPr>
          <w:rFonts w:ascii="Arial" w:cs="Arial" w:eastAsia="Arial" w:hAnsi="Arial"/>
          <w:sz w:val="20"/>
          <w:szCs w:val="20"/>
        </w:rPr>
        <w:t xml:space="preserve">- Odpady z produktu (dla zastosowań profesjonalnych / przemysłowych): 16 03 05* (Organiczne odpady zawierające substancje niebezpieczne) lub 16 05 08* (Zużyte chemikalia zawierające substancje niebezpieczne).</w:t>
      </w:r>
    </w:p>
    <w:p>
      <w:pPr>
        <w:spacing w:after="80"/>
      </w:pPr>
      <w:r>
        <w:rPr>
          <w:rFonts w:ascii="Arial" w:cs="Arial" w:eastAsia="Arial" w:hAnsi="Arial"/>
          <w:sz w:val="20"/>
          <w:szCs w:val="20"/>
        </w:rPr>
        <w:t xml:space="preserve">- Odpady z produktu (dla konsumentów / odpady komunalne): 20 01 29* (Detergenty zawierające substancje niebezpieczne) lub 20 01 27*.</w:t>
      </w:r>
    </w:p>
    <w:p>
      <w:pPr>
        <w:spacing w:after="80"/>
      </w:pPr>
      <w:r>
        <w:rPr>
          <w:rFonts w:ascii="Arial" w:cs="Arial" w:eastAsia="Arial" w:hAnsi="Arial"/>
          <w:sz w:val="20"/>
          <w:szCs w:val="20"/>
        </w:rPr>
        <w:t xml:space="preserve">- Odpady opakowaniowe: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100" w:before="200"/>
      </w:pPr>
      <w:r>
        <w:rPr>
          <w:rFonts w:ascii="Arial" w:cs="Arial" w:eastAsia="Arial" w:hAnsi="Arial"/>
          <w:b/>
          <w:bCs/>
          <w:sz w:val="20"/>
          <w:szCs w:val="20"/>
        </w:rPr>
        <w:t xml:space="preserve">14.3. Klasa(-y) zagrożenia w transporcie</w:t>
      </w:r>
    </w:p>
    <w:p>
      <w:pPr>
        <w:spacing w:after="80"/>
      </w:pPr>
      <w:r>
        <w:rPr>
          <w:rFonts w:ascii="Arial" w:cs="Arial" w:eastAsia="Arial" w:hAnsi="Arial"/>
          <w:sz w:val="20"/>
          <w:szCs w:val="20"/>
        </w:rPr>
        <w:t xml:space="preserve">Klasa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80"/>
      </w:pPr>
      <w:r>
        <w:rPr>
          <w:rFonts w:ascii="Arial" w:cs="Arial" w:eastAsia="Arial" w:hAnsi="Arial"/>
          <w:sz w:val="20"/>
          <w:szCs w:val="20"/>
        </w:rPr>
        <w:t xml:space="preserve">- Substancje wzbudzające szczególnie duże obawy (SVHC – REACH załącznik XIV): Mieszanina nie zawiera substancji z listy kandydackiej SVHC podlegających procedurze udzielania zezwoleń (REACH załącznik XIV) w stężeniu ≥ 0,1% wag.</w:t>
      </w:r>
    </w:p>
    <w:p>
      <w:pPr>
        <w:spacing w:after="80"/>
      </w:pPr>
      <w:r>
        <w:rPr>
          <w:rFonts w:ascii="Arial" w:cs="Arial" w:eastAsia="Arial" w:hAnsi="Arial"/>
          <w:sz w:val="20"/>
          <w:szCs w:val="20"/>
        </w:rPr>
        <w:t xml:space="preserve">- Ograniczenia dotyczące produkcji, wprowadzania do obrotu i stosowania niektórych niebezpiecznych substancji (REACH załącznik XVII): Mieszanina nie podlega ograniczeniom na mocy załącznika XVII do rozporządzenia REACH.</w:t>
      </w:r>
    </w:p>
    <w:p>
      <w:pPr>
        <w:spacing w:after="80"/>
      </w:pPr>
      <w:r>
        <w:rPr>
          <w:rFonts w:ascii="Arial" w:cs="Arial" w:eastAsia="Arial" w:hAnsi="Arial"/>
          <w:sz w:val="20"/>
          <w:szCs w:val="20"/>
        </w:rPr>
        <w:t xml:space="preserve">- Dyrektywa Parlamentu Europejskiego i Rady 2012/18/UE (Seveso III): Z uwagi na właściwości cieczy łatwopalnych produkt może kwalifikować się do przepisów dyrektywy po przekroczeniu ilości progowych [Kategoria P5a/P5b/P5c: 10 t / 50 t lub 5 000 t / 50 000 t w zależności od warunków magazynowania]. Kwalifikacja zakładu (ZZR/ZDR) należy do prowadzącego zakład.</w:t>
      </w:r>
    </w:p>
    <w:p>
      <w:pPr>
        <w:spacing w:after="80"/>
      </w:pPr>
      <w:r>
        <w:rPr>
          <w:rFonts w:ascii="Arial" w:cs="Arial" w:eastAsia="Arial" w:hAnsi="Arial"/>
          <w:sz w:val="20"/>
          <w:szCs w:val="20"/>
        </w:rPr>
        <w:t xml:space="preserve">- Rozporządzenie Parlamentu Europejskiego i Rady (UE) nr 649/2012 z dnia 4 lipca 2012 r. dotyczące wywozu i przywozu niebezpiecznych chemikaliów (PIC):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pPr>
      <w:r>
        <w:rPr>
          <w:rFonts w:ascii="Arial" w:cs="Arial" w:eastAsia="Arial" w:hAnsi="Arial"/>
          <w:sz w:val="20"/>
          <w:szCs w:val="20"/>
        </w:rPr>
        <w:t xml:space="preserve">ATE: Oszacowana toksyczność ostra (Acute Toxicity Estimate)</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80"/>
      </w:pPr>
      <w:r>
        <w:rPr>
          <w:rFonts w:ascii="Arial" w:cs="Arial" w:eastAsia="Arial" w:hAnsi="Arial"/>
          <w:sz w:val="20"/>
          <w:szCs w:val="20"/>
        </w:rPr>
        <w:t xml:space="preserve">- Baza danych Europejskiej Agencji Chemikaliów (ECHA): https://echa.europa.eu/</w:t>
      </w:r>
    </w:p>
    <w:p>
      <w:pPr>
        <w:spacing w:after="80"/>
      </w:pPr>
      <w:r>
        <w:rPr>
          <w:rFonts w:ascii="Arial" w:cs="Arial" w:eastAsia="Arial" w:hAnsi="Arial"/>
          <w:sz w:val="20"/>
          <w:szCs w:val="20"/>
        </w:rPr>
        <w:t xml:space="preserve">- Baza danych PubChem National Library of Medicine: https://pubchem.ncbi.nlm.nih.gov/</w:t>
      </w:r>
    </w:p>
    <w:p>
      <w:pPr>
        <w:spacing w:after="80"/>
      </w:pPr>
      <w:r>
        <w:rPr>
          <w:rFonts w:ascii="Arial" w:cs="Arial" w:eastAsia="Arial" w:hAnsi="Arial"/>
          <w:sz w:val="20"/>
          <w:szCs w:val="20"/>
        </w:rPr>
        <w:t xml:space="preserve">- Obowiązujące unijne i krajowe akty prawne (REACH, CLP, Dz.U. 2018 poz. 1286 z późn. zm.).</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cieczami łatwopalnymi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została opracowana i zaktualizowana zgodnie z wymogami Rozporządzenia Komisji (UE) 2020/878 z dnia 18 czerwca 2020 r. zmieniającego załącznik II do rozporządzenia (WE) nr 1907/2006 (REACH).</w:t>
      </w:r>
    </w:p>
    <w:p>
      <w:pPr>
        <w:spacing w:after="80"/>
      </w:pPr>
      <w:r>
        <w:rPr>
          <w:rFonts w:ascii="Arial" w:cs="Arial" w:eastAsia="Arial" w:hAnsi="Arial"/>
          <w:sz w:val="20"/>
          <w:szCs w:val="20"/>
        </w:rPr>
        <w:t xml:space="preserve">Informacje zawarte w niniejszej karcie wynikają z aktualnego stanu wiedzy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rPr>
      <w:t xml:space="preserve">Strona </w:t>
    </w:r>
    <w:r>
      <w:rPr>
        <w:rFonts w:ascii="Arial" w:cs="Arial" w:eastAsia="Arial" w:hAnsi="Arial"/>
      </w:rPr>
      <w:fldChar w:fldCharType="begin"/>
      <w:instrText xml:space="preserve">PAGE</w:instrText>
      <w:fldChar w:fldCharType="separate"/>
      <w:fldChar w:fldCharType="end"/>
    </w:r>
    <w:r>
      <w:rPr>
        <w:rFonts w:ascii="Arial" w:cs="Arial" w:eastAsia="Arial" w:hAnsi="Arial"/>
      </w:rPr>
      <w:t xml:space="preserve"> z </w:t>
    </w:r>
    <w:r>
      <w:rPr>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rPr>
      <w:t xml:space="preserve">SDS | SWEET HOME - PROFUMATORE AMBIENTE ORCHIDEA E VANIGLIA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2026-09-15T04:05:14.535Z</dcterms:created>
  <dcterms:modified xsi:type="dcterms:W3CDTF">2026-09-15T04:05:14.536Z</dcterms:modified>
</cp:coreProperties>
</file>

<file path=docProps/custom.xml><?xml version="1.0" encoding="utf-8"?>
<Properties xmlns="http://schemas.openxmlformats.org/officeDocument/2006/custom-properties" xmlns:vt="http://schemas.openxmlformats.org/officeDocument/2006/docPropsVTypes"/>
</file>