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Karta Charakterystyki</w:t>
      </w:r>
    </w:p>
    <w:p>
      <w:pPr>
        <w:spacing w:after="300"/>
        <w:jc w:val="center"/>
      </w:pPr>
      <w:r>
        <w:rPr>
          <w:sz w:val="16"/>
          <w:szCs w:val="16"/>
        </w:rPr>
        <w:t xml:space="preserve">[Sporządzona zgodnie z rozporządzeniem WE 1907/2006(REACH) wraz z późn. zm.]</w:t>
      </w:r>
    </w:p>
    <w:p>
      <w:pPr>
        <w:spacing w:after="400"/>
        <w:jc w:val="right"/>
      </w:pPr>
      <w:r>
        <w:rPr>
          <w:sz w:val="16"/>
          <w:szCs w:val="16"/>
        </w:rPr>
        <w:t xml:space="preserve">Data wystawienia: 15.09.2026</w:t>
      </w:r>
      <w:r>
        <w:rPr>
          <w:sz w:val="16"/>
          <w:szCs w:val="16"/>
        </w:rPr>
        <w:t xml:space="preserve">
Wersja: 2.0 / PL</w:t>
      </w: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ORCHIDEA E VANIGLIA V2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1JUA-J3HY-KX04-SM29</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pPr>
      <w:r>
        <w:rPr>
          <w:rFonts w:ascii="Arial" w:cs="Arial" w:eastAsia="Arial" w:hAnsi="Arial"/>
          <w:sz w:val="20"/>
          <w:szCs w:val="20"/>
        </w:rPr>
        <w:t xml:space="preserve">Zastosowanie: Odświeżacz powietrza (dyfuzor zapachowy).</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Brak.</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MITRANS Weronika Grzesiak</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 woj. wielkopolskie</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kontakt@prostozwloch.com.pl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Flam. Liq. 2 (Substancja ciekła łatwopalna, kategoria 2)</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Eye Irrit. 2 (Działanie drażniące na oczy, kategoria 2)</w:t>
      </w:r>
    </w:p>
    <w:p>
      <w:pPr>
        <w:spacing w:after="80"/>
      </w:pPr>
      <w:r>
        <w:rPr>
          <w:rFonts w:ascii="Arial" w:cs="Arial" w:eastAsia="Arial" w:hAnsi="Arial"/>
          <w:sz w:val="20"/>
          <w:szCs w:val="20"/>
        </w:rPr>
        <w:t xml:space="preserve">H319 Działa drażniąco na oczy.</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GHS02, GHS07</w:t>
      </w:r>
    </w:p>
    <w:p>
      <w:pPr>
        <w:spacing w:after="80" w:before="80"/>
      </w:pPr>
      <w:r>
        <w:rPr>
          <w:rFonts w:ascii="Arial" w:cs="Arial" w:eastAsia="Arial" w:hAnsi="Arial"/>
          <w:b/>
          <w:bCs/>
          <w:sz w:val="20"/>
          <w:szCs w:val="20"/>
        </w:rPr>
        <w:t xml:space="preserve">Hasło ostrzegawcze:</w:t>
      </w:r>
      <w:r>
        <w:rPr>
          <w:rFonts w:ascii="Arial" w:cs="Arial" w:eastAsia="Arial" w:hAnsi="Arial"/>
          <w:sz w:val="20"/>
          <w:szCs w:val="20"/>
        </w:rPr>
        <w:t xml:space="preserve"/>
      </w:r>
    </w:p>
    <w:p>
      <w:pPr>
        <w:spacing w:after="80"/>
      </w:pPr>
      <w:r>
        <w:rPr>
          <w:rFonts w:ascii="Arial" w:cs="Arial" w:eastAsia="Arial" w:hAnsi="Arial"/>
          <w:sz w:val="20"/>
          <w:szCs w:val="20"/>
        </w:rPr>
        <w:t xml:space="preserve">Niebezpieczeństwo</w:t>
      </w:r>
    </w:p>
    <w:p>
      <w:pPr>
        <w:spacing w:after="80"/>
      </w:pPr>
      <w:r>
        <w:rPr>
          <w:rFonts w:ascii="Arial" w:cs="Arial" w:eastAsia="Arial" w:hAnsi="Arial"/>
          <w:sz w:val="20"/>
          <w:szCs w:val="20"/>
        </w:rPr>
        <w:t xml:space="preserve">Nazwy niebezpiecznych substancji wymienione na etykiecie:</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P337+P313 W przypadku utrzymywania się działania drażniącego na oczy: Zasięgnąć porady/zgłosić się pod opiekę lekarza.</w:t>
      </w:r>
    </w:p>
    <w:p>
      <w:pPr>
        <w:spacing w:after="80"/>
      </w:pPr>
      <w:r>
        <w:rPr>
          <w:rFonts w:ascii="Arial" w:cs="Arial" w:eastAsia="Arial" w:hAnsi="Arial"/>
          <w:sz w:val="20"/>
          <w:szCs w:val="20"/>
        </w:rPr>
        <w:t xml:space="preserve">P501 Zawartość/pojemnik usuwać do odpowiednio oznakowanych pojemników na odpady zgodnie z krajowymi przepisami.</w:t>
      </w:r>
    </w:p>
    <w:p>
      <w:pPr>
        <w:spacing w:after="80"/>
      </w:pPr>
      <w:r>
        <w:rPr>
          <w:rFonts w:ascii="Arial" w:cs="Arial" w:eastAsia="Arial" w:hAnsi="Arial"/>
          <w:sz w:val="20"/>
          <w:szCs w:val="20"/>
        </w:rPr>
        <w:t xml:space="preserve">Informacje uzupełniające:</w:t>
      </w:r>
    </w:p>
    <w:p>
      <w:pPr>
        <w:spacing w:after="80"/>
      </w:pPr>
      <w:r>
        <w:rPr>
          <w:rFonts w:ascii="Arial" w:cs="Arial" w:eastAsia="Arial" w:hAnsi="Arial"/>
          <w:sz w:val="20"/>
          <w:szCs w:val="20"/>
        </w:rPr>
        <w:t xml:space="preserve">EUH208 Zawiera kumarynę (2H-chromen-2-on). Może powodować wystąpienie reakcji alergicznej.</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Produkt nie zawiera składników wpisanych do wykazu ustanowionego zgodnie z art. 59 ust. 1 jako posiadające właściwości zaburzające funkcjonowanie układu hormonalnego ani składników o właściwościach zaburzających funkcjonowanie układu hormonalnego zgodnie z kryteriami określonymi w rozporządzeniu 2017/2100/UE lub rozporządzeniu 2018/605/UE w stężeniu równym lub większym od 0,1 %.</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01-2119457610-43</w:t>
            </w:r>
          </w:p>
        </w:tc>
        <w:tc>
          <w:tcPr>
            <w:tcW w:type="dxa" w:w="2800"/>
          </w:tcPr>
          <w:p>
            <w:pPr>
              <w:spacing w:after="40"/>
            </w:pPr>
            <w:r>
              <w:rPr>
                <w:rFonts w:ascii="Arial" w:cs="Arial" w:eastAsia="Arial" w:hAnsi="Arial"/>
                <w:sz w:val="17"/>
                <w:szCs w:val="17"/>
              </w:rPr>
              <w:t xml:space="preserve">Flam. Liq. 2 H225, Eye Irrit. 2 H319</w:t>
            </w:r>
          </w:p>
          <w:p>
            <w:pPr>
              <w:spacing w:after="40"/>
            </w:pPr>
            <w:r>
              <w:rPr>
                <w:rFonts w:ascii="Arial" w:cs="Arial" w:eastAsia="Arial" w:hAnsi="Arial"/>
                <w:sz w:val="17"/>
                <w:szCs w:val="17"/>
              </w:rPr>
              <w:t xml:space="preserve">Eye Irrit. 2 H319: ≥ 50%</w:t>
            </w:r>
          </w:p>
        </w:tc>
        <w:tc>
          <w:tcPr>
            <w:tcW w:type="dxa" w:w="1400"/>
          </w:tcPr>
          <w:p>
            <w:r>
              <w:rPr>
                <w:rFonts w:ascii="Arial" w:cs="Arial" w:eastAsia="Arial" w:hAnsi="Arial"/>
                <w:sz w:val="18"/>
                <w:szCs w:val="18"/>
              </w:rPr>
              <w:t xml:space="preserve">74 ≤ x &lt; 78 %</w:t>
            </w:r>
          </w:p>
        </w:tc>
      </w:tr>
      <w:tr>
        <w:tc>
          <w:tcPr>
            <w:tcW w:type="dxa" w:w="2800"/>
          </w:tcPr>
          <w:p>
            <w:pPr>
              <w:spacing w:after="40"/>
            </w:pPr>
            <w:r>
              <w:rPr>
                <w:rFonts w:ascii="Arial" w:cs="Arial" w:eastAsia="Arial" w:hAnsi="Arial"/>
                <w:b/>
                <w:bCs/>
                <w:sz w:val="18"/>
                <w:szCs w:val="18"/>
              </w:rPr>
              <w:t xml:space="preserve">aldehyd anyżowy (4-metoksybenzaldehyd)</w:t>
            </w:r>
          </w:p>
          <w:p>
            <w:r>
              <w:rPr>
                <w:rFonts w:ascii="Arial" w:cs="Arial" w:eastAsia="Arial" w:hAnsi="Arial"/>
                <w:i/>
                <w:iCs/>
                <w:color w:val="666666"/>
                <w:sz w:val="16"/>
                <w:szCs w:val="16"/>
              </w:rPr>
              <w:t xml:space="preserve">(ang. ANISALDEHYDE)</w:t>
            </w:r>
          </w:p>
        </w:tc>
        <w:tc>
          <w:tcPr>
            <w:tcW w:type="dxa" w:w="2600"/>
          </w:tcPr>
          <w:p>
            <w:pPr>
              <w:spacing w:after="40"/>
            </w:pPr>
            <w:r>
              <w:rPr>
                <w:rFonts w:ascii="Arial" w:cs="Arial" w:eastAsia="Arial" w:hAnsi="Arial"/>
                <w:sz w:val="17"/>
                <w:szCs w:val="17"/>
              </w:rPr>
              <w:t xml:space="preserve">Numer CAS: 123-11-5</w:t>
            </w:r>
          </w:p>
          <w:p>
            <w:pPr>
              <w:spacing w:after="40"/>
            </w:pPr>
            <w:r>
              <w:rPr>
                <w:rFonts w:ascii="Arial" w:cs="Arial" w:eastAsia="Arial" w:hAnsi="Arial"/>
                <w:sz w:val="17"/>
                <w:szCs w:val="17"/>
              </w:rPr>
              <w:t xml:space="preserve">Numer WE: 204-602-6</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01-2119977101-43</w:t>
            </w:r>
          </w:p>
        </w:tc>
        <w:tc>
          <w:tcPr>
            <w:tcW w:type="dxa" w:w="2800"/>
          </w:tcPr>
          <w:p>
            <w:pPr>
              <w:spacing w:after="40"/>
            </w:pPr>
            <w:r>
              <w:rPr>
                <w:rFonts w:ascii="Arial" w:cs="Arial" w:eastAsia="Arial" w:hAnsi="Arial"/>
                <w:sz w:val="17"/>
                <w:szCs w:val="17"/>
              </w:rPr>
              <w:t xml:space="preserve">Repr. 2 H361fd, Stwarzające zagrożenie dla środowiska wodnego - kategoria przewlekła 3 H412</w:t>
            </w:r>
          </w:p>
        </w:tc>
        <w:tc>
          <w:tcPr>
            <w:tcW w:type="dxa" w:w="1400"/>
          </w:tcPr>
          <w:p>
            <w:r>
              <w:rPr>
                <w:rFonts w:ascii="Arial" w:cs="Arial" w:eastAsia="Arial" w:hAnsi="Arial"/>
                <w:sz w:val="18"/>
                <w:szCs w:val="18"/>
              </w:rPr>
              <w:t xml:space="preserve">0,7 ≤ x &lt; 0,8 %</w:t>
            </w:r>
          </w:p>
        </w:tc>
      </w:tr>
      <w:tr>
        <w:tc>
          <w:tcPr>
            <w:tcW w:type="dxa" w:w="2800"/>
          </w:tcPr>
          <w:p>
            <w:pPr>
              <w:spacing w:after="40"/>
            </w:pPr>
            <w:r>
              <w:rPr>
                <w:rFonts w:ascii="Arial" w:cs="Arial" w:eastAsia="Arial" w:hAnsi="Arial"/>
                <w:b/>
                <w:bCs/>
                <w:sz w:val="18"/>
                <w:szCs w:val="18"/>
              </w:rPr>
              <w:t xml:space="preserve">kumaryna (2H-chromen-2-on)</w:t>
            </w:r>
          </w:p>
          <w:p>
            <w:r>
              <w:rPr>
                <w:rFonts w:ascii="Arial" w:cs="Arial" w:eastAsia="Arial" w:hAnsi="Arial"/>
                <w:i/>
                <w:iCs/>
                <w:color w:val="666666"/>
                <w:sz w:val="16"/>
                <w:szCs w:val="16"/>
              </w:rPr>
              <w:t xml:space="preserve">(ang. 2H-CHROMEN-2-ONE)</w:t>
            </w:r>
          </w:p>
        </w:tc>
        <w:tc>
          <w:tcPr>
            <w:tcW w:type="dxa" w:w="2600"/>
          </w:tcPr>
          <w:p>
            <w:pPr>
              <w:spacing w:after="40"/>
            </w:pPr>
            <w:r>
              <w:rPr>
                <w:rFonts w:ascii="Arial" w:cs="Arial" w:eastAsia="Arial" w:hAnsi="Arial"/>
                <w:sz w:val="17"/>
                <w:szCs w:val="17"/>
              </w:rPr>
              <w:t xml:space="preserve">Numer CAS: 91-64-5</w:t>
            </w:r>
          </w:p>
          <w:p>
            <w:pPr>
              <w:spacing w:after="40"/>
            </w:pPr>
            <w:r>
              <w:rPr>
                <w:rFonts w:ascii="Arial" w:cs="Arial" w:eastAsia="Arial" w:hAnsi="Arial"/>
                <w:sz w:val="17"/>
                <w:szCs w:val="17"/>
              </w:rPr>
              <w:t xml:space="preserve">Numer WE: 202-086-7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01-2119943756-26</w:t>
            </w:r>
          </w:p>
        </w:tc>
        <w:tc>
          <w:tcPr>
            <w:tcW w:type="dxa" w:w="2800"/>
          </w:tcPr>
          <w:p>
            <w:pPr>
              <w:spacing w:after="40"/>
            </w:pPr>
            <w:r>
              <w:rPr>
                <w:rFonts w:ascii="Arial" w:cs="Arial" w:eastAsia="Arial" w:hAnsi="Arial"/>
                <w:sz w:val="17"/>
                <w:szCs w:val="17"/>
              </w:rPr>
              <w:t xml:space="preserve">Acute Tox. 4 H302, Skin Sens. 1 H317, Stwarzające zagrożenie dla środowiska wodnego - kategoria przewlekła 3 H412</w:t>
            </w:r>
          </w:p>
          <w:p>
            <w:pPr>
              <w:spacing w:after="40"/>
            </w:pPr>
            <w:r>
              <w:rPr>
                <w:rFonts w:ascii="Arial" w:cs="Arial" w:eastAsia="Arial" w:hAnsi="Arial"/>
                <w:sz w:val="17"/>
                <w:szCs w:val="17"/>
              </w:rPr>
              <w:t xml:space="preserve">ATE (droga pokarmowa) = 500 mg/kg</w:t>
            </w:r>
          </w:p>
        </w:tc>
        <w:tc>
          <w:tcPr>
            <w:tcW w:type="dxa" w:w="1400"/>
          </w:tcPr>
          <w:p>
            <w:r>
              <w:rPr>
                <w:rFonts w:ascii="Arial" w:cs="Arial" w:eastAsia="Arial" w:hAnsi="Arial"/>
                <w:sz w:val="18"/>
                <w:szCs w:val="18"/>
              </w:rPr>
              <w:t xml:space="preserve">0,4 ≤ x &lt; 0,45 %</w:t>
            </w:r>
          </w:p>
        </w:tc>
      </w:tr>
      <w:tr>
        <w:tc>
          <w:tcPr>
            <w:tcW w:type="dxa" w:w="2800"/>
          </w:tcPr>
          <w:p>
            <w:pPr>
              <w:spacing w:after="40"/>
            </w:pPr>
            <w:r>
              <w:rPr>
                <w:rFonts w:ascii="Arial" w:cs="Arial" w:eastAsia="Arial" w:hAnsi="Arial"/>
                <w:b/>
                <w:bCs/>
                <w:sz w:val="18"/>
                <w:szCs w:val="18"/>
              </w:rPr>
              <w:t xml:space="preserve">2,6-di-tert-butylo-4-metylofenol (BHT)</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01-2119565113-46</w:t>
            </w:r>
          </w:p>
        </w:tc>
        <w:tc>
          <w:tcPr>
            <w:tcW w:type="dxa" w:w="2800"/>
          </w:tcPr>
          <w:p>
            <w:pPr>
              <w:spacing w:after="40"/>
            </w:pPr>
            <w:r>
              <w:rPr>
                <w:rFonts w:ascii="Arial" w:cs="Arial" w:eastAsia="Arial" w:hAnsi="Arial"/>
                <w:sz w:val="17"/>
                <w:szCs w:val="17"/>
              </w:rPr>
              <w:t xml:space="preserve">Stwarzające zagrożenie dla środowiska wodnego - kategoria przewlekła 1 H410 M =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toluen</w:t>
            </w:r>
          </w:p>
          <w:p>
            <w:r>
              <w:rPr>
                <w:rFonts w:ascii="Arial" w:cs="Arial" w:eastAsia="Arial" w:hAnsi="Arial"/>
                <w:i/>
                <w:iCs/>
                <w:color w:val="666666"/>
                <w:sz w:val="16"/>
                <w:szCs w:val="16"/>
              </w:rPr>
              <w:t xml:space="preserve">(ang. 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01-2119471310-51</w:t>
            </w:r>
          </w:p>
        </w:tc>
        <w:tc>
          <w:tcPr>
            <w:tcW w:type="dxa" w:w="2800"/>
          </w:tcPr>
          <w:p>
            <w:pPr>
              <w:spacing w:after="40"/>
            </w:pPr>
            <w:r>
              <w:rPr>
                <w:rFonts w:ascii="Arial" w:cs="Arial" w:eastAsia="Arial" w:hAnsi="Arial"/>
                <w:sz w:val="17"/>
                <w:szCs w:val="17"/>
              </w:rPr>
              <w:t xml:space="preserve">Flam. Liq. 2 H225, Repr. 2 H361d, Asp. Tox. 1 H304, Działanie toksyczne na narządy docelowe – narażenie powtarzane 2 H373, Skin</w:t>
            </w:r>
          </w:p>
          <w:p>
            <w:pPr>
              <w:spacing w:after="40"/>
            </w:pPr>
            <w:r>
              <w:rPr>
                <w:rFonts w:ascii="Arial" w:cs="Arial" w:eastAsia="Arial" w:hAnsi="Arial"/>
                <w:sz w:val="17"/>
                <w:szCs w:val="17"/>
              </w:rPr>
              <w:t xml:space="preserve">Irrit. 2 H315, Działanie toksyczne na narządy docelowe – narażenie jednorazowe 3 H336</w:t>
            </w:r>
          </w:p>
        </w:tc>
        <w:tc>
          <w:tcPr>
            <w:tcW w:type="dxa" w:w="1400"/>
          </w:tcPr>
          <w:p>
            <w:r>
              <w:rPr>
                <w:rFonts w:ascii="Arial" w:cs="Arial" w:eastAsia="Arial" w:hAnsi="Arial"/>
                <w:sz w:val="18"/>
                <w:szCs w:val="18"/>
              </w:rPr>
              <w:t xml:space="preserve">0 &lt; x &lt; 0,05 %</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w:t>
      </w:r>
    </w:p>
    <w:p>
      <w:pPr>
        <w:spacing w:after="100" w:before="200"/>
      </w:pPr>
      <w:r>
        <w:rPr>
          <w:rFonts w:ascii="Arial" w:cs="Arial" w:eastAsia="Arial" w:hAnsi="Arial"/>
          <w:b/>
          <w:bCs/>
          <w:sz w:val="20"/>
          <w:szCs w:val="20"/>
        </w:rPr>
        <w:t xml:space="preserve">4.1. Opis środków pierwszej pomocy</w:t>
      </w:r>
    </w:p>
    <w:p>
      <w:pPr>
        <w:spacing w:after="80"/>
      </w:pPr>
      <w:r>
        <w:rPr>
          <w:rFonts w:ascii="Arial" w:cs="Arial" w:eastAsia="Arial" w:hAnsi="Arial"/>
          <w:sz w:val="20"/>
          <w:szCs w:val="20"/>
        </w:rPr>
        <w:t xml:space="preserve">W przypadku wdychania: wyprowadzić poszkodowanego na świeże powietrze.</w:t>
      </w:r>
    </w:p>
    <w:p>
      <w:pPr>
        <w:pBdr>
          <w:bottom w:color="00A651" w:sz="12" w:space="1"/>
        </w:pBdr>
        <w:spacing w:after="150" w:before="300"/>
      </w:pPr>
      <w:r>
        <w:rPr>
          <w:b/>
          <w:bCs/>
          <w:sz w:val="22"/>
          <w:szCs w:val="22"/>
        </w:rPr>
        <w:t xml:space="preserve">SEKCJA 5</w:t>
      </w:r>
    </w:p>
    <w:p>
      <w:pPr>
        <w:spacing w:after="100" w:before="200"/>
      </w:pPr>
      <w:r>
        <w:rPr>
          <w:rFonts w:ascii="Arial" w:cs="Arial" w:eastAsia="Arial" w:hAnsi="Arial"/>
          <w:b/>
          <w:bCs/>
          <w:sz w:val="20"/>
          <w:szCs w:val="20"/>
        </w:rPr>
        <w:t xml:space="preserve">5.1. Środki gaśnicze</w:t>
      </w:r>
    </w:p>
    <w:p>
      <w:pPr>
        <w:spacing w:after="80" w:before="80"/>
      </w:pPr>
      <w:r>
        <w:rPr>
          <w:rFonts w:ascii="Arial" w:cs="Arial" w:eastAsia="Arial" w:hAnsi="Arial"/>
          <w:b/>
          <w:bCs/>
          <w:sz w:val="20"/>
          <w:szCs w:val="20"/>
        </w:rPr>
        <w:t xml:space="preserve">Odpowiednie środki gaśnicze:</w:t>
      </w:r>
      <w:r>
        <w:rPr>
          <w:rFonts w:ascii="Arial" w:cs="Arial" w:eastAsia="Arial" w:hAnsi="Arial"/>
          <w:sz w:val="20"/>
          <w:szCs w:val="20"/>
        </w:rPr>
        <w:t xml:space="preserve"> piana gaśnicza, proszek gaśniczy, dwutlenek węgla.</w:t>
      </w:r>
    </w:p>
    <w:p>
      <w:pPr>
        <w:pBdr>
          <w:bottom w:color="00A651" w:sz="12" w:space="1"/>
        </w:pBdr>
        <w:spacing w:after="150" w:before="300"/>
      </w:pPr>
      <w:r>
        <w:rPr>
          <w:b/>
          <w:bCs/>
          <w:sz w:val="22"/>
          <w:szCs w:val="22"/>
        </w:rPr>
        <w:t xml:space="preserve">SEKCJA 6</w:t>
      </w:r>
    </w:p>
    <w:p>
      <w:pPr>
        <w:spacing w:after="100" w:before="200"/>
      </w:pPr>
      <w:r>
        <w:rPr>
          <w:rFonts w:ascii="Arial" w:cs="Arial" w:eastAsia="Arial" w:hAnsi="Arial"/>
          <w:b/>
          <w:bCs/>
          <w:sz w:val="20"/>
          <w:szCs w:val="20"/>
        </w:rPr>
        <w:t xml:space="preserve">6.1. Indywidualne środki ostrożności: usunąć wszelkie źródła zapłonu.</w:t>
      </w:r>
    </w:p>
    <w:p>
      <w:pPr>
        <w:pBdr>
          <w:bottom w:color="00A651" w:sz="12" w:space="1"/>
        </w:pBdr>
        <w:spacing w:after="150" w:before="300"/>
      </w:pPr>
      <w:r>
        <w:rPr>
          <w:b/>
          <w:bCs/>
          <w:sz w:val="22"/>
          <w:szCs w:val="22"/>
        </w:rPr>
        <w:t xml:space="preserve">SEKCJA 7</w:t>
      </w:r>
    </w:p>
    <w:p>
      <w:pPr>
        <w:spacing w:after="100" w:before="200"/>
      </w:pPr>
      <w:r>
        <w:rPr>
          <w:rFonts w:ascii="Arial" w:cs="Arial" w:eastAsia="Arial" w:hAnsi="Arial"/>
          <w:b/>
          <w:bCs/>
          <w:sz w:val="20"/>
          <w:szCs w:val="20"/>
        </w:rPr>
        <w:t xml:space="preserve">7.1. Środki ostrożności dotyczące bezpiecznego postępowania: unikać kontaktu z oczami i skórą.</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80"/>
      </w:pPr>
      <w:r>
        <w:rPr>
          <w:rFonts w:ascii="Arial" w:cs="Arial" w:eastAsia="Arial" w:hAnsi="Arial"/>
          <w:sz w:val="20"/>
          <w:szCs w:val="20"/>
        </w:rPr>
        <w:t xml:space="preserve">- NDS: 1900 mg/m³</w:t>
      </w:r>
    </w:p>
    <w:p>
      <w:pPr>
        <w:spacing w:after="80"/>
      </w:pPr>
      <w:r>
        <w:rPr>
          <w:rFonts w:ascii="Arial" w:cs="Arial" w:eastAsia="Arial" w:hAnsi="Arial"/>
          <w:sz w:val="20"/>
          <w:szCs w:val="20"/>
        </w:rPr>
        <w:t xml:space="preserve">2,6-Di-tert-butylo-4-metylofenol [CAS: 128-37-0]:</w:t>
      </w:r>
    </w:p>
    <w:p>
      <w:pPr>
        <w:spacing w:after="80"/>
      </w:pPr>
      <w:r>
        <w:rPr>
          <w:rFonts w:ascii="Arial" w:cs="Arial" w:eastAsia="Arial" w:hAnsi="Arial"/>
          <w:sz w:val="20"/>
          <w:szCs w:val="20"/>
        </w:rPr>
        <w:t xml:space="preserve">- NDS: 10 mg/m³</w:t>
      </w:r>
    </w:p>
    <w:p>
      <w:pPr>
        <w:spacing w:after="80"/>
      </w:pPr>
      <w:r>
        <w:rPr>
          <w:rFonts w:ascii="Arial" w:cs="Arial" w:eastAsia="Arial" w:hAnsi="Arial"/>
          <w:sz w:val="20"/>
          <w:szCs w:val="20"/>
        </w:rPr>
        <w:t xml:space="preserve">Toluen [CAS: 108-88-3]:</w:t>
      </w:r>
    </w:p>
    <w:p>
      <w:pPr>
        <w:spacing w:after="80"/>
      </w:pPr>
      <w:r>
        <w:rPr>
          <w:rFonts w:ascii="Arial" w:cs="Arial" w:eastAsia="Arial" w:hAnsi="Arial"/>
          <w:sz w:val="20"/>
          <w:szCs w:val="20"/>
        </w:rPr>
        <w:t xml:space="preserve">- NDS: 100 mg/m³</w:t>
      </w:r>
    </w:p>
    <w:p>
      <w:pPr>
        <w:spacing w:after="80"/>
      </w:pPr>
      <w:r>
        <w:rPr>
          <w:rFonts w:ascii="Arial" w:cs="Arial" w:eastAsia="Arial" w:hAnsi="Arial"/>
          <w:sz w:val="20"/>
          <w:szCs w:val="20"/>
        </w:rPr>
        <w:t xml:space="preserve">- NDSCh: 200 mg/m³</w:t>
      </w:r>
    </w:p>
    <w:p>
      <w:pPr>
        <w:spacing w:after="80"/>
      </w:pPr>
      <w:r>
        <w:rPr>
          <w:rFonts w:ascii="Arial" w:cs="Arial" w:eastAsia="Arial" w:hAnsi="Arial"/>
          <w:sz w:val="20"/>
          <w:szCs w:val="20"/>
        </w:rPr>
        <w:t xml:space="preserve">- Uwagi: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Pochodne poziomy niepowodujące zmian (DNEL) oraz Przewidywane stężenia niepowodujące zmian w środowisku (PNEC):</w:t>
      </w:r>
    </w:p>
    <w:p>
      <w:pPr>
        <w:spacing w:after="80"/>
      </w:pPr>
      <w:r>
        <w:rPr>
          <w:rFonts w:ascii="Arial" w:cs="Arial" w:eastAsia="Arial" w:hAnsi="Arial"/>
          <w:sz w:val="20"/>
          <w:szCs w:val="20"/>
        </w:rPr>
        <w:t xml:space="preserve">Substancja: etanol [CAS: 64-17-5]</w:t>
      </w:r>
    </w:p>
    <w:p>
      <w:pPr>
        <w:spacing w:after="80"/>
      </w:pPr>
      <w:r>
        <w:rPr>
          <w:rFonts w:ascii="Arial" w:cs="Arial" w:eastAsia="Arial" w:hAnsi="Arial"/>
          <w:sz w:val="20"/>
          <w:szCs w:val="20"/>
        </w:rPr>
        <w:t xml:space="preserve">Pochodne poziomy niepowodujące zmian (DNEL):</w:t>
      </w:r>
    </w:p>
    <w:p>
      <w:pPr>
        <w:spacing w:after="80"/>
      </w:pPr>
      <w:r>
        <w:rPr>
          <w:rFonts w:ascii="Arial" w:cs="Arial" w:eastAsia="Arial" w:hAnsi="Arial"/>
          <w:sz w:val="20"/>
          <w:szCs w:val="20"/>
        </w:rPr>
        <w:t xml:space="preserve">- Droga pokarmowa (doustnie): Konsumenci (skutki przewlekłe układowe): 87 mg/kg mc/dzień</w:t>
      </w:r>
    </w:p>
    <w:p>
      <w:pPr>
        <w:spacing w:after="80"/>
      </w:pPr>
      <w:r>
        <w:rPr>
          <w:rFonts w:ascii="Arial" w:cs="Arial" w:eastAsia="Arial" w:hAnsi="Arial"/>
          <w:sz w:val="20"/>
          <w:szCs w:val="20"/>
        </w:rPr>
        <w:t xml:space="preserve">- Drogi oddechowe (inhalacyjnie):</w:t>
      </w:r>
    </w:p>
    <w:p>
      <w:pPr>
        <w:spacing w:after="80"/>
      </w:pPr>
      <w:r>
        <w:rPr>
          <w:rFonts w:ascii="Arial" w:cs="Arial" w:eastAsia="Arial" w:hAnsi="Arial"/>
          <w:sz w:val="20"/>
          <w:szCs w:val="20"/>
        </w:rPr>
        <w:t xml:space="preserve">* Konsumenci (skutki przewlekłe układowe): 114 mg/m³</w:t>
      </w:r>
    </w:p>
    <w:p>
      <w:pPr>
        <w:spacing w:after="80"/>
      </w:pPr>
      <w:r>
        <w:rPr>
          <w:rFonts w:ascii="Arial" w:cs="Arial" w:eastAsia="Arial" w:hAnsi="Arial"/>
          <w:sz w:val="20"/>
          <w:szCs w:val="20"/>
        </w:rPr>
        <w:t xml:space="preserve">* Pracownicy (skutki przewlekłe układowe): 950 mg/m³</w:t>
      </w:r>
    </w:p>
    <w:p>
      <w:pPr>
        <w:spacing w:after="80"/>
      </w:pPr>
      <w:r>
        <w:rPr>
          <w:rFonts w:ascii="Arial" w:cs="Arial" w:eastAsia="Arial" w:hAnsi="Arial"/>
          <w:sz w:val="20"/>
          <w:szCs w:val="20"/>
        </w:rPr>
        <w:t xml:space="preserve">- Na skórę:</w:t>
      </w:r>
    </w:p>
    <w:p>
      <w:pPr>
        <w:spacing w:after="80"/>
      </w:pPr>
      <w:r>
        <w:rPr>
          <w:rFonts w:ascii="Arial" w:cs="Arial" w:eastAsia="Arial" w:hAnsi="Arial"/>
          <w:sz w:val="20"/>
          <w:szCs w:val="20"/>
        </w:rPr>
        <w:t xml:space="preserve">* Konsumenci (skutki przewlekłe układowe): 206 mg/kg mc/dzień</w:t>
      </w:r>
    </w:p>
    <w:p>
      <w:pPr>
        <w:spacing w:after="80"/>
      </w:pPr>
      <w:r>
        <w:rPr>
          <w:rFonts w:ascii="Arial" w:cs="Arial" w:eastAsia="Arial" w:hAnsi="Arial"/>
          <w:sz w:val="20"/>
          <w:szCs w:val="20"/>
        </w:rPr>
        <w:t xml:space="preserve">* Pracownicy (skutki przewlekłe układowe): 343 mg/kg mc/dzień</w:t>
      </w:r>
    </w:p>
    <w:p>
      <w:pPr>
        <w:spacing w:after="80"/>
      </w:pPr>
      <w:r>
        <w:rPr>
          <w:rFonts w:ascii="Arial" w:cs="Arial" w:eastAsia="Arial" w:hAnsi="Arial"/>
          <w:sz w:val="20"/>
          <w:szCs w:val="20"/>
        </w:rPr>
        <w:t xml:space="preserve">Przewidywane stężenia niepowodujące zmian w środowisku (PNEC):</w:t>
      </w:r>
    </w:p>
    <w:p>
      <w:pPr>
        <w:spacing w:after="80"/>
      </w:pPr>
      <w:r>
        <w:rPr>
          <w:rFonts w:ascii="Arial" w:cs="Arial" w:eastAsia="Arial" w:hAnsi="Arial"/>
          <w:sz w:val="20"/>
          <w:szCs w:val="20"/>
        </w:rPr>
        <w:t xml:space="preserve">- woda słodka: 0,96 mg/l</w:t>
      </w:r>
    </w:p>
    <w:p>
      <w:pPr>
        <w:spacing w:after="80"/>
      </w:pPr>
      <w:r>
        <w:rPr>
          <w:rFonts w:ascii="Arial" w:cs="Arial" w:eastAsia="Arial" w:hAnsi="Arial"/>
          <w:sz w:val="20"/>
          <w:szCs w:val="20"/>
        </w:rPr>
        <w:t xml:space="preserve">- woda morska: 0,79 mg/l</w:t>
      </w:r>
    </w:p>
    <w:p>
      <w:pPr>
        <w:spacing w:after="80"/>
      </w:pPr>
      <w:r>
        <w:rPr>
          <w:rFonts w:ascii="Arial" w:cs="Arial" w:eastAsia="Arial" w:hAnsi="Arial"/>
          <w:sz w:val="20"/>
          <w:szCs w:val="20"/>
        </w:rPr>
        <w:t xml:space="preserve">- osady słodkowodne: 3,6 mg/kg</w:t>
      </w:r>
    </w:p>
    <w:p>
      <w:pPr>
        <w:spacing w:after="80"/>
      </w:pPr>
      <w:r>
        <w:rPr>
          <w:rFonts w:ascii="Arial" w:cs="Arial" w:eastAsia="Arial" w:hAnsi="Arial"/>
          <w:sz w:val="20"/>
          <w:szCs w:val="20"/>
        </w:rPr>
        <w:t xml:space="preserve">- osady morskie: 2,9 mg/kg</w:t>
      </w:r>
    </w:p>
    <w:p>
      <w:pPr>
        <w:spacing w:after="80"/>
      </w:pPr>
      <w:r>
        <w:rPr>
          <w:rFonts w:ascii="Arial" w:cs="Arial" w:eastAsia="Arial" w:hAnsi="Arial"/>
          <w:sz w:val="20"/>
          <w:szCs w:val="20"/>
        </w:rPr>
        <w:t xml:space="preserve">- woda (uwalnianie okresowe): 2,75 mg/l</w:t>
      </w:r>
    </w:p>
    <w:p>
      <w:pPr>
        <w:spacing w:after="80"/>
      </w:pPr>
      <w:r>
        <w:rPr>
          <w:rFonts w:ascii="Arial" w:cs="Arial" w:eastAsia="Arial" w:hAnsi="Arial"/>
          <w:sz w:val="20"/>
          <w:szCs w:val="20"/>
        </w:rPr>
        <w:t xml:space="preserve">- mikroorganizmy w oczyszczalni ścieków (STP): 580 mg/l</w:t>
      </w:r>
    </w:p>
    <w:p>
      <w:pPr>
        <w:spacing w:after="80"/>
      </w:pPr>
      <w:r>
        <w:rPr>
          <w:rFonts w:ascii="Arial" w:cs="Arial" w:eastAsia="Arial" w:hAnsi="Arial"/>
          <w:sz w:val="20"/>
          <w:szCs w:val="20"/>
        </w:rPr>
        <w:t xml:space="preserve">- łańcuch pokarmowy (zatrucie wtórne): 0,38 mg/kg</w:t>
      </w:r>
    </w:p>
    <w:p>
      <w:pPr>
        <w:spacing w:after="80"/>
      </w:pPr>
      <w:r>
        <w:rPr>
          <w:rFonts w:ascii="Arial" w:cs="Arial" w:eastAsia="Arial" w:hAnsi="Arial"/>
          <w:sz w:val="20"/>
          <w:szCs w:val="20"/>
        </w:rPr>
        <w:t xml:space="preserve">- środowisko glebowe (gleba): 0,63 mg/kg</w:t>
      </w:r>
    </w:p>
    <w:p>
      <w:pPr>
        <w:spacing w:after="80"/>
      </w:pPr>
      <w:r>
        <w:rPr>
          <w:rFonts w:ascii="Arial" w:cs="Arial" w:eastAsia="Arial" w:hAnsi="Arial"/>
          <w:sz w:val="20"/>
          <w:szCs w:val="20"/>
        </w:rPr>
        <w:t xml:space="preserve">Substancja: aldehyd anyżowy (4-metoksybenzaldehyd) [CAS: 123-11-5]</w:t>
      </w:r>
    </w:p>
    <w:p>
      <w:pPr>
        <w:spacing w:after="80"/>
      </w:pPr>
      <w:r>
        <w:rPr>
          <w:rFonts w:ascii="Arial" w:cs="Arial" w:eastAsia="Arial" w:hAnsi="Arial"/>
          <w:sz w:val="20"/>
          <w:szCs w:val="20"/>
        </w:rPr>
        <w:t xml:space="preserve">Pochodne poziomy niepowodujące zmian (DNEL):</w:t>
      </w:r>
    </w:p>
    <w:p>
      <w:pPr>
        <w:spacing w:after="80"/>
      </w:pPr>
      <w:r>
        <w:rPr>
          <w:rFonts w:ascii="Arial" w:cs="Arial" w:eastAsia="Arial" w:hAnsi="Arial"/>
          <w:sz w:val="20"/>
          <w:szCs w:val="20"/>
        </w:rPr>
        <w:t xml:space="preserve">- Droga pokarmowa (doustnie): Konsumenci (skutki przewlekłe układowe): 2,5 mg/kg mc/dzień</w:t>
      </w:r>
    </w:p>
    <w:p>
      <w:pPr>
        <w:spacing w:after="80"/>
      </w:pPr>
      <w:r>
        <w:rPr>
          <w:rFonts w:ascii="Arial" w:cs="Arial" w:eastAsia="Arial" w:hAnsi="Arial"/>
          <w:sz w:val="20"/>
          <w:szCs w:val="20"/>
        </w:rPr>
        <w:t xml:space="preserve">- Drogi oddechowe (inhalacyjnie):</w:t>
      </w:r>
    </w:p>
    <w:p>
      <w:pPr>
        <w:spacing w:after="80"/>
      </w:pPr>
      <w:r>
        <w:rPr>
          <w:rFonts w:ascii="Arial" w:cs="Arial" w:eastAsia="Arial" w:hAnsi="Arial"/>
          <w:sz w:val="20"/>
          <w:szCs w:val="20"/>
        </w:rPr>
        <w:t xml:space="preserve">* Konsumenci (skutki przewlekłe układowe): 4,35 mg/m³</w:t>
      </w:r>
    </w:p>
    <w:p>
      <w:pPr>
        <w:spacing w:after="80"/>
      </w:pPr>
      <w:r>
        <w:rPr>
          <w:rFonts w:ascii="Arial" w:cs="Arial" w:eastAsia="Arial" w:hAnsi="Arial"/>
          <w:sz w:val="20"/>
          <w:szCs w:val="20"/>
        </w:rPr>
        <w:t xml:space="preserve">* Pracownicy (skutki przewlekłe układowe): 14,7 mg/m³</w:t>
      </w:r>
    </w:p>
    <w:p>
      <w:pPr>
        <w:spacing w:after="80"/>
      </w:pPr>
      <w:r>
        <w:rPr>
          <w:rFonts w:ascii="Arial" w:cs="Arial" w:eastAsia="Arial" w:hAnsi="Arial"/>
          <w:sz w:val="20"/>
          <w:szCs w:val="20"/>
        </w:rPr>
        <w:t xml:space="preserve">- Na skórę:</w:t>
      </w:r>
    </w:p>
    <w:p>
      <w:pPr>
        <w:spacing w:after="80"/>
      </w:pPr>
      <w:r>
        <w:rPr>
          <w:rFonts w:ascii="Arial" w:cs="Arial" w:eastAsia="Arial" w:hAnsi="Arial"/>
          <w:sz w:val="20"/>
          <w:szCs w:val="20"/>
        </w:rPr>
        <w:t xml:space="preserve">* Konsumenci (skutki przewlekłe układowe): 4,2 mg/kg mc/dzień</w:t>
      </w:r>
    </w:p>
    <w:p>
      <w:pPr>
        <w:spacing w:after="80"/>
      </w:pPr>
      <w:r>
        <w:rPr>
          <w:rFonts w:ascii="Arial" w:cs="Arial" w:eastAsia="Arial" w:hAnsi="Arial"/>
          <w:sz w:val="20"/>
          <w:szCs w:val="20"/>
        </w:rPr>
        <w:t xml:space="preserve">* Pracownicy (skutki przewlekłe układowe): 6,9 mg/kg mc/dzień</w:t>
      </w:r>
    </w:p>
    <w:p>
      <w:pPr>
        <w:spacing w:after="80"/>
      </w:pPr>
      <w:r>
        <w:rPr>
          <w:rFonts w:ascii="Arial" w:cs="Arial" w:eastAsia="Arial" w:hAnsi="Arial"/>
          <w:sz w:val="20"/>
          <w:szCs w:val="20"/>
        </w:rPr>
        <w:t xml:space="preserve">Przewidywane stężenia niepowodujące zmian w środowisku (PNEC):</w:t>
      </w:r>
    </w:p>
    <w:p>
      <w:pPr>
        <w:spacing w:after="80"/>
      </w:pPr>
      <w:r>
        <w:rPr>
          <w:rFonts w:ascii="Arial" w:cs="Arial" w:eastAsia="Arial" w:hAnsi="Arial"/>
          <w:sz w:val="20"/>
          <w:szCs w:val="20"/>
        </w:rPr>
        <w:t xml:space="preserve">- woda słodka: 0,081 mg/l</w:t>
      </w:r>
    </w:p>
    <w:p>
      <w:pPr>
        <w:spacing w:after="80"/>
      </w:pPr>
      <w:r>
        <w:rPr>
          <w:rFonts w:ascii="Arial" w:cs="Arial" w:eastAsia="Arial" w:hAnsi="Arial"/>
          <w:sz w:val="20"/>
          <w:szCs w:val="20"/>
        </w:rPr>
        <w:t xml:space="preserve">- woda morska: 0,008111 mg/l</w:t>
      </w:r>
    </w:p>
    <w:p>
      <w:pPr>
        <w:spacing w:after="80"/>
      </w:pPr>
      <w:r>
        <w:rPr>
          <w:rFonts w:ascii="Arial" w:cs="Arial" w:eastAsia="Arial" w:hAnsi="Arial"/>
          <w:sz w:val="20"/>
          <w:szCs w:val="20"/>
        </w:rPr>
        <w:t xml:space="preserve">- osady słodkowodne: 0,409 mg/kg</w:t>
      </w:r>
    </w:p>
    <w:p>
      <w:pPr>
        <w:spacing w:after="80"/>
      </w:pPr>
      <w:r>
        <w:rPr>
          <w:rFonts w:ascii="Arial" w:cs="Arial" w:eastAsia="Arial" w:hAnsi="Arial"/>
          <w:sz w:val="20"/>
          <w:szCs w:val="20"/>
        </w:rPr>
        <w:t xml:space="preserve">- osady morskie: 0,0409 mg/kg</w:t>
      </w:r>
    </w:p>
    <w:p>
      <w:pPr>
        <w:spacing w:after="80"/>
      </w:pPr>
      <w:r>
        <w:rPr>
          <w:rFonts w:ascii="Arial" w:cs="Arial" w:eastAsia="Arial" w:hAnsi="Arial"/>
          <w:sz w:val="20"/>
          <w:szCs w:val="20"/>
        </w:rPr>
        <w:t xml:space="preserve">- woda (uwalnianie okresowe): 0,8111 mg/l</w:t>
      </w:r>
    </w:p>
    <w:p>
      <w:pPr>
        <w:spacing w:after="80"/>
      </w:pPr>
      <w:r>
        <w:rPr>
          <w:rFonts w:ascii="Arial" w:cs="Arial" w:eastAsia="Arial" w:hAnsi="Arial"/>
          <w:sz w:val="20"/>
          <w:szCs w:val="20"/>
        </w:rPr>
        <w:t xml:space="preserve">- mikroorganizmy w oczyszczalni ścieków (STP): 4,5 mg/l</w:t>
      </w:r>
    </w:p>
    <w:p>
      <w:pPr>
        <w:spacing w:after="80"/>
      </w:pPr>
      <w:r>
        <w:rPr>
          <w:rFonts w:ascii="Arial" w:cs="Arial" w:eastAsia="Arial" w:hAnsi="Arial"/>
          <w:sz w:val="20"/>
          <w:szCs w:val="20"/>
        </w:rPr>
        <w:t xml:space="preserve">- środowisko glebowe (gleba): 0,0967 mg/kg</w:t>
      </w:r>
    </w:p>
    <w:p>
      <w:pPr>
        <w:spacing w:after="80"/>
      </w:pPr>
      <w:r>
        <w:rPr>
          <w:rFonts w:ascii="Arial" w:cs="Arial" w:eastAsia="Arial" w:hAnsi="Arial"/>
          <w:sz w:val="20"/>
          <w:szCs w:val="20"/>
        </w:rPr>
        <w:t xml:space="preserve">Substancja: kumaryna (2H-chromen-2-on) [CAS: 91-64-5]</w:t>
      </w:r>
    </w:p>
    <w:p>
      <w:pPr>
        <w:spacing w:after="80"/>
      </w:pPr>
      <w:r>
        <w:rPr>
          <w:rFonts w:ascii="Arial" w:cs="Arial" w:eastAsia="Arial" w:hAnsi="Arial"/>
          <w:sz w:val="20"/>
          <w:szCs w:val="20"/>
        </w:rPr>
        <w:t xml:space="preserve">Pochodne poziomy niepowodujące zmian (DNEL):</w:t>
      </w:r>
    </w:p>
    <w:p>
      <w:pPr>
        <w:spacing w:after="80"/>
      </w:pPr>
      <w:r>
        <w:rPr>
          <w:rFonts w:ascii="Arial" w:cs="Arial" w:eastAsia="Arial" w:hAnsi="Arial"/>
          <w:sz w:val="20"/>
          <w:szCs w:val="20"/>
        </w:rPr>
        <w:t xml:space="preserve">- Droga pokarmowa (doustnie): Konsumenci (skutki przewlekłe układowe): 0,39 mg/kg mc/dzień</w:t>
      </w:r>
    </w:p>
    <w:p>
      <w:pPr>
        <w:spacing w:after="80"/>
      </w:pPr>
      <w:r>
        <w:rPr>
          <w:rFonts w:ascii="Arial" w:cs="Arial" w:eastAsia="Arial" w:hAnsi="Arial"/>
          <w:sz w:val="20"/>
          <w:szCs w:val="20"/>
        </w:rPr>
        <w:t xml:space="preserve">- Drogi oddechowe (inhalacyjnie):</w:t>
      </w:r>
    </w:p>
    <w:p>
      <w:pPr>
        <w:spacing w:after="80"/>
      </w:pPr>
      <w:r>
        <w:rPr>
          <w:rFonts w:ascii="Arial" w:cs="Arial" w:eastAsia="Arial" w:hAnsi="Arial"/>
          <w:sz w:val="20"/>
          <w:szCs w:val="20"/>
        </w:rPr>
        <w:t xml:space="preserve">* Konsumenci (skutki przewlekłe układowe): 1,69 mg/m³</w:t>
      </w:r>
    </w:p>
    <w:p>
      <w:pPr>
        <w:spacing w:after="80"/>
      </w:pPr>
      <w:r>
        <w:rPr>
          <w:rFonts w:ascii="Arial" w:cs="Arial" w:eastAsia="Arial" w:hAnsi="Arial"/>
          <w:sz w:val="20"/>
          <w:szCs w:val="20"/>
        </w:rPr>
        <w:t xml:space="preserve">* Pracownicy (skutki przewlekłe układowe): 6,78 mg/m³</w:t>
      </w:r>
    </w:p>
    <w:p>
      <w:pPr>
        <w:spacing w:after="80"/>
      </w:pPr>
      <w:r>
        <w:rPr>
          <w:rFonts w:ascii="Arial" w:cs="Arial" w:eastAsia="Arial" w:hAnsi="Arial"/>
          <w:sz w:val="20"/>
          <w:szCs w:val="20"/>
        </w:rPr>
        <w:t xml:space="preserve">- Na skórę:</w:t>
      </w:r>
    </w:p>
    <w:p>
      <w:pPr>
        <w:spacing w:after="80"/>
      </w:pPr>
      <w:r>
        <w:rPr>
          <w:rFonts w:ascii="Arial" w:cs="Arial" w:eastAsia="Arial" w:hAnsi="Arial"/>
          <w:sz w:val="20"/>
          <w:szCs w:val="20"/>
        </w:rPr>
        <w:t xml:space="preserve">* Konsumenci (skutki przewlekłe układowe): 0,39 mg/kg mc/dzień</w:t>
      </w:r>
    </w:p>
    <w:p>
      <w:pPr>
        <w:spacing w:after="80"/>
      </w:pPr>
      <w:r>
        <w:rPr>
          <w:rFonts w:ascii="Arial" w:cs="Arial" w:eastAsia="Arial" w:hAnsi="Arial"/>
          <w:sz w:val="20"/>
          <w:szCs w:val="20"/>
        </w:rPr>
        <w:t xml:space="preserve">* Pracownicy (skutki przewlekłe układowe): 0,79 mg/kg mc/dzień</w:t>
      </w:r>
    </w:p>
    <w:p>
      <w:pPr>
        <w:spacing w:after="80"/>
      </w:pPr>
      <w:r>
        <w:rPr>
          <w:rFonts w:ascii="Arial" w:cs="Arial" w:eastAsia="Arial" w:hAnsi="Arial"/>
          <w:sz w:val="20"/>
          <w:szCs w:val="20"/>
        </w:rPr>
        <w:t xml:space="preserve">Przewidywane stężenia niepowodujące zmian w środowisku (PNEC):</w:t>
      </w:r>
    </w:p>
    <w:p>
      <w:pPr>
        <w:spacing w:after="80"/>
      </w:pPr>
      <w:r>
        <w:rPr>
          <w:rFonts w:ascii="Arial" w:cs="Arial" w:eastAsia="Arial" w:hAnsi="Arial"/>
          <w:sz w:val="20"/>
          <w:szCs w:val="20"/>
        </w:rPr>
        <w:t xml:space="preserve">- woda słodka: 0,019 mg/l</w:t>
      </w:r>
    </w:p>
    <w:p>
      <w:pPr>
        <w:spacing w:after="80"/>
      </w:pPr>
      <w:r>
        <w:rPr>
          <w:rFonts w:ascii="Arial" w:cs="Arial" w:eastAsia="Arial" w:hAnsi="Arial"/>
          <w:sz w:val="20"/>
          <w:szCs w:val="20"/>
        </w:rPr>
        <w:t xml:space="preserve">- woda morska: 0,0019 mg/l</w:t>
      </w:r>
    </w:p>
    <w:p>
      <w:pPr>
        <w:spacing w:after="80"/>
      </w:pPr>
      <w:r>
        <w:rPr>
          <w:rFonts w:ascii="Arial" w:cs="Arial" w:eastAsia="Arial" w:hAnsi="Arial"/>
          <w:sz w:val="20"/>
          <w:szCs w:val="20"/>
        </w:rPr>
        <w:t xml:space="preserve">- osady słodkowodne: 0,15 mg/kg</w:t>
      </w:r>
    </w:p>
    <w:p>
      <w:pPr>
        <w:spacing w:after="80"/>
      </w:pPr>
      <w:r>
        <w:rPr>
          <w:rFonts w:ascii="Arial" w:cs="Arial" w:eastAsia="Arial" w:hAnsi="Arial"/>
          <w:sz w:val="20"/>
          <w:szCs w:val="20"/>
        </w:rPr>
        <w:t xml:space="preserve">- osady morskie: 0,015 mg/kg</w:t>
      </w:r>
    </w:p>
    <w:p>
      <w:pPr>
        <w:spacing w:after="80"/>
      </w:pPr>
      <w:r>
        <w:rPr>
          <w:rFonts w:ascii="Arial" w:cs="Arial" w:eastAsia="Arial" w:hAnsi="Arial"/>
          <w:sz w:val="20"/>
          <w:szCs w:val="20"/>
        </w:rPr>
        <w:t xml:space="preserve">- woda (uwalnianie okresowe): 0,0142 mg/l</w:t>
      </w:r>
    </w:p>
    <w:p>
      <w:pPr>
        <w:spacing w:after="80"/>
      </w:pPr>
      <w:r>
        <w:rPr>
          <w:rFonts w:ascii="Arial" w:cs="Arial" w:eastAsia="Arial" w:hAnsi="Arial"/>
          <w:sz w:val="20"/>
          <w:szCs w:val="20"/>
        </w:rPr>
        <w:t xml:space="preserve">- mikroorganizmy w oczyszczalni ścieków (STP): 6,4 mg/l</w:t>
      </w:r>
    </w:p>
    <w:p>
      <w:pPr>
        <w:spacing w:after="80"/>
      </w:pPr>
      <w:r>
        <w:rPr>
          <w:rFonts w:ascii="Arial" w:cs="Arial" w:eastAsia="Arial" w:hAnsi="Arial"/>
          <w:sz w:val="20"/>
          <w:szCs w:val="20"/>
        </w:rPr>
        <w:t xml:space="preserve">- łańcuch pokarmowy (zatrucie wtórne): 30,7 mg/kg</w:t>
      </w:r>
    </w:p>
    <w:p>
      <w:pPr>
        <w:spacing w:after="80"/>
      </w:pPr>
      <w:r>
        <w:rPr>
          <w:rFonts w:ascii="Arial" w:cs="Arial" w:eastAsia="Arial" w:hAnsi="Arial"/>
          <w:sz w:val="20"/>
          <w:szCs w:val="20"/>
        </w:rPr>
        <w:t xml:space="preserve">- środowisko glebowe (gleba): 0,018 mg/kg</w:t>
      </w:r>
    </w:p>
    <w:p>
      <w:pPr>
        <w:spacing w:after="80"/>
      </w:pPr>
      <w:r>
        <w:rPr>
          <w:rFonts w:ascii="Arial" w:cs="Arial" w:eastAsia="Arial" w:hAnsi="Arial"/>
          <w:sz w:val="20"/>
          <w:szCs w:val="20"/>
        </w:rPr>
        <w:t xml:space="preserve">Substancja: 2,6-di-tert-butylo-4-metylofenol (BHT) [CAS: 128-37-0]</w:t>
      </w:r>
    </w:p>
    <w:p>
      <w:pPr>
        <w:spacing w:after="80"/>
      </w:pPr>
      <w:r>
        <w:rPr>
          <w:rFonts w:ascii="Arial" w:cs="Arial" w:eastAsia="Arial" w:hAnsi="Arial"/>
          <w:sz w:val="20"/>
          <w:szCs w:val="20"/>
        </w:rPr>
        <w:t xml:space="preserve">Pochodne poziomy niepowodujące zmian (DNEL):</w:t>
      </w:r>
    </w:p>
    <w:p>
      <w:pPr>
        <w:spacing w:after="80"/>
      </w:pPr>
      <w:r>
        <w:rPr>
          <w:rFonts w:ascii="Arial" w:cs="Arial" w:eastAsia="Arial" w:hAnsi="Arial"/>
          <w:sz w:val="20"/>
          <w:szCs w:val="20"/>
        </w:rPr>
        <w:t xml:space="preserve">- Droga pokarmowa (doustnie): Konsumenci (skutki przewlekłe układowe): 0,25 mg/kg mc/dzień</w:t>
      </w:r>
    </w:p>
    <w:p>
      <w:pPr>
        <w:spacing w:after="80"/>
      </w:pPr>
      <w:r>
        <w:rPr>
          <w:rFonts w:ascii="Arial" w:cs="Arial" w:eastAsia="Arial" w:hAnsi="Arial"/>
          <w:sz w:val="20"/>
          <w:szCs w:val="20"/>
        </w:rPr>
        <w:t xml:space="preserve">- Drogi oddechowe (inhalacyjnie):</w:t>
      </w:r>
    </w:p>
    <w:p>
      <w:pPr>
        <w:spacing w:after="80"/>
      </w:pPr>
      <w:r>
        <w:rPr>
          <w:rFonts w:ascii="Arial" w:cs="Arial" w:eastAsia="Arial" w:hAnsi="Arial"/>
          <w:sz w:val="20"/>
          <w:szCs w:val="20"/>
        </w:rPr>
        <w:t xml:space="preserve">* Konsumenci (skutki przewlekłe układowe): 0,86 mg/m³</w:t>
      </w:r>
    </w:p>
    <w:p>
      <w:pPr>
        <w:spacing w:after="80"/>
      </w:pPr>
      <w:r>
        <w:rPr>
          <w:rFonts w:ascii="Arial" w:cs="Arial" w:eastAsia="Arial" w:hAnsi="Arial"/>
          <w:sz w:val="20"/>
          <w:szCs w:val="20"/>
        </w:rPr>
        <w:t xml:space="preserve">* Pracownicy (skutki przewlekłe układowe): 3,5 mg/m³</w:t>
      </w:r>
    </w:p>
    <w:p>
      <w:pPr>
        <w:spacing w:after="80"/>
      </w:pPr>
      <w:r>
        <w:rPr>
          <w:rFonts w:ascii="Arial" w:cs="Arial" w:eastAsia="Arial" w:hAnsi="Arial"/>
          <w:sz w:val="20"/>
          <w:szCs w:val="20"/>
        </w:rPr>
        <w:t xml:space="preserve">- Na skórę:</w:t>
      </w:r>
    </w:p>
    <w:p>
      <w:pPr>
        <w:spacing w:after="80"/>
      </w:pPr>
      <w:r>
        <w:rPr>
          <w:rFonts w:ascii="Arial" w:cs="Arial" w:eastAsia="Arial" w:hAnsi="Arial"/>
          <w:sz w:val="20"/>
          <w:szCs w:val="20"/>
        </w:rPr>
        <w:t xml:space="preserve">* Konsumenci (skutki przewlekłe układowe): 0,25 mg/kg mc/dzień</w:t>
      </w:r>
    </w:p>
    <w:p>
      <w:pPr>
        <w:spacing w:after="80"/>
      </w:pPr>
      <w:r>
        <w:rPr>
          <w:rFonts w:ascii="Arial" w:cs="Arial" w:eastAsia="Arial" w:hAnsi="Arial"/>
          <w:sz w:val="20"/>
          <w:szCs w:val="20"/>
        </w:rPr>
        <w:t xml:space="preserve">* Pracownicy (skutki przewlekłe układowe): 0,5 mg/kg mc/dzień</w:t>
      </w:r>
    </w:p>
    <w:p>
      <w:pPr>
        <w:spacing w:after="80"/>
      </w:pPr>
      <w:r>
        <w:rPr>
          <w:rFonts w:ascii="Arial" w:cs="Arial" w:eastAsia="Arial" w:hAnsi="Arial"/>
          <w:sz w:val="20"/>
          <w:szCs w:val="20"/>
        </w:rPr>
        <w:t xml:space="preserve">Przewidywane stężenia niepowodujące zmian w środowisku (PNEC):</w:t>
      </w:r>
    </w:p>
    <w:p>
      <w:pPr>
        <w:spacing w:after="80"/>
      </w:pPr>
      <w:r>
        <w:rPr>
          <w:rFonts w:ascii="Arial" w:cs="Arial" w:eastAsia="Arial" w:hAnsi="Arial"/>
          <w:sz w:val="20"/>
          <w:szCs w:val="20"/>
        </w:rPr>
        <w:t xml:space="preserve">- woda słodka: 0,000199 mg/l</w:t>
      </w:r>
    </w:p>
    <w:p>
      <w:pPr>
        <w:spacing w:after="80"/>
      </w:pPr>
      <w:r>
        <w:rPr>
          <w:rFonts w:ascii="Arial" w:cs="Arial" w:eastAsia="Arial" w:hAnsi="Arial"/>
          <w:sz w:val="20"/>
          <w:szCs w:val="20"/>
        </w:rPr>
        <w:t xml:space="preserve">- woda morska: 0,02 μg/l</w:t>
      </w:r>
    </w:p>
    <w:p>
      <w:pPr>
        <w:spacing w:after="80"/>
      </w:pPr>
      <w:r>
        <w:rPr>
          <w:rFonts w:ascii="Arial" w:cs="Arial" w:eastAsia="Arial" w:hAnsi="Arial"/>
          <w:sz w:val="20"/>
          <w:szCs w:val="20"/>
        </w:rPr>
        <w:t xml:space="preserve">- osady słodkowodne: 0,0996 mg/kg</w:t>
      </w:r>
    </w:p>
    <w:p>
      <w:pPr>
        <w:spacing w:after="80"/>
      </w:pPr>
      <w:r>
        <w:rPr>
          <w:rFonts w:ascii="Arial" w:cs="Arial" w:eastAsia="Arial" w:hAnsi="Arial"/>
          <w:sz w:val="20"/>
          <w:szCs w:val="20"/>
        </w:rPr>
        <w:t xml:space="preserve">- osady morskie: 0,00996 mg/kg</w:t>
      </w:r>
    </w:p>
    <w:p>
      <w:pPr>
        <w:spacing w:after="80"/>
      </w:pPr>
      <w:r>
        <w:rPr>
          <w:rFonts w:ascii="Arial" w:cs="Arial" w:eastAsia="Arial" w:hAnsi="Arial"/>
          <w:sz w:val="20"/>
          <w:szCs w:val="20"/>
        </w:rPr>
        <w:t xml:space="preserve">- woda (uwalnianie okresowe): 0,00199 mg/l</w:t>
      </w:r>
    </w:p>
    <w:p>
      <w:pPr>
        <w:spacing w:after="80"/>
      </w:pPr>
      <w:r>
        <w:rPr>
          <w:rFonts w:ascii="Arial" w:cs="Arial" w:eastAsia="Arial" w:hAnsi="Arial"/>
          <w:sz w:val="20"/>
          <w:szCs w:val="20"/>
        </w:rPr>
        <w:t xml:space="preserve">- mikroorganizmy w oczyszczalni ścieków (STP): 0,17 mg/l</w:t>
      </w:r>
    </w:p>
    <w:p>
      <w:pPr>
        <w:spacing w:after="80"/>
      </w:pPr>
      <w:r>
        <w:rPr>
          <w:rFonts w:ascii="Arial" w:cs="Arial" w:eastAsia="Arial" w:hAnsi="Arial"/>
          <w:sz w:val="20"/>
          <w:szCs w:val="20"/>
        </w:rPr>
        <w:t xml:space="preserve">- łańcuch pokarmowy (zatrucie wtórne): 8,33 mg/kg</w:t>
      </w:r>
    </w:p>
    <w:p>
      <w:pPr>
        <w:spacing w:after="80"/>
      </w:pPr>
      <w:r>
        <w:rPr>
          <w:rFonts w:ascii="Arial" w:cs="Arial" w:eastAsia="Arial" w:hAnsi="Arial"/>
          <w:sz w:val="20"/>
          <w:szCs w:val="20"/>
        </w:rPr>
        <w:t xml:space="preserve">- środowisko glebowe (gleba): 0,04769 mg/kg</w:t>
      </w:r>
    </w:p>
    <w:p>
      <w:pPr>
        <w:spacing w:after="80"/>
      </w:pPr>
      <w:r>
        <w:rPr>
          <w:rFonts w:ascii="Arial" w:cs="Arial" w:eastAsia="Arial" w:hAnsi="Arial"/>
          <w:sz w:val="20"/>
          <w:szCs w:val="20"/>
        </w:rPr>
        <w:t xml:space="preserve">Substancja: toluen [CAS: 108-88-3]</w:t>
      </w:r>
    </w:p>
    <w:p>
      <w:pPr>
        <w:spacing w:after="80"/>
      </w:pPr>
      <w:r>
        <w:rPr>
          <w:rFonts w:ascii="Arial" w:cs="Arial" w:eastAsia="Arial" w:hAnsi="Arial"/>
          <w:sz w:val="20"/>
          <w:szCs w:val="20"/>
        </w:rPr>
        <w:t xml:space="preserve">Pochodne poziomy niepowodujące zmian (DNEL):</w:t>
      </w:r>
    </w:p>
    <w:p>
      <w:pPr>
        <w:spacing w:after="80"/>
      </w:pPr>
      <w:r>
        <w:rPr>
          <w:rFonts w:ascii="Arial" w:cs="Arial" w:eastAsia="Arial" w:hAnsi="Arial"/>
          <w:sz w:val="20"/>
          <w:szCs w:val="20"/>
        </w:rPr>
        <w:t xml:space="preserve">- Droga pokarmowa (doustnie): Konsumenci (skutki przewlekłe układowe): 8,13 mg/kg mc/dzień</w:t>
      </w:r>
    </w:p>
    <w:p>
      <w:pPr>
        <w:spacing w:after="80"/>
      </w:pPr>
      <w:r>
        <w:rPr>
          <w:rFonts w:ascii="Arial" w:cs="Arial" w:eastAsia="Arial" w:hAnsi="Arial"/>
          <w:sz w:val="20"/>
          <w:szCs w:val="20"/>
        </w:rPr>
        <w:t xml:space="preserve">- Drogi oddechowe (inhalacyjnie):</w:t>
      </w:r>
    </w:p>
    <w:p>
      <w:pPr>
        <w:spacing w:after="80"/>
      </w:pPr>
      <w:r>
        <w:rPr>
          <w:rFonts w:ascii="Arial" w:cs="Arial" w:eastAsia="Arial" w:hAnsi="Arial"/>
          <w:sz w:val="20"/>
          <w:szCs w:val="20"/>
        </w:rPr>
        <w:t xml:space="preserve">* Konsumenci: ostre miejscowe: 226 mg/m³, ostre układowe: 226 mg/m³, przewlekłe miejscowe: 56,5 mg/m³, przewlekłe układowe: 56,5 mg/m³</w:t>
      </w:r>
    </w:p>
    <w:p>
      <w:pPr>
        <w:spacing w:after="80"/>
      </w:pPr>
      <w:r>
        <w:rPr>
          <w:rFonts w:ascii="Arial" w:cs="Arial" w:eastAsia="Arial" w:hAnsi="Arial"/>
          <w:sz w:val="20"/>
          <w:szCs w:val="20"/>
        </w:rPr>
        <w:t xml:space="preserve">* Pracownicy: ostre miejscowe: 384 mg/m³, ostre układowe: 384 mg/m³, przewlekłe miejscowe: 192 mg/m³, przewlekłe układowe: 192 mg/m³</w:t>
      </w:r>
    </w:p>
    <w:p>
      <w:pPr>
        <w:spacing w:after="80"/>
      </w:pPr>
      <w:r>
        <w:rPr>
          <w:rFonts w:ascii="Arial" w:cs="Arial" w:eastAsia="Arial" w:hAnsi="Arial"/>
          <w:sz w:val="20"/>
          <w:szCs w:val="20"/>
        </w:rPr>
        <w:t xml:space="preserve">- Na skórę:</w:t>
      </w:r>
    </w:p>
    <w:p>
      <w:pPr>
        <w:spacing w:after="80"/>
      </w:pPr>
      <w:r>
        <w:rPr>
          <w:rFonts w:ascii="Arial" w:cs="Arial" w:eastAsia="Arial" w:hAnsi="Arial"/>
          <w:sz w:val="20"/>
          <w:szCs w:val="20"/>
        </w:rPr>
        <w:t xml:space="preserve">* Konsumenci (skutki przewlekłe układowe): 226 mg/kg mc/dzień</w:t>
      </w:r>
    </w:p>
    <w:p>
      <w:pPr>
        <w:spacing w:after="80"/>
      </w:pPr>
      <w:r>
        <w:rPr>
          <w:rFonts w:ascii="Arial" w:cs="Arial" w:eastAsia="Arial" w:hAnsi="Arial"/>
          <w:sz w:val="20"/>
          <w:szCs w:val="20"/>
        </w:rPr>
        <w:t xml:space="preserve">* Pracownicy (skutki przewlekłe układowe): 384 mg/kg mc/dzień</w:t>
      </w:r>
    </w:p>
    <w:p>
      <w:pPr>
        <w:spacing w:after="80"/>
      </w:pPr>
      <w:r>
        <w:rPr>
          <w:rFonts w:ascii="Arial" w:cs="Arial" w:eastAsia="Arial" w:hAnsi="Arial"/>
          <w:sz w:val="20"/>
          <w:szCs w:val="20"/>
        </w:rPr>
        <w:t xml:space="preserve">Przewidywane stężenia niepowodujące zmian w środowisku (PNEC):</w:t>
      </w:r>
    </w:p>
    <w:p>
      <w:pPr>
        <w:spacing w:after="80"/>
      </w:pPr>
      <w:r>
        <w:rPr>
          <w:rFonts w:ascii="Arial" w:cs="Arial" w:eastAsia="Arial" w:hAnsi="Arial"/>
          <w:sz w:val="20"/>
          <w:szCs w:val="20"/>
        </w:rPr>
        <w:t xml:space="preserve">- woda słodka: 0,68 mg/l</w:t>
      </w:r>
    </w:p>
    <w:p>
      <w:pPr>
        <w:spacing w:after="80"/>
      </w:pPr>
      <w:r>
        <w:rPr>
          <w:rFonts w:ascii="Arial" w:cs="Arial" w:eastAsia="Arial" w:hAnsi="Arial"/>
          <w:sz w:val="20"/>
          <w:szCs w:val="20"/>
        </w:rPr>
        <w:t xml:space="preserve">- woda morska: 0,68 mg/l</w:t>
      </w:r>
    </w:p>
    <w:p>
      <w:pPr>
        <w:spacing w:after="80"/>
      </w:pPr>
      <w:r>
        <w:rPr>
          <w:rFonts w:ascii="Arial" w:cs="Arial" w:eastAsia="Arial" w:hAnsi="Arial"/>
          <w:sz w:val="20"/>
          <w:szCs w:val="20"/>
        </w:rPr>
        <w:t xml:space="preserve">- osady słodkowodne: 16,39 mg/kg suchej masy</w:t>
      </w:r>
    </w:p>
    <w:p>
      <w:pPr>
        <w:spacing w:after="80"/>
      </w:pPr>
      <w:r>
        <w:rPr>
          <w:rFonts w:ascii="Arial" w:cs="Arial" w:eastAsia="Arial" w:hAnsi="Arial"/>
          <w:sz w:val="20"/>
          <w:szCs w:val="20"/>
        </w:rPr>
        <w:t xml:space="preserve">- osady morskie: 16,39 mg/kg suchej masy</w:t>
      </w:r>
    </w:p>
    <w:p>
      <w:pPr>
        <w:spacing w:after="80"/>
      </w:pPr>
      <w:r>
        <w:rPr>
          <w:rFonts w:ascii="Arial" w:cs="Arial" w:eastAsia="Arial" w:hAnsi="Arial"/>
          <w:sz w:val="20"/>
          <w:szCs w:val="20"/>
        </w:rPr>
        <w:t xml:space="preserve">- woda (uwalnianie okresowe): 0,68 mg/l</w:t>
      </w:r>
    </w:p>
    <w:p>
      <w:pPr>
        <w:spacing w:after="80"/>
      </w:pPr>
      <w:r>
        <w:rPr>
          <w:rFonts w:ascii="Arial" w:cs="Arial" w:eastAsia="Arial" w:hAnsi="Arial"/>
          <w:sz w:val="20"/>
          <w:szCs w:val="20"/>
        </w:rPr>
        <w:t xml:space="preserve">- mikroorganizmy w oczyszczalni ścieków (STP): 13,61 mg/l</w:t>
      </w:r>
    </w:p>
    <w:p>
      <w:pPr>
        <w:spacing w:after="80"/>
      </w:pPr>
      <w:r>
        <w:rPr>
          <w:rFonts w:ascii="Arial" w:cs="Arial" w:eastAsia="Arial" w:hAnsi="Arial"/>
          <w:sz w:val="20"/>
          <w:szCs w:val="20"/>
        </w:rPr>
        <w:t xml:space="preserve">- łańcuch pokarmowy (zatrucie wtórne): 2,89 mg/kg suchej masy gleby</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 (temperatura: 20 °C)</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różowy (temperatura: 20 °C)</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 (metoda wewnętrzna)</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ciecz łatwopalna (metoda: ISO 3679:2015)</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Dolna granica wybuchowości (DGW): 3,3 % (v/v); Górna granica wybuchowości (GGW):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18,7 °C (metoda: ISO 3679:2015)</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nie określono (substancje mogą ulegać rozkładowi)</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5 - 8</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1,5</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0,855 g/cm³ (metoda wewnętrzna)</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 (metoda: HSDB, 2015; INRS, 2011)</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 (produkt płynny)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ok. 76–78% (ok. 663 g/l)</w:t>
      </w:r>
    </w:p>
    <w:p>
      <w:pPr>
        <w:spacing w:after="100" w:before="200"/>
      </w:pPr>
      <w:r>
        <w:rPr>
          <w:rFonts w:ascii="Arial" w:cs="Arial" w:eastAsia="Arial" w:hAnsi="Arial"/>
          <w:b/>
          <w:bCs/>
          <w:sz w:val="20"/>
          <w:szCs w:val="20"/>
        </w:rPr>
        <w:t xml:space="preserve">9.2.1. Informacje dotyczące klas zagrożenia fizycznego: Brak dodatkowych danych badawczych.</w:t>
      </w:r>
    </w:p>
    <w:p>
      <w:pPr>
        <w:spacing w:after="100" w:before="200"/>
      </w:pPr>
      <w:r>
        <w:rPr>
          <w:rFonts w:ascii="Arial" w:cs="Arial" w:eastAsia="Arial" w:hAnsi="Arial"/>
          <w:b/>
          <w:bCs/>
          <w:sz w:val="20"/>
          <w:szCs w:val="20"/>
        </w:rPr>
        <w:t xml:space="preserve">9.2.2. Inne właściwości bezpieczeństwa: Zawartość LZO (VOC): ok. 76–78% (ok. 663 g/l).</w:t>
      </w:r>
    </w:p>
    <w:p>
      <w:pPr>
        <w:pBdr>
          <w:bottom w:color="00A651" w:sz="12" w:space="1"/>
        </w:pBdr>
        <w:spacing w:after="150" w:before="300"/>
      </w:pPr>
      <w:r>
        <w:rPr>
          <w:b/>
          <w:bCs/>
          <w:sz w:val="22"/>
          <w:szCs w:val="22"/>
        </w:rPr>
        <w:t xml:space="preserve">SEKCJA 10</w:t>
      </w:r>
    </w:p>
    <w:p>
      <w:pPr>
        <w:spacing w:after="100" w:before="200"/>
      </w:pPr>
      <w:r>
        <w:rPr>
          <w:rFonts w:ascii="Arial" w:cs="Arial" w:eastAsia="Arial" w:hAnsi="Arial"/>
          <w:b/>
          <w:bCs/>
          <w:sz w:val="20"/>
          <w:szCs w:val="20"/>
        </w:rPr>
        <w:t xml:space="preserve">10.1. Reaktywność: brak szczególnych zagrożeń.</w:t>
      </w:r>
    </w:p>
    <w:p>
      <w:pPr>
        <w:pBdr>
          <w:bottom w:color="00A651" w:sz="12" w:space="1"/>
        </w:pBdr>
        <w:spacing w:after="150" w:before="300"/>
      </w:pPr>
      <w:r>
        <w:rPr>
          <w:b/>
          <w:bCs/>
          <w:sz w:val="22"/>
          <w:szCs w:val="22"/>
        </w:rPr>
        <w:t xml:space="preserve">SEKCJA 11: INFORMACJE TOKSYKOLOGICZNE</w:t>
      </w:r>
    </w:p>
    <w:p>
      <w:pPr>
        <w:spacing w:after="100" w:before="200"/>
      </w:pPr>
      <w:r>
        <w:rPr>
          <w:rFonts w:ascii="Arial" w:cs="Arial" w:eastAsia="Arial" w:hAnsi="Arial"/>
          <w:b/>
          <w:bCs/>
          <w:sz w:val="20"/>
          <w:szCs w:val="20"/>
        </w:rPr>
        <w:t xml:space="preserve">11.1. Informacje na temat klas zagrożenia zdefiniowanych w rozporządzeniu (WE) nr 1272/2008</w:t>
      </w:r>
    </w:p>
    <w:p>
      <w:pPr>
        <w:spacing w:after="80"/>
      </w:pPr>
      <w:r>
        <w:rPr>
          <w:rFonts w:ascii="Arial" w:cs="Arial" w:eastAsia="Arial" w:hAnsi="Arial"/>
          <w:sz w:val="20"/>
          <w:szCs w:val="20"/>
        </w:rPr>
        <w:t xml:space="preserve">W przypadku braku danych doświadczalnych dla samego produktu, zagrożenia dla zdrowia oceniono na podstawie właściwości substancji składowych, zgodnie z kryteriami określonymi w odpowiednich przepisach klasyfikacyjnych. Przy ocenie skutków toksykologicznych narażenia na produkt uwzględniono stężenia poszczególnych substancji niebezpiecznych wskazanych w sekcji 3.</w:t>
      </w:r>
    </w:p>
    <w:p>
      <w:pPr>
        <w:spacing w:after="80"/>
      </w:pPr>
      <w:r>
        <w:rPr>
          <w:rFonts w:ascii="Arial" w:cs="Arial" w:eastAsia="Arial" w:hAnsi="Arial"/>
          <w:sz w:val="20"/>
          <w:szCs w:val="20"/>
        </w:rPr>
        <w:t xml:space="preserve">Toksyczność ostra:</w:t>
      </w:r>
    </w:p>
    <w:p>
      <w:pPr>
        <w:spacing w:after="80"/>
      </w:pPr>
      <w:r>
        <w:rPr>
          <w:rFonts w:ascii="Arial" w:cs="Arial" w:eastAsia="Arial" w:hAnsi="Arial"/>
          <w:sz w:val="20"/>
          <w:szCs w:val="20"/>
        </w:rPr>
        <w:t xml:space="preserve">Mieszanina nie spełnia kryteriów klasyfikacji w tej klasie zagrożenia.</w:t>
      </w:r>
    </w:p>
    <w:p>
      <w:pPr>
        <w:spacing w:after="80"/>
      </w:pPr>
      <w:r>
        <w:rPr>
          <w:rFonts w:ascii="Arial" w:cs="Arial" w:eastAsia="Arial" w:hAnsi="Arial"/>
          <w:sz w:val="20"/>
          <w:szCs w:val="20"/>
        </w:rPr>
        <w:t xml:space="preserve">- ATE mieszaniny (drogi oddechowe): Nie sklasyfikowano (brak istotnych składników stwarzających zagrożenie drogą oddechową w stężeniach wymagających klasyfikacji)</w:t>
      </w:r>
    </w:p>
    <w:p>
      <w:pPr>
        <w:spacing w:after="80"/>
      </w:pPr>
      <w:r>
        <w:rPr>
          <w:rFonts w:ascii="Arial" w:cs="Arial" w:eastAsia="Arial" w:hAnsi="Arial"/>
          <w:sz w:val="20"/>
          <w:szCs w:val="20"/>
        </w:rPr>
        <w:t xml:space="preserve">- ATE mieszaniny (droga pokarmowa): Nie sklasyfikowano (wartość obliczona znacznie przekracza 2000 mg/kg)</w:t>
      </w:r>
    </w:p>
    <w:p>
      <w:pPr>
        <w:spacing w:after="80"/>
      </w:pPr>
      <w:r>
        <w:rPr>
          <w:rFonts w:ascii="Arial" w:cs="Arial" w:eastAsia="Arial" w:hAnsi="Arial"/>
          <w:sz w:val="20"/>
          <w:szCs w:val="20"/>
        </w:rPr>
        <w:t xml:space="preserve">- ATE mieszaniny (na skórę): Nie sklasyfikowano (brak istotnych składników)</w:t>
      </w:r>
    </w:p>
    <w:p>
      <w:pPr>
        <w:spacing w:after="80"/>
      </w:pPr>
      <w:r>
        <w:rPr>
          <w:rFonts w:ascii="Arial" w:cs="Arial" w:eastAsia="Arial" w:hAnsi="Arial"/>
          <w:sz w:val="20"/>
          <w:szCs w:val="20"/>
        </w:rPr>
        <w:t xml:space="preserve">Dane dotyczące składników:</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 LD50 (doustnie, szczur): &gt; 5000 mg/kg</w:t>
      </w:r>
    </w:p>
    <w:p>
      <w:pPr>
        <w:spacing w:after="80"/>
      </w:pPr>
      <w:r>
        <w:rPr>
          <w:rFonts w:ascii="Arial" w:cs="Arial" w:eastAsia="Arial" w:hAnsi="Arial"/>
          <w:sz w:val="20"/>
          <w:szCs w:val="20"/>
        </w:rPr>
        <w:t xml:space="preserve">- LC50 (inhalacyjnie - pary, szczur): &gt; 50 mg/l/4h</w:t>
      </w:r>
    </w:p>
    <w:p>
      <w:pPr>
        <w:spacing w:after="80" w:before="150"/>
      </w:pPr>
      <w:r>
        <w:rPr>
          <w:rFonts w:ascii="Arial" w:cs="Arial" w:eastAsia="Arial" w:hAnsi="Arial"/>
          <w:b/>
          <w:bCs/>
          <w:sz w:val="20"/>
          <w:szCs w:val="20"/>
        </w:rPr>
        <w:t xml:space="preserve">Aldehyd anyżowy (CAS: 123-11-5):</w:t>
      </w:r>
    </w:p>
    <w:p>
      <w:pPr>
        <w:spacing w:after="80"/>
      </w:pPr>
      <w:r>
        <w:rPr>
          <w:rFonts w:ascii="Arial" w:cs="Arial" w:eastAsia="Arial" w:hAnsi="Arial"/>
          <w:sz w:val="20"/>
          <w:szCs w:val="20"/>
        </w:rPr>
        <w:t xml:space="preserve">- LD50 (skóra, królik): &gt; 5000 mg/kg</w:t>
      </w:r>
    </w:p>
    <w:p>
      <w:pPr>
        <w:spacing w:after="80"/>
      </w:pPr>
      <w:r>
        <w:rPr>
          <w:rFonts w:ascii="Arial" w:cs="Arial" w:eastAsia="Arial" w:hAnsi="Arial"/>
          <w:sz w:val="20"/>
          <w:szCs w:val="20"/>
        </w:rPr>
        <w:t xml:space="preserve">- LD50 (doustnie, szczur): 3210 mg/kg</w:t>
      </w:r>
    </w:p>
    <w:p>
      <w:pPr>
        <w:spacing w:after="80"/>
      </w:pPr>
      <w:r>
        <w:rPr>
          <w:rFonts w:ascii="Arial" w:cs="Arial" w:eastAsia="Arial" w:hAnsi="Arial"/>
          <w:sz w:val="20"/>
          <w:szCs w:val="20"/>
        </w:rPr>
        <w:t xml:space="preserve">- LC50 (inhalacyjnie - pary, szczur): 0,32 mg/l/7h</w:t>
      </w:r>
    </w:p>
    <w:p>
      <w:pPr>
        <w:spacing w:after="80" w:before="150"/>
      </w:pPr>
      <w:r>
        <w:rPr>
          <w:rFonts w:ascii="Arial" w:cs="Arial" w:eastAsia="Arial" w:hAnsi="Arial"/>
          <w:b/>
          <w:bCs/>
          <w:sz w:val="20"/>
          <w:szCs w:val="20"/>
        </w:rPr>
        <w:t xml:space="preserve">Kumaryna (CAS: 91-64-5):</w:t>
      </w:r>
    </w:p>
    <w:p>
      <w:pPr>
        <w:spacing w:after="80"/>
      </w:pPr>
      <w:r>
        <w:rPr>
          <w:rFonts w:ascii="Arial" w:cs="Arial" w:eastAsia="Arial" w:hAnsi="Arial"/>
          <w:sz w:val="20"/>
          <w:szCs w:val="20"/>
        </w:rPr>
        <w:t xml:space="preserve">- LD50 (skóra, szczur): 293 mg/kg m.c.</w:t>
      </w:r>
    </w:p>
    <w:p>
      <w:pPr>
        <w:spacing w:after="80"/>
      </w:pPr>
      <w:r>
        <w:rPr>
          <w:rFonts w:ascii="Arial" w:cs="Arial" w:eastAsia="Arial" w:hAnsi="Arial"/>
          <w:sz w:val="20"/>
          <w:szCs w:val="20"/>
        </w:rPr>
        <w:t xml:space="preserve">- LD50 (doustnie, szczur): 290 mg/kg m.c. (ATE = 500 mg/kg)</w:t>
      </w:r>
    </w:p>
    <w:p>
      <w:pPr>
        <w:spacing w:after="80"/>
      </w:pPr>
      <w:r>
        <w:rPr>
          <w:rFonts w:ascii="Arial" w:cs="Arial" w:eastAsia="Arial" w:hAnsi="Arial"/>
          <w:sz w:val="20"/>
          <w:szCs w:val="20"/>
        </w:rPr>
        <w:t xml:space="preserve">- LC50 (inhalacyjnie - pyły/mgły, szczur): 293 mg/m³</w:t>
      </w:r>
    </w:p>
    <w:p>
      <w:pPr>
        <w:spacing w:after="80" w:before="150"/>
      </w:pPr>
      <w:r>
        <w:rPr>
          <w:rFonts w:ascii="Arial" w:cs="Arial" w:eastAsia="Arial" w:hAnsi="Arial"/>
          <w:b/>
          <w:bCs/>
          <w:sz w:val="20"/>
          <w:szCs w:val="20"/>
        </w:rPr>
        <w:t xml:space="preserve">2,6-di-tert-butylo-4-metylofenol (BHT) (CAS: 128-37-0):</w:t>
      </w:r>
    </w:p>
    <w:p>
      <w:pPr>
        <w:spacing w:after="80"/>
      </w:pPr>
      <w:r>
        <w:rPr>
          <w:rFonts w:ascii="Arial" w:cs="Arial" w:eastAsia="Arial" w:hAnsi="Arial"/>
          <w:sz w:val="20"/>
          <w:szCs w:val="20"/>
        </w:rPr>
        <w:t xml:space="preserve">- LD50 (skóra, szczur): &gt; 2000 mg/kg</w:t>
      </w:r>
    </w:p>
    <w:p>
      <w:pPr>
        <w:spacing w:after="80"/>
      </w:pPr>
      <w:r>
        <w:rPr>
          <w:rFonts w:ascii="Arial" w:cs="Arial" w:eastAsia="Arial" w:hAnsi="Arial"/>
          <w:sz w:val="20"/>
          <w:szCs w:val="20"/>
        </w:rPr>
        <w:t xml:space="preserve">- LD50 (doustnie, szczur): 2930 mg/kg</w:t>
      </w:r>
    </w:p>
    <w:p>
      <w:pPr>
        <w:spacing w:after="80" w:before="150"/>
      </w:pPr>
      <w:r>
        <w:rPr>
          <w:rFonts w:ascii="Arial" w:cs="Arial" w:eastAsia="Arial" w:hAnsi="Arial"/>
          <w:b/>
          <w:bCs/>
          <w:sz w:val="20"/>
          <w:szCs w:val="20"/>
        </w:rPr>
        <w:t xml:space="preserve">Toluen (CAS: 108-88-3):</w:t>
      </w:r>
    </w:p>
    <w:p>
      <w:pPr>
        <w:spacing w:after="80"/>
      </w:pPr>
      <w:r>
        <w:rPr>
          <w:rFonts w:ascii="Arial" w:cs="Arial" w:eastAsia="Arial" w:hAnsi="Arial"/>
          <w:sz w:val="20"/>
          <w:szCs w:val="20"/>
        </w:rPr>
        <w:t xml:space="preserve">- LD50 (skóra, królik): &gt; 5000 mg/kg m.c.</w:t>
      </w:r>
    </w:p>
    <w:p>
      <w:pPr>
        <w:spacing w:after="80"/>
      </w:pPr>
      <w:r>
        <w:rPr>
          <w:rFonts w:ascii="Arial" w:cs="Arial" w:eastAsia="Arial" w:hAnsi="Arial"/>
          <w:sz w:val="20"/>
          <w:szCs w:val="20"/>
        </w:rPr>
        <w:t xml:space="preserve">- LD50 (doustnie, szczur): &gt; 5000 mg/kg m.c.</w:t>
      </w:r>
    </w:p>
    <w:p>
      <w:pPr>
        <w:spacing w:after="80"/>
      </w:pPr>
      <w:r>
        <w:rPr>
          <w:rFonts w:ascii="Arial" w:cs="Arial" w:eastAsia="Arial" w:hAnsi="Arial"/>
          <w:sz w:val="20"/>
          <w:szCs w:val="20"/>
        </w:rPr>
        <w:t xml:space="preserve">- LC50 (inhalacyjnie - pary, człowiek): 100 ppm</w:t>
      </w:r>
    </w:p>
    <w:p>
      <w:pPr>
        <w:spacing w:after="80"/>
      </w:pPr>
      <w:r>
        <w:rPr>
          <w:rFonts w:ascii="Arial" w:cs="Arial" w:eastAsia="Arial" w:hAnsi="Arial"/>
          <w:sz w:val="20"/>
          <w:szCs w:val="20"/>
        </w:rPr>
        <w:t xml:space="preserve">Działanie żrące/drażniące na skórę:</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Poważne uszkodzenie oczu/działanie drażniące na oczy:</w:t>
      </w:r>
    </w:p>
    <w:p>
      <w:pPr>
        <w:spacing w:after="80"/>
      </w:pPr>
      <w:r>
        <w:rPr>
          <w:rFonts w:ascii="Arial" w:cs="Arial" w:eastAsia="Arial" w:hAnsi="Arial"/>
          <w:sz w:val="20"/>
          <w:szCs w:val="20"/>
        </w:rPr>
        <w:t xml:space="preserve">Działa drażniąco na oczy (Kategoria 2, H319). Produkt zawiera etanol w stężeniu ≥ 50 %.</w:t>
      </w:r>
    </w:p>
    <w:p>
      <w:pPr>
        <w:spacing w:after="80"/>
      </w:pPr>
      <w:r>
        <w:rPr>
          <w:rFonts w:ascii="Arial" w:cs="Arial" w:eastAsia="Arial" w:hAnsi="Arial"/>
          <w:sz w:val="20"/>
          <w:szCs w:val="20"/>
        </w:rPr>
        <w:t xml:space="preserve">Działanie uczulające na drogi oddechowe lub skórę:</w:t>
      </w:r>
    </w:p>
    <w:p>
      <w:pPr>
        <w:spacing w:after="80"/>
      </w:pPr>
      <w:r>
        <w:rPr>
          <w:rFonts w:ascii="Arial" w:cs="Arial" w:eastAsia="Arial" w:hAnsi="Arial"/>
          <w:sz w:val="20"/>
          <w:szCs w:val="20"/>
        </w:rPr>
        <w:t xml:space="preserve">W oparciu o dostępne dane, kryteria klasyfikacji nie są spełnione. Może powodować wystąpienie reakcji alergicznej. Zawiera: kumarynę (2H-chromen-2-on) (EUH208).</w:t>
      </w:r>
    </w:p>
    <w:p>
      <w:pPr>
        <w:spacing w:after="80"/>
      </w:pPr>
      <w:r>
        <w:rPr>
          <w:rFonts w:ascii="Arial" w:cs="Arial" w:eastAsia="Arial" w:hAnsi="Arial"/>
          <w:sz w:val="20"/>
          <w:szCs w:val="20"/>
        </w:rPr>
        <w:t xml:space="preserve">Działanie mutagenne na komórki rozrodcze: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Rakotwórczość:</w:t>
      </w:r>
    </w:p>
    <w:p>
      <w:pPr>
        <w:spacing w:after="80"/>
      </w:pPr>
      <w:r>
        <w:rPr>
          <w:rFonts w:ascii="Arial" w:cs="Arial" w:eastAsia="Arial" w:hAnsi="Arial"/>
          <w:sz w:val="20"/>
          <w:szCs w:val="20"/>
        </w:rPr>
        <w:t xml:space="preserve">W oparciu o dostępne dane, kryteria klasyfikacji nie są spełnione. Toluen został zaklasyfikowany do Grupy 3 (brak możliwości zaklasyfikowania jako rakotwórczy dla ludzi) przez Międzynarodową Agencję Badań nad Rakiem (IARC, 1999). Agencja Ochrony Środowiska Stanów Zjednoczonych (US EPA) wskazuje, że dane są niewystarczające do oceny potencjału rakotwórczego.</w:t>
      </w:r>
    </w:p>
    <w:p>
      <w:pPr>
        <w:spacing w:after="80"/>
      </w:pPr>
      <w:r>
        <w:rPr>
          <w:rFonts w:ascii="Arial" w:cs="Arial" w:eastAsia="Arial" w:hAnsi="Arial"/>
          <w:sz w:val="20"/>
          <w:szCs w:val="20"/>
        </w:rPr>
        <w:t xml:space="preserve">Szkodliwe działanie na rozrodczość:</w:t>
      </w:r>
    </w:p>
    <w:p>
      <w:pPr>
        <w:spacing w:after="80"/>
      </w:pPr>
      <w:r>
        <w:rPr>
          <w:rFonts w:ascii="Arial" w:cs="Arial" w:eastAsia="Arial" w:hAnsi="Arial"/>
          <w:sz w:val="20"/>
          <w:szCs w:val="20"/>
        </w:rPr>
        <w:t xml:space="preserve">W oparciu o dostępne dane, kryteria klasyfikacji nie są spełnione. Zawiera aldehyd anyżowy (Repr. 2 H361fd) i toluen (Repr. 2 H361d) w stężeniach poniżej wartości progowych skutkujących klasyfikacją mieszaniny.</w:t>
      </w:r>
    </w:p>
    <w:p>
      <w:pPr>
        <w:spacing w:after="80"/>
      </w:pPr>
      <w:r>
        <w:rPr>
          <w:rFonts w:ascii="Arial" w:cs="Arial" w:eastAsia="Arial" w:hAnsi="Arial"/>
          <w:sz w:val="20"/>
          <w:szCs w:val="20"/>
        </w:rPr>
        <w:t xml:space="preserve">Działanie toksyczne na narządy docelowe – narażenie jednorazowe (STOT SE):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Działanie toksyczne na narządy docelowe – narażenie powtarzane (STOT RE):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Zagrożenie spowodowane aspiracją:</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Informacje dotyczące prawdopodobnych dróg narażenia:</w:t>
      </w:r>
    </w:p>
    <w:p>
      <w:pPr>
        <w:spacing w:after="80"/>
      </w:pPr>
      <w:r>
        <w:rPr>
          <w:rFonts w:ascii="Arial" w:cs="Arial" w:eastAsia="Arial" w:hAnsi="Arial"/>
          <w:sz w:val="20"/>
          <w:szCs w:val="20"/>
        </w:rPr>
        <w:t xml:space="preserve">- Pracownicy: wdychanie par, kontakt ze skórą, kontakt z oczami.</w:t>
      </w:r>
    </w:p>
    <w:p>
      <w:pPr>
        <w:spacing w:after="80"/>
      </w:pPr>
      <w:r>
        <w:rPr>
          <w:rFonts w:ascii="Arial" w:cs="Arial" w:eastAsia="Arial" w:hAnsi="Arial"/>
          <w:sz w:val="20"/>
          <w:szCs w:val="20"/>
        </w:rPr>
        <w:t xml:space="preserve">- Konsumenci: wdychanie par z powietrza otoczenia, kontakt ze skórą, przypadkowe spożycie.</w:t>
      </w:r>
    </w:p>
    <w:p>
      <w:pPr>
        <w:spacing w:after="80"/>
      </w:pPr>
      <w:r>
        <w:rPr>
          <w:rFonts w:ascii="Arial" w:cs="Arial" w:eastAsia="Arial" w:hAnsi="Arial"/>
          <w:sz w:val="20"/>
          <w:szCs w:val="20"/>
        </w:rPr>
        <w:t xml:space="preserve">Skutki opóźnione, bezpośrednie oraz przewlekłe spowodowane krótko- i długotrwałym narażeniem:</w:t>
      </w:r>
    </w:p>
    <w:p>
      <w:pPr>
        <w:spacing w:after="80"/>
      </w:pPr>
      <w:r>
        <w:rPr>
          <w:rFonts w:ascii="Arial" w:cs="Arial" w:eastAsia="Arial" w:hAnsi="Arial"/>
          <w:sz w:val="20"/>
          <w:szCs w:val="20"/>
        </w:rPr>
        <w:t xml:space="preserve">Kontakt z oczami powoduje podrażnienie, zaczerwienienie i łzawienie. U osób szczególnie wrażliwych kontakt ze skórą może wywołać reakcję alergiczną.</w:t>
      </w:r>
    </w:p>
    <w:p>
      <w:pPr>
        <w:spacing w:after="80"/>
      </w:pPr>
      <w:r>
        <w:rPr>
          <w:rFonts w:ascii="Arial" w:cs="Arial" w:eastAsia="Arial" w:hAnsi="Arial"/>
          <w:sz w:val="20"/>
          <w:szCs w:val="20"/>
        </w:rPr>
        <w:t xml:space="preserve">Skutki wzajemnego oddziaływania:</w:t>
      </w:r>
    </w:p>
    <w:p>
      <w:pPr>
        <w:spacing w:after="80"/>
      </w:pPr>
      <w:r>
        <w:rPr>
          <w:rFonts w:ascii="Arial" w:cs="Arial" w:eastAsia="Arial" w:hAnsi="Arial"/>
          <w:sz w:val="20"/>
          <w:szCs w:val="20"/>
        </w:rPr>
        <w:t xml:space="preserve">Brak danych dotyczących wzajemnego oddziaływania dla mieszaniny.</w:t>
      </w:r>
    </w:p>
    <w:p>
      <w:pPr>
        <w:spacing w:after="100" w:before="200"/>
      </w:pPr>
      <w:r>
        <w:rPr>
          <w:rFonts w:ascii="Arial" w:cs="Arial" w:eastAsia="Arial" w:hAnsi="Arial"/>
          <w:b/>
          <w:bCs/>
          <w:sz w:val="20"/>
          <w:szCs w:val="20"/>
        </w:rPr>
        <w:t xml:space="preserve">11.2. Informacje o innych zagrożeniach</w:t>
      </w:r>
    </w:p>
    <w:p>
      <w:pPr>
        <w:spacing w:after="100" w:before="200"/>
      </w:pPr>
      <w:r>
        <w:rPr>
          <w:rFonts w:ascii="Arial" w:cs="Arial" w:eastAsia="Arial" w:hAnsi="Arial"/>
          <w:b/>
          <w:bCs/>
          <w:sz w:val="20"/>
          <w:szCs w:val="20"/>
        </w:rPr>
        <w:t xml:space="preserve">11.2.1. Właściwości zaburzające funkcjonowanie układu hormonalnego:</w:t>
      </w:r>
    </w:p>
    <w:p>
      <w:pPr>
        <w:spacing w:after="80"/>
      </w:pPr>
      <w:r>
        <w:rPr>
          <w:rFonts w:ascii="Arial" w:cs="Arial" w:eastAsia="Arial" w:hAnsi="Arial"/>
          <w:sz w:val="20"/>
          <w:szCs w:val="20"/>
        </w:rPr>
        <w:t xml:space="preserve">Produkt nie zawiera substancji o właściwościach zaburzających funkcjonowanie układu hormonalnego w odniesieniu do zdrowia ludzkiego zgodnie z kryteriami określonymi w rozporządzeniu (UE) 2017/2100 lub rozporządzeniu (UE) 2018/605 w stężeniu równym lub większym niż 0,1 % wag.</w:t>
      </w:r>
    </w:p>
    <w:p>
      <w:pPr>
        <w:spacing w:after="100" w:before="200"/>
      </w:pPr>
      <w:r>
        <w:rPr>
          <w:rFonts w:ascii="Arial" w:cs="Arial" w:eastAsia="Arial" w:hAnsi="Arial"/>
          <w:b/>
          <w:bCs/>
          <w:sz w:val="20"/>
          <w:szCs w:val="20"/>
        </w:rPr>
        <w:t xml:space="preserve">11.2.2. Inne informacje:</w:t>
      </w:r>
    </w:p>
    <w:p>
      <w:pPr>
        <w:spacing w:after="80"/>
      </w:pPr>
      <w:r>
        <w:rPr>
          <w:rFonts w:ascii="Arial" w:cs="Arial" w:eastAsia="Arial" w:hAnsi="Arial"/>
          <w:sz w:val="20"/>
          <w:szCs w:val="20"/>
        </w:rPr>
        <w:t xml:space="preserve">Brak dodatkowych danych.</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nie została zaklasyfikowana jako stwarzająca zagrożenie dla środowiska.</w:t>
      </w:r>
    </w:p>
    <w:p>
      <w:pPr>
        <w:spacing w:after="80"/>
      </w:pPr>
      <w:r>
        <w:rPr>
          <w:rFonts w:ascii="Arial" w:cs="Arial" w:eastAsia="Arial" w:hAnsi="Arial"/>
          <w:sz w:val="20"/>
          <w:szCs w:val="20"/>
        </w:rPr>
        <w:t xml:space="preserve">Brak danych doświadczalnych dla mieszaniny.</w:t>
      </w:r>
    </w:p>
    <w:p>
      <w:pPr>
        <w:spacing w:after="80" w:before="150"/>
      </w:pPr>
      <w:r>
        <w:rPr>
          <w:rFonts w:ascii="Arial" w:cs="Arial" w:eastAsia="Arial" w:hAnsi="Arial"/>
          <w:b/>
          <w:bCs/>
          <w:sz w:val="20"/>
          <w:szCs w:val="20"/>
        </w:rPr>
        <w:t xml:space="preserve">Informacje ekotoksykologiczne o składnikach:</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 LC50 (ryby):14200 mg/l/(96 h)</w:t>
      </w:r>
    </w:p>
    <w:p>
      <w:pPr>
        <w:spacing w:after="80"/>
      </w:pPr>
      <w:r>
        <w:rPr>
          <w:rFonts w:ascii="Arial" w:cs="Arial" w:eastAsia="Arial" w:hAnsi="Arial"/>
          <w:sz w:val="20"/>
          <w:szCs w:val="20"/>
        </w:rPr>
        <w:t xml:space="preserve">- EC50 (skorupiaki):454 mg/l/(48 h)</w:t>
      </w:r>
    </w:p>
    <w:p>
      <w:pPr>
        <w:spacing w:after="80"/>
      </w:pPr>
      <w:r>
        <w:rPr>
          <w:rFonts w:ascii="Arial" w:cs="Arial" w:eastAsia="Arial" w:hAnsi="Arial"/>
          <w:sz w:val="20"/>
          <w:szCs w:val="20"/>
        </w:rPr>
        <w:t xml:space="preserve">- EC50 (glony / rośliny wodne):275 mg/l/(72 h)</w:t>
      </w:r>
    </w:p>
    <w:p>
      <w:pPr>
        <w:spacing w:after="80"/>
      </w:pPr>
      <w:r>
        <w:rPr>
          <w:rFonts w:ascii="Arial" w:cs="Arial" w:eastAsia="Arial" w:hAnsi="Arial"/>
          <w:sz w:val="20"/>
          <w:szCs w:val="20"/>
        </w:rPr>
        <w:t xml:space="preserve">- NOEC (przewlekła, ryby):250 mg/l</w:t>
      </w:r>
    </w:p>
    <w:p>
      <w:pPr>
        <w:spacing w:after="80"/>
      </w:pPr>
      <w:r>
        <w:rPr>
          <w:rFonts w:ascii="Arial" w:cs="Arial" w:eastAsia="Arial" w:hAnsi="Arial"/>
          <w:sz w:val="20"/>
          <w:szCs w:val="20"/>
        </w:rPr>
        <w:t xml:space="preserve">- NOEC (przewlekła, skorupiaki):96 mg/l</w:t>
      </w:r>
    </w:p>
    <w:p>
      <w:pPr>
        <w:spacing w:after="80"/>
      </w:pPr>
      <w:r>
        <w:rPr>
          <w:rFonts w:ascii="Arial" w:cs="Arial" w:eastAsia="Arial" w:hAnsi="Arial"/>
          <w:sz w:val="20"/>
          <w:szCs w:val="20"/>
        </w:rPr>
        <w:t xml:space="preserve">- NOEC (przewlekła, glony):11,5 mg/l</w:t>
      </w:r>
    </w:p>
    <w:p>
      <w:pPr>
        <w:spacing w:after="80" w:before="150"/>
      </w:pPr>
      <w:r>
        <w:rPr>
          <w:rFonts w:ascii="Arial" w:cs="Arial" w:eastAsia="Arial" w:hAnsi="Arial"/>
          <w:b/>
          <w:bCs/>
          <w:sz w:val="20"/>
          <w:szCs w:val="20"/>
        </w:rPr>
        <w:t xml:space="preserve">aldehyd anyżowy (4-metoksybenzaldehyd) (CAS: 123-11-5):</w:t>
      </w:r>
    </w:p>
    <w:p>
      <w:pPr>
        <w:spacing w:after="80"/>
      </w:pPr>
      <w:r>
        <w:rPr>
          <w:rFonts w:ascii="Arial" w:cs="Arial" w:eastAsia="Arial" w:hAnsi="Arial"/>
          <w:sz w:val="20"/>
          <w:szCs w:val="20"/>
        </w:rPr>
        <w:t xml:space="preserve">- LC50 (ryby):148,32 mg/l/(96 h) Leuciscus idus</w:t>
      </w:r>
    </w:p>
    <w:p>
      <w:pPr>
        <w:spacing w:after="80"/>
      </w:pPr>
      <w:r>
        <w:rPr>
          <w:rFonts w:ascii="Arial" w:cs="Arial" w:eastAsia="Arial" w:hAnsi="Arial"/>
          <w:sz w:val="20"/>
          <w:szCs w:val="20"/>
        </w:rPr>
        <w:t xml:space="preserve">- EC50 (skorupiaki):82,8 mg/l/(48 h) Daphnia magna</w:t>
      </w:r>
    </w:p>
    <w:p>
      <w:pPr>
        <w:spacing w:after="80"/>
      </w:pPr>
      <w:r>
        <w:rPr>
          <w:rFonts w:ascii="Arial" w:cs="Arial" w:eastAsia="Arial" w:hAnsi="Arial"/>
          <w:sz w:val="20"/>
          <w:szCs w:val="20"/>
        </w:rPr>
        <w:t xml:space="preserve">- EC50 (glony / rośliny wodne):81,11 mg/l/(72 h) Desmodesmus subspicatus</w:t>
      </w:r>
    </w:p>
    <w:p>
      <w:pPr>
        <w:spacing w:after="80"/>
      </w:pPr>
      <w:r>
        <w:rPr>
          <w:rFonts w:ascii="Arial" w:cs="Arial" w:eastAsia="Arial" w:hAnsi="Arial"/>
          <w:sz w:val="20"/>
          <w:szCs w:val="20"/>
        </w:rPr>
        <w:t xml:space="preserve">- NOEC (przewlekła, ryby):100 mg/l/(96 h) Leuciscus idus</w:t>
      </w:r>
    </w:p>
    <w:p>
      <w:pPr>
        <w:spacing w:after="80" w:before="150"/>
      </w:pPr>
      <w:r>
        <w:rPr>
          <w:rFonts w:ascii="Arial" w:cs="Arial" w:eastAsia="Arial" w:hAnsi="Arial"/>
          <w:b/>
          <w:bCs/>
          <w:sz w:val="20"/>
          <w:szCs w:val="20"/>
        </w:rPr>
        <w:t xml:space="preserve">kumaryna (2H-chromen-2-on) (CAS: 91-64-5):</w:t>
      </w:r>
    </w:p>
    <w:p>
      <w:pPr>
        <w:spacing w:after="80"/>
      </w:pPr>
      <w:r>
        <w:rPr>
          <w:rFonts w:ascii="Arial" w:cs="Arial" w:eastAsia="Arial" w:hAnsi="Arial"/>
          <w:sz w:val="20"/>
          <w:szCs w:val="20"/>
        </w:rPr>
        <w:t xml:space="preserve">- LC50 (ryby):1,324 mg/l/(96 h)</w:t>
      </w:r>
    </w:p>
    <w:p>
      <w:pPr>
        <w:spacing w:after="80"/>
      </w:pPr>
      <w:r>
        <w:rPr>
          <w:rFonts w:ascii="Arial" w:cs="Arial" w:eastAsia="Arial" w:hAnsi="Arial"/>
          <w:sz w:val="20"/>
          <w:szCs w:val="20"/>
        </w:rPr>
        <w:t xml:space="preserve">- EC50 (skorupiaki):8,012 mg/l/(48 h)</w:t>
      </w:r>
    </w:p>
    <w:p>
      <w:pPr>
        <w:spacing w:after="80"/>
      </w:pPr>
      <w:r>
        <w:rPr>
          <w:rFonts w:ascii="Arial" w:cs="Arial" w:eastAsia="Arial" w:hAnsi="Arial"/>
          <w:sz w:val="20"/>
          <w:szCs w:val="20"/>
        </w:rPr>
        <w:t xml:space="preserve">- EC50 (glony / rośliny wodne):1,452 mg/l/(72 h)</w:t>
      </w:r>
    </w:p>
    <w:p>
      <w:pPr>
        <w:spacing w:after="80"/>
      </w:pPr>
      <w:r>
        <w:rPr>
          <w:rFonts w:ascii="Arial" w:cs="Arial" w:eastAsia="Arial" w:hAnsi="Arial"/>
          <w:sz w:val="20"/>
          <w:szCs w:val="20"/>
        </w:rPr>
        <w:t xml:space="preserve">- NOEC (przewlekła, ryby):0,119 mg/l</w:t>
      </w:r>
    </w:p>
    <w:p>
      <w:pPr>
        <w:spacing w:after="80"/>
      </w:pPr>
      <w:r>
        <w:rPr>
          <w:rFonts w:ascii="Arial" w:cs="Arial" w:eastAsia="Arial" w:hAnsi="Arial"/>
          <w:sz w:val="20"/>
          <w:szCs w:val="20"/>
        </w:rPr>
        <w:t xml:space="preserve">- NOEC (przewlekła, skorupiaki):0,448 mg/l</w:t>
      </w:r>
    </w:p>
    <w:p>
      <w:pPr>
        <w:spacing w:after="80"/>
      </w:pPr>
      <w:r>
        <w:rPr>
          <w:rFonts w:ascii="Arial" w:cs="Arial" w:eastAsia="Arial" w:hAnsi="Arial"/>
          <w:sz w:val="20"/>
          <w:szCs w:val="20"/>
        </w:rPr>
        <w:t xml:space="preserve">- NOEC (przewlekła, glony):0,408 mg/l</w:t>
      </w:r>
    </w:p>
    <w:p>
      <w:pPr>
        <w:spacing w:after="80" w:before="150"/>
      </w:pPr>
      <w:r>
        <w:rPr>
          <w:rFonts w:ascii="Arial" w:cs="Arial" w:eastAsia="Arial" w:hAnsi="Arial"/>
          <w:b/>
          <w:bCs/>
          <w:sz w:val="20"/>
          <w:szCs w:val="20"/>
        </w:rPr>
        <w:t xml:space="preserve">2,6-di-tert-butylo-4-metylofenol (BHT) (CAS: 128-37-0):</w:t>
      </w:r>
    </w:p>
    <w:p>
      <w:pPr>
        <w:spacing w:after="80"/>
      </w:pPr>
      <w:r>
        <w:rPr>
          <w:rFonts w:ascii="Arial" w:cs="Arial" w:eastAsia="Arial" w:hAnsi="Arial"/>
          <w:sz w:val="20"/>
          <w:szCs w:val="20"/>
        </w:rPr>
        <w:t xml:space="preserve">- LC50 (ryby):0,199 mg/l/(96 h)</w:t>
      </w:r>
    </w:p>
    <w:p>
      <w:pPr>
        <w:spacing w:after="80"/>
      </w:pPr>
      <w:r>
        <w:rPr>
          <w:rFonts w:ascii="Arial" w:cs="Arial" w:eastAsia="Arial" w:hAnsi="Arial"/>
          <w:sz w:val="20"/>
          <w:szCs w:val="20"/>
        </w:rPr>
        <w:t xml:space="preserve">- EC50 (skorupiaki):0,48 mg/l/(48 h)</w:t>
      </w:r>
    </w:p>
    <w:p>
      <w:pPr>
        <w:spacing w:after="80"/>
      </w:pPr>
      <w:r>
        <w:rPr>
          <w:rFonts w:ascii="Arial" w:cs="Arial" w:eastAsia="Arial" w:hAnsi="Arial"/>
          <w:sz w:val="20"/>
          <w:szCs w:val="20"/>
        </w:rPr>
        <w:t xml:space="preserve">- EC50 (glony / rośliny wodne):&gt; 0,4 mg/l/(72 h)</w:t>
      </w:r>
    </w:p>
    <w:p>
      <w:pPr>
        <w:spacing w:after="80"/>
      </w:pPr>
      <w:r>
        <w:rPr>
          <w:rFonts w:ascii="Arial" w:cs="Arial" w:eastAsia="Arial" w:hAnsi="Arial"/>
          <w:sz w:val="20"/>
          <w:szCs w:val="20"/>
        </w:rPr>
        <w:t xml:space="preserve">- NOEC (przewlekła, ryby):0,053 mg/l</w:t>
      </w:r>
    </w:p>
    <w:p>
      <w:pPr>
        <w:spacing w:after="80"/>
      </w:pPr>
      <w:r>
        <w:rPr>
          <w:rFonts w:ascii="Arial" w:cs="Arial" w:eastAsia="Arial" w:hAnsi="Arial"/>
          <w:sz w:val="20"/>
          <w:szCs w:val="20"/>
        </w:rPr>
        <w:t xml:space="preserve">- NOEC (przewlekła, skorupiaki):0,15 mg/l</w:t>
      </w:r>
    </w:p>
    <w:p>
      <w:pPr>
        <w:spacing w:after="80" w:before="150"/>
      </w:pPr>
      <w:r>
        <w:rPr>
          <w:rFonts w:ascii="Arial" w:cs="Arial" w:eastAsia="Arial" w:hAnsi="Arial"/>
          <w:b/>
          <w:bCs/>
          <w:sz w:val="20"/>
          <w:szCs w:val="20"/>
        </w:rPr>
        <w:t xml:space="preserve">toluen (CAS: 108-88-3):</w:t>
      </w:r>
    </w:p>
    <w:p>
      <w:pPr>
        <w:spacing w:after="80"/>
      </w:pPr>
      <w:r>
        <w:rPr>
          <w:rFonts w:ascii="Arial" w:cs="Arial" w:eastAsia="Arial" w:hAnsi="Arial"/>
          <w:sz w:val="20"/>
          <w:szCs w:val="20"/>
        </w:rPr>
        <w:t xml:space="preserve">- LC50 (ryby):5,5 mg/l/(96 h) Oncorhynchus kisutch</w:t>
      </w:r>
    </w:p>
    <w:p>
      <w:pPr>
        <w:spacing w:after="80"/>
      </w:pPr>
      <w:r>
        <w:rPr>
          <w:rFonts w:ascii="Arial" w:cs="Arial" w:eastAsia="Arial" w:hAnsi="Arial"/>
          <w:sz w:val="20"/>
          <w:szCs w:val="20"/>
        </w:rPr>
        <w:t xml:space="preserve">- EC50 (skorupiaki):3,78 mg/l</w:t>
      </w:r>
    </w:p>
    <w:p>
      <w:pPr>
        <w:spacing w:after="80"/>
      </w:pPr>
      <w:r>
        <w:rPr>
          <w:rFonts w:ascii="Arial" w:cs="Arial" w:eastAsia="Arial" w:hAnsi="Arial"/>
          <w:sz w:val="20"/>
          <w:szCs w:val="20"/>
        </w:rPr>
        <w:t xml:space="preserve">- EC50 (glony / rośliny wodne):134 mg/l/(3 h) Chlorella vulgaris and Chlamydomonas angulosa</w:t>
      </w:r>
    </w:p>
    <w:p>
      <w:pPr>
        <w:spacing w:after="80"/>
      </w:pPr>
      <w:r>
        <w:rPr>
          <w:rFonts w:ascii="Arial" w:cs="Arial" w:eastAsia="Arial" w:hAnsi="Arial"/>
          <w:sz w:val="20"/>
          <w:szCs w:val="20"/>
        </w:rPr>
        <w:t xml:space="preserve">- NOEC (przewlekła, glony):10 mg/l/(72 h) Skeletonema costatum</w:t>
      </w:r>
    </w:p>
    <w:p>
      <w:pPr>
        <w:spacing w:after="100" w:before="200"/>
      </w:pPr>
      <w:r>
        <w:rPr>
          <w:rFonts w:ascii="Arial" w:cs="Arial" w:eastAsia="Arial" w:hAnsi="Arial"/>
          <w:b/>
          <w:bCs/>
          <w:sz w:val="20"/>
          <w:szCs w:val="20"/>
        </w:rPr>
        <w:t xml:space="preserve">12.2. Trwałość i zdolność do rozkładu</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Szybko ulega degradacji (substancja łatwo biodegradowalna). Rozpuszczalność w wodzie: 1000 - 10000 mg/l.</w:t>
      </w:r>
    </w:p>
    <w:p>
      <w:pPr>
        <w:spacing w:after="80"/>
      </w:pPr>
      <w:r>
        <w:rPr>
          <w:rFonts w:ascii="Arial" w:cs="Arial" w:eastAsia="Arial" w:hAnsi="Arial"/>
          <w:sz w:val="20"/>
          <w:szCs w:val="20"/>
        </w:rPr>
        <w:t xml:space="preserve">aldehyd anyżowy (4-metoksybenzaldehyd) (CAS: 123-11-5): Szybko ulega degradacji (substancja łatwo biodegradowalna).</w:t>
      </w:r>
    </w:p>
    <w:p>
      <w:pPr>
        <w:spacing w:after="80"/>
      </w:pPr>
      <w:r>
        <w:rPr>
          <w:rFonts w:ascii="Arial" w:cs="Arial" w:eastAsia="Arial" w:hAnsi="Arial"/>
          <w:sz w:val="20"/>
          <w:szCs w:val="20"/>
        </w:rPr>
        <w:t xml:space="preserve">kumaryna (2H-chromen-2-on) (CAS: 91-64-5): Szybko ulega degradacji (substancja łatwo biodegradowalna).</w:t>
      </w:r>
    </w:p>
    <w:p>
      <w:pPr>
        <w:spacing w:after="80"/>
      </w:pPr>
      <w:r>
        <w:rPr>
          <w:rFonts w:ascii="Arial" w:cs="Arial" w:eastAsia="Arial" w:hAnsi="Arial"/>
          <w:sz w:val="20"/>
          <w:szCs w:val="20"/>
        </w:rPr>
        <w:t xml:space="preserve">2,6-di-tert-butylo-4-metylofenol (BHT) (CAS: 128-37-0): Szybko ulega degradacji (substancja łatwo biodegradowalna).</w:t>
      </w:r>
    </w:p>
    <w:p>
      <w:pPr>
        <w:spacing w:after="80"/>
      </w:pPr>
      <w:r>
        <w:rPr>
          <w:rFonts w:ascii="Arial" w:cs="Arial" w:eastAsia="Arial" w:hAnsi="Arial"/>
          <w:sz w:val="20"/>
          <w:szCs w:val="20"/>
        </w:rPr>
        <w:t xml:space="preserve">toluen (CAS: 108-88-3): Szybko ulega degradacji (substancja łatwo biodegradowalna). Rozpuszczalność w wodzie: 100 - 1000 mg/l.</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-0,35.</w:t>
      </w:r>
    </w:p>
    <w:p>
      <w:pPr>
        <w:spacing w:after="80"/>
      </w:pPr>
      <w:r>
        <w:rPr>
          <w:rFonts w:ascii="Arial" w:cs="Arial" w:eastAsia="Arial" w:hAnsi="Arial"/>
          <w:sz w:val="20"/>
          <w:szCs w:val="20"/>
        </w:rPr>
        <w:t xml:space="preserve">2,6-di-tert-butylo-4-metylofenol (BHT) (CAS: 128-37-0): współczynnik podziału n-oktanol/woda (log Kow): 5,1, współczynnik biokoncentracji BCF = 598,4.</w:t>
      </w:r>
    </w:p>
    <w:p>
      <w:pPr>
        <w:spacing w:after="80"/>
      </w:pPr>
      <w:r>
        <w:rPr>
          <w:rFonts w:ascii="Arial" w:cs="Arial" w:eastAsia="Arial" w:hAnsi="Arial"/>
          <w:sz w:val="20"/>
          <w:szCs w:val="20"/>
        </w:rPr>
        <w:t xml:space="preserve">toluen (CAS: 108-88-3): współczynnik podziału n-oktanol/woda (log Kow): 2,73, współczynnik biokoncentracji BCF = 90.</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aldehyd anyżowy (4-metoksybenzaldehyd) (CAS: 123-11-5): współczynnik podziału gleba/woda (Koc): 1.</w:t>
      </w:r>
    </w:p>
    <w:p>
      <w:pPr>
        <w:spacing w:after="80"/>
      </w:pPr>
      <w:r>
        <w:rPr>
          <w:rFonts w:ascii="Arial" w:cs="Arial" w:eastAsia="Arial" w:hAnsi="Arial"/>
          <w:sz w:val="20"/>
          <w:szCs w:val="20"/>
        </w:rPr>
        <w:t xml:space="preserve">2,6-di-tert-butylo-4-metylofenol (BHT) (CAS: 128-37-0): współczynnik podziału gleba/woda (Koc): 4,2.</w:t>
      </w:r>
    </w:p>
    <w:p>
      <w:pPr>
        <w:spacing w:after="80"/>
      </w:pPr>
      <w:r>
        <w:rPr>
          <w:rFonts w:ascii="Arial" w:cs="Arial" w:eastAsia="Arial" w:hAnsi="Arial"/>
          <w:sz w:val="20"/>
          <w:szCs w:val="20"/>
        </w:rPr>
        <w:t xml:space="preserve">toluen (CAS: 108-88-3): współczynnik podziału gleba/woda (Koc): 2,31.</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pPr>
      <w:r>
        <w:rPr>
          <w:rFonts w:ascii="Arial" w:cs="Arial" w:eastAsia="Arial" w:hAnsi="Arial"/>
          <w:sz w:val="20"/>
          <w:szCs w:val="20"/>
        </w:rPr>
        <w:t xml:space="preserve">Mieszanina nie zawiera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80"/>
      </w:pPr>
      <w:r>
        <w:rPr>
          <w:rFonts w:ascii="Arial" w:cs="Arial" w:eastAsia="Arial" w:hAnsi="Arial"/>
          <w:sz w:val="20"/>
          <w:szCs w:val="20"/>
        </w:rPr>
        <w:t xml:space="preserve">- Odpady z produktu (dla zastosowań profesjonalnych / przemysłowych): 16 03 05* (Organiczne odpady zawierające substancje niebezpieczne) lub 16 05 08* (Zużyte chemikalia zawierające substancje niebezpieczne).</w:t>
      </w:r>
    </w:p>
    <w:p>
      <w:pPr>
        <w:spacing w:after="80"/>
      </w:pPr>
      <w:r>
        <w:rPr>
          <w:rFonts w:ascii="Arial" w:cs="Arial" w:eastAsia="Arial" w:hAnsi="Arial"/>
          <w:sz w:val="20"/>
          <w:szCs w:val="20"/>
        </w:rPr>
        <w:t xml:space="preserve">- Odpady z produktu (dla konsumentów / odpady komunalne): 20 01 29* (Detergenty zawierające substancje niebezpieczne) lub 20 01 27*.</w:t>
      </w:r>
    </w:p>
    <w:p>
      <w:pPr>
        <w:spacing w:after="80"/>
      </w:pPr>
      <w:r>
        <w:rPr>
          <w:rFonts w:ascii="Arial" w:cs="Arial" w:eastAsia="Arial" w:hAnsi="Arial"/>
          <w:sz w:val="20"/>
          <w:szCs w:val="20"/>
        </w:rPr>
        <w:t xml:space="preserve">- Odpady opakowaniowe: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80" w:before="200"/>
      </w:pPr>
      <w:r>
        <w:rPr>
          <w:rFonts w:ascii="Arial" w:cs="Arial" w:eastAsia="Arial" w:hAnsi="Arial"/>
          <w:b/>
          <w:bCs/>
          <w:sz w:val="20"/>
          <w:szCs w:val="20"/>
        </w:rPr>
        <w:t xml:space="preserve">14.3. Klasa(-y) zagrożenia w transporcie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ADR / RID, IMDG, IATA: Klasa 3 (Materiały ciekłe zapalne)</w:t>
      </w:r>
    </w:p>
    <w:p>
      <w:pPr>
        <w:spacing w:after="80" w:before="80"/>
      </w:pPr>
      <w:r>
        <w:rPr>
          <w:rFonts w:ascii="Arial" w:cs="Arial" w:eastAsia="Arial" w:hAnsi="Arial"/>
          <w:b/>
          <w:bCs/>
          <w:sz w:val="20"/>
          <w:szCs w:val="20"/>
        </w:rPr>
        <w:t xml:space="preserve">Nalepka ostrzegawcza:</w:t>
      </w:r>
      <w:r>
        <w:rPr>
          <w:rFonts w:ascii="Arial" w:cs="Arial" w:eastAsia="Arial" w:hAnsi="Arial"/>
          <w:sz w:val="20"/>
          <w:szCs w:val="20"/>
        </w:rPr>
        <w:t xml:space="preserve"> Nr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60" w:before="80"/>
      </w:pPr>
      <w:r>
        <w:rPr>
          <w:rFonts w:ascii="Arial" w:cs="Arial" w:eastAsia="Arial" w:hAnsi="Arial"/>
          <w:b/>
          <w:bCs/>
          <w:sz w:val="20"/>
          <w:szCs w:val="20"/>
        </w:rPr>
        <w:t xml:space="preserve">Ilości ograniczone (LQ):</w:t>
      </w:r>
      <w:r>
        <w:rPr>
          <w:rFonts w:ascii="Arial" w:cs="Arial" w:eastAsia="Arial" w:hAnsi="Arial"/>
          <w:sz w:val="20"/>
          <w:szCs w:val="20"/>
        </w:rPr>
        <w:t xml:space="preserve"> 1 L</w:t>
      </w:r>
    </w:p>
    <w:p>
      <w:pPr>
        <w:spacing w:after="80" w:before="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r>
        <w:rPr>
          <w:rFonts w:ascii="Arial" w:cs="Arial" w:eastAsia="Arial" w:hAnsi="Arial"/>
          <w:i/>
          <w:iCs/>
          <w:sz w:val="16"/>
          <w:szCs w:val="16"/>
        </w:rPr>
        <w:t xml:space="preserve">  Znak dla towarów pakowanych w ilościach ograniczonych (LQ) zgodnie z działem 3.4 Umowy ADR</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80"/>
      </w:pPr>
      <w:r>
        <w:rPr>
          <w:rFonts w:ascii="Arial" w:cs="Arial" w:eastAsia="Arial" w:hAnsi="Arial"/>
          <w:sz w:val="20"/>
          <w:szCs w:val="20"/>
        </w:rPr>
        <w:t xml:space="preserve">- Substancje wzbudzające szczególnie duże obawy (SVHC – REACH załącznik XIV): Mieszanina nie zawiera substancji z listy kandydackiej SVHC podlegających procedurze udzielania zezwoleń (REACH załącznik XIV) w stężeniu ≥ 0,1% wag.</w:t>
      </w:r>
    </w:p>
    <w:p>
      <w:pPr>
        <w:spacing w:after="80"/>
      </w:pPr>
      <w:r>
        <w:rPr>
          <w:rFonts w:ascii="Arial" w:cs="Arial" w:eastAsia="Arial" w:hAnsi="Arial"/>
          <w:sz w:val="20"/>
          <w:szCs w:val="20"/>
        </w:rPr>
        <w:t xml:space="preserve">- Ograniczenia dotyczące produkcji, wprowadzania do obrotu i stosowania niektórych niebezpiecznych substancji (REACH załącznik XVII): Mieszanina nie podlega ograniczeniom na mocy załącznika XVII do rozporządzenia REACH.</w:t>
      </w:r>
    </w:p>
    <w:p>
      <w:pPr>
        <w:spacing w:after="80"/>
      </w:pPr>
      <w:r>
        <w:rPr>
          <w:rFonts w:ascii="Arial" w:cs="Arial" w:eastAsia="Arial" w:hAnsi="Arial"/>
          <w:sz w:val="20"/>
          <w:szCs w:val="20"/>
        </w:rPr>
        <w:t xml:space="preserve">- Dyrektywa Parlamentu Europejskiego i Rady 2012/18/UE (Seveso III): Z uwagi na właściwości cieczy łatwopalnych produkt może kwalifikować się do przepisów dyrektywy po przekroczeniu ilości progowych [Kategoria P5a/P5b/P5c: 10 t / 50 t lub 5 000 t / 50 000 t w zależności od warunków magazynowania]. Kwalifikacja zakładu (ZZR/ZDR) należy do prowadzącego zakład.</w:t>
      </w:r>
    </w:p>
    <w:p>
      <w:pPr>
        <w:spacing w:after="80"/>
      </w:pPr>
      <w:r>
        <w:rPr>
          <w:rFonts w:ascii="Arial" w:cs="Arial" w:eastAsia="Arial" w:hAnsi="Arial"/>
          <w:sz w:val="20"/>
          <w:szCs w:val="20"/>
        </w:rPr>
        <w:t xml:space="preserve">- Rozporządzenie Parlamentu Europejskiego i Rady (UE) nr 649/2012 z dnia 4 lipca 2012 r. dotyczące wywozu i przywozu niebezpiecznych chemikaliów (PIC):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pPr>
      <w:r>
        <w:rPr>
          <w:rFonts w:ascii="Arial" w:cs="Arial" w:eastAsia="Arial" w:hAnsi="Arial"/>
          <w:sz w:val="20"/>
          <w:szCs w:val="20"/>
        </w:rPr>
        <w:t xml:space="preserve">H361fd: Podejrzewa się, że działa szkodliwie na płodność. Podejrzewa się, że działa szkodliwie na dziecko w łonie matki.</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80"/>
      </w:pPr>
      <w:r>
        <w:rPr>
          <w:rFonts w:ascii="Arial" w:cs="Arial" w:eastAsia="Arial" w:hAnsi="Arial"/>
          <w:b/>
          <w:bCs/>
          <w:sz w:val="20"/>
          <w:szCs w:val="20"/>
        </w:rPr>
        <w:t xml:space="preserve">EUH208:</w:t>
      </w:r>
      <w:r>
        <w:rPr>
          <w:rFonts w:ascii="Arial" w:cs="Arial" w:eastAsia="Arial" w:hAnsi="Arial"/>
          <w:sz w:val="20"/>
          <w:szCs w:val="20"/>
        </w:rPr>
        <w:t xml:space="preserve"> Zawiera kumarynę (2H-chromen-2-on). Może powodować wystąpienie reakcji alergicznej.</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pPr>
      <w:r>
        <w:rPr>
          <w:rFonts w:ascii="Arial" w:cs="Arial" w:eastAsia="Arial" w:hAnsi="Arial"/>
          <w:sz w:val="20"/>
          <w:szCs w:val="20"/>
        </w:rPr>
        <w:t xml:space="preserve">Repr. 2: Działanie szkodliwe na rozrodczość,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80"/>
      </w:pPr>
      <w:r>
        <w:rPr>
          <w:rFonts w:ascii="Arial" w:cs="Arial" w:eastAsia="Arial" w:hAnsi="Arial"/>
          <w:sz w:val="20"/>
          <w:szCs w:val="20"/>
        </w:rPr>
        <w:t xml:space="preserve">- Baza danych Europejskiej Agencji Chemikaliów (ECHA): https://echa.europa.eu/</w:t>
      </w:r>
    </w:p>
    <w:p>
      <w:pPr>
        <w:spacing w:after="80"/>
      </w:pPr>
      <w:r>
        <w:rPr>
          <w:rFonts w:ascii="Arial" w:cs="Arial" w:eastAsia="Arial" w:hAnsi="Arial"/>
          <w:sz w:val="20"/>
          <w:szCs w:val="20"/>
        </w:rPr>
        <w:t xml:space="preserve">- Baza danych PubChem National Library of Medicine: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została opracowana i zaktualizowana zgodnie z wymogami Rozporządzenia Komisji (UE) 2020/878 z dnia 18 czerwca 2020 r. zmieniającego załącznik II do rozporządzenia (WE) nr 1907/2006 (REACH).</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rPr>
      <w:t xml:space="preserve">Strona </w:t>
    </w:r>
    <w:r>
      <w:rPr>
        <w:rFonts w:ascii="Arial" w:cs="Arial" w:eastAsia="Arial" w:hAnsi="Arial"/>
      </w:rPr>
      <w:fldChar w:fldCharType="begin"/>
      <w:instrText xml:space="preserve">PAGE</w:instrText>
      <w:fldChar w:fldCharType="separate"/>
      <w:fldChar w:fldCharType="end"/>
    </w:r>
    <w:r>
      <w:rPr>
        <w:rFonts w:ascii="Arial" w:cs="Arial" w:eastAsia="Arial" w:hAnsi="Arial"/>
      </w:rPr>
      <w:t xml:space="preserve"> z </w:t>
    </w:r>
    <w:r>
      <w:rPr>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rPr>
      <w:t xml:space="preserve">SDS | SWEET HOME - PROFUMATORE AMBIENTE ORCHIDEA E VANIGLIA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df4620fc619cfcec683facca7e88bc7fd37dd8.undefined"/><Relationship Id="rId10" Type="http://schemas.openxmlformats.org/officeDocument/2006/relationships/image" Target="media/ab3b38ff5aec5db8cf291d921b1836a765ff072f.undefined"/><Relationship Id="rId11" Type="http://schemas.openxmlformats.org/officeDocument/2006/relationships/image" Target="media/bb4e46ba2799965d0181b8cc93349251770e4a8c.undefined"/><Relationship Id="rId12" Type="http://schemas.openxmlformats.org/officeDocument/2006/relationships/image" Target="media/40ebfa5564939c27d85f5e4019dc884a31c847f6.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2026-09-15T04:57:30.535Z</dcterms:created>
  <dcterms:modified xsi:type="dcterms:W3CDTF">2026-09-15T04:57:30.536Z</dcterms:modified>
</cp:coreProperties>
</file>

<file path=docProps/custom.xml><?xml version="1.0" encoding="utf-8"?>
<Properties xmlns="http://schemas.openxmlformats.org/officeDocument/2006/custom-properties" xmlns:vt="http://schemas.openxmlformats.org/officeDocument/2006/docPropsVTypes"/>
</file>