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120"/>
      </w:pPr>
      <w:r>
        <w:rPr>
          <w:b/>
          <w:bCs/>
          <w:color w:val="0F172A"/>
          <w:sz w:val="26"/>
          <w:szCs w:val="26"/>
          <w:rFonts w:ascii="Calibri" w:cs="Calibri" w:eastAsia="Calibri" w:hAnsi="Calibri"/>
        </w:rPr>
        <w:t xml:space="preserve">Safety Data Sheet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SWEET HOME LAYALI - PROFUMA TESSUTI E AMBIENTE NAJMA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Version: 1. Date of compilation: 07/03/2026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SUAREZ Company S.r.l.</w:t>
      </w:r>
    </w:p>
    <w:p>
      <w:pPr>
        <w:pBdr>
          <w:bottom w:val="single" w:color="CBD5E1" w:sz="4" w:space="2"/>
        </w:pBdr>
        <w:spacing w:before="240" w:after="80"/>
      </w:pPr>
      <w:r>
        <w:rPr>
          <w:b/>
          <w:bCs/>
          <w:color w:val="020617"/>
          <w:sz w:val="21"/>
          <w:szCs w:val="21"/>
          <w:rFonts w:ascii="Calibri" w:cs="Calibri" w:eastAsia="Calibri" w:hAnsi="Calibri"/>
        </w:rPr>
        <w:t xml:space="preserve">SECTION 1: Identification of the substance/mixture and of the company/undertaking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1.1. Product identifier</w:t>
      </w:r>
    </w:p>
    <w:p>
      <w:pPr>
        <w:spacing w:before="30" w:after="30"/>
      </w:pPr>
      <w:r>
        <w:rPr>
          <w:b/>
          <w:bCs/>
          <w:color w:val="1E293B"/>
          <w:sz w:val="17"/>
          <w:szCs w:val="17"/>
          <w:rFonts w:ascii="Calibri" w:cs="Calibri" w:eastAsia="Calibri" w:hAnsi="Calibri"/>
        </w:rPr>
        <w:t xml:space="preserve">Mixture identification: </w:t>
      </w:r>
      <w:r>
        <w:rPr>
          <w:color w:val="475569"/>
          <w:sz w:val="17"/>
          <w:szCs w:val="17"/>
          <w:rFonts w:ascii="Calibri" w:cs="Calibri" w:eastAsia="Calibri" w:hAnsi="Calibri"/>
        </w:rPr>
        <w:t xml:space="preserve">SWEET HOME LAYALI PROFUMA TESSUTI E AMBIENTE NAJMA</w:t>
      </w:r>
    </w:p>
    <w:p>
      <w:pPr>
        <w:spacing w:before="30" w:after="30"/>
      </w:pPr>
      <w:r>
        <w:rPr>
          <w:b/>
          <w:bCs/>
          <w:color w:val="1E293B"/>
          <w:sz w:val="17"/>
          <w:szCs w:val="17"/>
          <w:rFonts w:ascii="Calibri" w:cs="Calibri" w:eastAsia="Calibri" w:hAnsi="Calibri"/>
        </w:rPr>
        <w:t xml:space="preserve">Trade name: </w:t>
      </w:r>
      <w:r>
        <w:rPr>
          <w:color w:val="475569"/>
          <w:sz w:val="17"/>
          <w:szCs w:val="17"/>
          <w:rFonts w:ascii="Calibri" w:cs="Calibri" w:eastAsia="Calibri" w:hAnsi="Calibri"/>
        </w:rPr>
        <w:t xml:space="preserve">SWEET HOME LAYALI PROFUMA TESSUTI E AMBIENTE NAJMA</w:t>
      </w:r>
    </w:p>
    <w:p>
      <w:pPr>
        <w:spacing w:before="30" w:after="30"/>
      </w:pPr>
      <w:r>
        <w:rPr>
          <w:b/>
          <w:bCs/>
          <w:color w:val="1E293B"/>
          <w:sz w:val="17"/>
          <w:szCs w:val="17"/>
          <w:rFonts w:ascii="Calibri" w:cs="Calibri" w:eastAsia="Calibri" w:hAnsi="Calibri"/>
        </w:rPr>
        <w:t xml:space="preserve">Trade code: </w:t>
      </w:r>
      <w:r>
        <w:rPr>
          <w:color w:val="475569"/>
          <w:sz w:val="17"/>
          <w:szCs w:val="17"/>
          <w:rFonts w:ascii="Calibri" w:cs="Calibri" w:eastAsia="Calibri" w:hAnsi="Calibri"/>
        </w:rPr>
        <w:t xml:space="preserve">BLK2084</w:t>
      </w:r>
    </w:p>
    <w:p>
      <w:pPr>
        <w:spacing w:before="30" w:after="30"/>
      </w:pPr>
      <w:r>
        <w:rPr>
          <w:b/>
          <w:bCs/>
          <w:color w:val="1E293B"/>
          <w:sz w:val="17"/>
          <w:szCs w:val="17"/>
          <w:rFonts w:ascii="Calibri" w:cs="Calibri" w:eastAsia="Calibri" w:hAnsi="Calibri"/>
        </w:rPr>
        <w:t xml:space="preserve">UFI: </w:t>
      </w:r>
      <w:r>
        <w:rPr>
          <w:color w:val="475569"/>
          <w:sz w:val="17"/>
          <w:szCs w:val="17"/>
          <w:rFonts w:ascii="Calibri" w:cs="Calibri" w:eastAsia="Calibri" w:hAnsi="Calibri"/>
        </w:rPr>
        <w:t xml:space="preserve">AJAD-RP52-PA98-ME4H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1.2. Relevant identified uses of the substance or mixture and uses advised against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Consumer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Recommended use: laundry perfumer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Uses advised against: Do not use for purposes different from those indicated.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1.3. Details of the supplier of the safety data sheet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Company: SUAREZ COMPANY S.R.L.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Via Pergolesi, 1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20811, Cesano Maderno (MI) - Italy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Ph. +39 0362659766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www.suarezcompany.it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Competent person responsible for the safety data sheet: info@suarezcompany.it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1.4. Emergency telephone number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SUAREZ COMPANY S.R.L.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Ph. +39 0362659766 (IT/EN office hours)</w:t>
      </w:r>
    </w:p>
    <w:p>
      <w:pPr>
        <w:pBdr>
          <w:bottom w:val="single" w:color="CBD5E1" w:sz="4" w:space="2"/>
        </w:pBdr>
        <w:spacing w:before="240" w:after="80"/>
      </w:pPr>
      <w:r>
        <w:rPr>
          <w:b/>
          <w:bCs/>
          <w:color w:val="020617"/>
          <w:sz w:val="21"/>
          <w:szCs w:val="21"/>
          <w:rFonts w:ascii="Calibri" w:cs="Calibri" w:eastAsia="Calibri" w:hAnsi="Calibri"/>
        </w:rPr>
        <w:t xml:space="preserve">SECTION 2: Hazards identification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2.1. Classification of the substance or mixture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Regulation (EC) n. 1272/2008 (CLP)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The product is not classified as hazardous according to Regulation EC 1272/2008 (CLP).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Adverse physicochemical, human health and environmental effects: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No other hazards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2.2. Label elements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The product is not classified as hazardous according to Regulation EC 1272/2008 (CLP).</w:t>
      </w:r>
    </w:p>
    <w:p>
      <w:pPr>
        <w:spacing w:before="30" w:after="30"/>
      </w:pPr>
      <w:r>
        <w:rPr>
          <w:b/>
          <w:bCs/>
          <w:color w:val="1E293B"/>
          <w:sz w:val="17"/>
          <w:szCs w:val="17"/>
          <w:rFonts w:ascii="Calibri" w:cs="Calibri" w:eastAsia="Calibri" w:hAnsi="Calibri"/>
        </w:rPr>
        <w:t xml:space="preserve">Precautionary statements: </w:t>
      </w:r>
      <w:r>
        <w:rPr>
          <w:color w:val="475569"/>
          <w:sz w:val="17"/>
          <w:szCs w:val="17"/>
          <w:rFonts w:ascii="Calibri" w:cs="Calibri" w:eastAsia="Calibri" w:hAnsi="Calibri"/>
        </w:rPr>
        <w:t xml:space="preserve">P101 If medical advice is needed, have product container or label at hand.
P102 Keep out of reach of children.</w:t>
      </w:r>
    </w:p>
    <w:p>
      <w:pPr>
        <w:spacing w:before="30" w:after="30"/>
      </w:pPr>
      <w:r>
        <w:rPr>
          <w:b/>
          <w:bCs/>
          <w:color w:val="1E293B"/>
          <w:sz w:val="17"/>
          <w:szCs w:val="17"/>
          <w:rFonts w:ascii="Calibri" w:cs="Calibri" w:eastAsia="Calibri" w:hAnsi="Calibri"/>
        </w:rPr>
        <w:t xml:space="preserve">Special Provisions: </w:t>
      </w:r>
      <w:r>
        <w:rPr>
          <w:color w:val="475569"/>
          <w:sz w:val="17"/>
          <w:szCs w:val="17"/>
          <w:rFonts w:ascii="Calibri" w:cs="Calibri" w:eastAsia="Calibri" w:hAnsi="Calibri"/>
        </w:rPr>
        <w:t xml:space="preserve">EUH208 Contains 4-tert-butylcyclohexyl acetate; reaction mass of 5-chloro-2-methyl-2H-isothiazol-3-one and 2-methyl-2H-isothiazol-3-one (3:1); cinnamaldehyde. May produce an allergic reaction.</w:t>
      </w:r>
    </w:p>
    <w:p>
      <w:pPr>
        <w:spacing w:before="30" w:after="30"/>
      </w:pPr>
      <w:r>
        <w:rPr>
          <w:b/>
          <w:bCs/>
          <w:color w:val="1E293B"/>
          <w:sz w:val="17"/>
          <w:szCs w:val="17"/>
          <w:rFonts w:ascii="Calibri" w:cs="Calibri" w:eastAsia="Calibri" w:hAnsi="Calibri"/>
        </w:rPr>
        <w:t xml:space="preserve">Special provisions according to Annex XVII of REACH and subsequent amendments: </w:t>
      </w:r>
      <w:r>
        <w:rPr>
          <w:color w:val="475569"/>
          <w:sz w:val="17"/>
          <w:szCs w:val="17"/>
          <w:rFonts w:ascii="Calibri" w:cs="Calibri" w:eastAsia="Calibri" w:hAnsi="Calibri"/>
        </w:rPr>
        <w:t xml:space="preserve">None.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2.3. Other hazards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No PBT, vPvB or endocrine disruptor substances present in concentration &gt;= 0.1%.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Other Hazards: No other hazards</w:t>
      </w:r>
    </w:p>
    <w:p>
      <w:pPr>
        <w:pBdr>
          <w:bottom w:val="single" w:color="CBD5E1" w:sz="4" w:space="2"/>
        </w:pBdr>
        <w:spacing w:before="240" w:after="80"/>
      </w:pPr>
      <w:r>
        <w:rPr>
          <w:b/>
          <w:bCs/>
          <w:color w:val="020617"/>
          <w:sz w:val="21"/>
          <w:szCs w:val="21"/>
          <w:rFonts w:ascii="Calibri" w:cs="Calibri" w:eastAsia="Calibri" w:hAnsi="Calibri"/>
        </w:rPr>
        <w:t xml:space="preserve">SECTION 3: Composition/information on ingredients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3.1. Substances: N.A.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3.2. Mixtures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Mixture identification: SWEET HOME LAYALI PROFUMA TESSUTI E AMBIENTE NAJMA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Hazardous components within the meaning of the CLP regulation and related classification: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0466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CBD5E1" w:sz="2"/>
          <w:insideV w:val="single" w:color="CBD5E1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361"/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6"/>
                <w:szCs w:val="16"/>
                <w:rFonts w:ascii="Calibri" w:cs="Calibri" w:eastAsia="Calibri" w:hAnsi="Calibri"/>
              </w:rPr>
              <w:t xml:space="preserve">Qty</w:t>
            </w:r>
          </w:p>
        </w:tc>
        <w:tc>
          <w:tcPr>
            <w:tcW w:type="dxa" w:w="2721"/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6"/>
                <w:szCs w:val="16"/>
                <w:rFonts w:ascii="Calibri" w:cs="Calibri" w:eastAsia="Calibri" w:hAnsi="Calibri"/>
              </w:rPr>
              <w:t xml:space="preserve">Name</w:t>
            </w:r>
          </w:p>
        </w:tc>
        <w:tc>
          <w:tcPr>
            <w:tcW w:type="dxa" w:w="1989"/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6"/>
                <w:szCs w:val="16"/>
                <w:rFonts w:ascii="Calibri" w:cs="Calibri" w:eastAsia="Calibri" w:hAnsi="Calibri"/>
              </w:rPr>
              <w:t xml:space="preserve">Ident. Numb.</w:t>
            </w:r>
          </w:p>
        </w:tc>
        <w:tc>
          <w:tcPr>
            <w:tcW w:type="dxa" w:w="2721"/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6"/>
                <w:szCs w:val="16"/>
                <w:rFonts w:ascii="Calibri" w:cs="Calibri" w:eastAsia="Calibri" w:hAnsi="Calibri"/>
              </w:rPr>
              <w:t xml:space="preserve">Classification</w:t>
            </w:r>
          </w:p>
        </w:tc>
        <w:tc>
          <w:tcPr>
            <w:tcW w:type="dxa" w:w="1675"/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6"/>
                <w:szCs w:val="16"/>
                <w:rFonts w:ascii="Calibri" w:cs="Calibri" w:eastAsia="Calibri" w:hAnsi="Calibri"/>
              </w:rPr>
              <w:t xml:space="preserve">Registration Number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≥0.1 - &lt;0.25 %</w:t>
            </w:r>
          </w:p>
        </w:tc>
        <w:tc>
          <w:tcPr>
            <w:tcW w:type="dxa" w:w="272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4-tert-butylcyclohexyl acetate</w:t>
            </w:r>
          </w:p>
        </w:tc>
        <w:tc>
          <w:tcPr>
            <w:tcW w:type="dxa" w:w="198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CAS: 32210-23-4</w:t>
            </w:r>
          </w:p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EC: 250-954-9</w:t>
            </w:r>
          </w:p>
        </w:tc>
        <w:tc>
          <w:tcPr>
            <w:tcW w:type="dxa" w:w="272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Skin Sens. 1B, H317</w:t>
            </w:r>
          </w:p>
        </w:tc>
        <w:tc>
          <w:tcPr>
            <w:tcW w:type="dxa" w:w="1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01-2119976286-24-XXXX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≥0.001 - &lt;0.01%</w:t>
            </w:r>
          </w:p>
        </w:tc>
        <w:tc>
          <w:tcPr>
            <w:tcW w:type="dxa" w:w="272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cinnamaldehyde</w:t>
            </w:r>
          </w:p>
        </w:tc>
        <w:tc>
          <w:tcPr>
            <w:tcW w:type="dxa" w:w="198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CAS: 104-55-2</w:t>
            </w:r>
          </w:p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EC: 203-213-9</w:t>
            </w:r>
          </w:p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Index: 606-155-00-6</w:t>
            </w:r>
          </w:p>
        </w:tc>
        <w:tc>
          <w:tcPr>
            <w:tcW w:type="dxa" w:w="272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Skin Sens. 1A, H317</w:t>
            </w:r>
          </w:p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</w:r>
          </w:p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Specific Concentration Limits:</w:t>
            </w:r>
          </w:p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C ≥ 0.01%: Skin Sens. 1A H317</w:t>
            </w:r>
          </w:p>
        </w:tc>
        <w:tc>
          <w:tcPr>
            <w:tcW w:type="dxa" w:w="1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01-2119935242-45-XXXX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&lt; 0.00093%</w:t>
            </w:r>
          </w:p>
        </w:tc>
        <w:tc>
          <w:tcPr>
            <w:tcW w:type="dxa" w:w="272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reaction mass of 5-chloro-2-methyl-2H-isothiazol-3-one and 2-methyl-2H-isothiazol-3-one (3:1)</w:t>
            </w:r>
          </w:p>
        </w:tc>
        <w:tc>
          <w:tcPr>
            <w:tcW w:type="dxa" w:w="198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CAS: 55965-84-9</w:t>
            </w:r>
          </w:p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EC: 911-418-6</w:t>
            </w:r>
          </w:p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Index: 613-167-00-5</w:t>
            </w:r>
          </w:p>
        </w:tc>
        <w:tc>
          <w:tcPr>
            <w:tcW w:type="dxa" w:w="272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Acute Tox. 2, H330; Acute Tox. 2, H310; Acute Tox. 3, H301; Skin Corr. 1C, H314; Eye Dam. 1, H318; Skin Sens. 1A, H317; Aquatic Acute 1, H400; Aquatic Chronic 1, H410, M-Chronic: 100, M-Acute: 100, EUH071</w:t>
            </w:r>
          </w:p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</w:r>
          </w:p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Specific Concentration Limits:</w:t>
            </w:r>
          </w:p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C ≥ 0.6%: Skin Corr. 1C H314</w:t>
            </w:r>
          </w:p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0.06% ≤ C &lt; 0.6%: Skin Irrit. 2 H315</w:t>
            </w:r>
          </w:p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C ≥ 0.6%: Eye Dam. 1 H318</w:t>
            </w:r>
          </w:p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0.06% ≤ C &lt; 0.6%: Eye Irrit. 2 H319</w:t>
            </w:r>
          </w:p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C ≥ 0.0015%: Skin Sens. 1A H317</w:t>
            </w:r>
          </w:p>
        </w:tc>
        <w:tc>
          <w:tcPr>
            <w:tcW w:type="dxa" w:w="1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01-2120764691-48-XXXX</w:t>
            </w:r>
          </w:p>
        </w:tc>
      </w:tr>
    </w:tbl>
    <w:p>
      <w:pPr>
        <w:spacing w:before="80" w:after="80"/>
      </w:pPr>
    </w:p>
    <w:p>
      <w:pPr>
        <w:pBdr>
          <w:bottom w:val="single" w:color="CBD5E1" w:sz="4" w:space="2"/>
        </w:pBdr>
        <w:spacing w:before="240" w:after="80"/>
      </w:pPr>
      <w:r>
        <w:rPr>
          <w:b/>
          <w:bCs/>
          <w:color w:val="020617"/>
          <w:sz w:val="21"/>
          <w:szCs w:val="21"/>
          <w:rFonts w:ascii="Calibri" w:cs="Calibri" w:eastAsia="Calibri" w:hAnsi="Calibri"/>
        </w:rPr>
        <w:t xml:space="preserve">SECTION 4: First aid measures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4.1. Description of first aid measures</w:t>
      </w:r>
    </w:p>
    <w:p>
      <w:pPr>
        <w:spacing w:before="80" w:after="30" w:line="240"/>
      </w:pPr>
      <w:r>
        <w:rPr>
          <w:b/>
          <w:bCs/>
          <w:color w:val="0F172A"/>
          <w:sz w:val="18"/>
          <w:szCs w:val="18"/>
          <w:rFonts w:ascii="Calibri" w:cs="Calibri" w:eastAsia="Calibri" w:hAnsi="Calibri"/>
        </w:rPr>
        <w:t xml:space="preserve">In case of skin contact: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After contact with skin, wash immediately with soap and plenty of water.</w:t>
      </w:r>
    </w:p>
    <w:p>
      <w:pPr>
        <w:spacing w:before="40" w:after="40"/>
      </w:pPr>
    </w:p>
    <w:p>
      <w:pPr>
        <w:spacing w:before="80" w:after="30" w:line="240"/>
      </w:pPr>
      <w:r>
        <w:rPr>
          <w:b/>
          <w:bCs/>
          <w:color w:val="0F172A"/>
          <w:sz w:val="18"/>
          <w:szCs w:val="18"/>
          <w:rFonts w:ascii="Calibri" w:cs="Calibri" w:eastAsia="Calibri" w:hAnsi="Calibri"/>
        </w:rPr>
        <w:t xml:space="preserve">In case of eyes contact: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After contact with the eyes, rinse with water with the eyelids open for a sufficient length of time, then consult an opthalmologist immediately. Remove any contact lenses.</w:t>
      </w:r>
    </w:p>
    <w:p>
      <w:pPr>
        <w:spacing w:before="40" w:after="40"/>
      </w:pPr>
    </w:p>
    <w:p>
      <w:pPr>
        <w:spacing w:before="80" w:after="30" w:line="240"/>
      </w:pPr>
      <w:r>
        <w:rPr>
          <w:b/>
          <w:bCs/>
          <w:color w:val="0F172A"/>
          <w:sz w:val="18"/>
          <w:szCs w:val="18"/>
          <w:rFonts w:ascii="Calibri" w:cs="Calibri" w:eastAsia="Calibri" w:hAnsi="Calibri"/>
        </w:rPr>
        <w:t xml:space="preserve">In case of Ingestion: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Do not induce vomiting, get medical attention showing the SDS and label hazardous.</w:t>
      </w:r>
    </w:p>
    <w:p>
      <w:pPr>
        <w:spacing w:before="40" w:after="40"/>
      </w:pPr>
    </w:p>
    <w:p>
      <w:pPr>
        <w:spacing w:before="80" w:after="30" w:line="240"/>
      </w:pPr>
      <w:r>
        <w:rPr>
          <w:b/>
          <w:bCs/>
          <w:color w:val="0F172A"/>
          <w:sz w:val="18"/>
          <w:szCs w:val="18"/>
          <w:rFonts w:ascii="Calibri" w:cs="Calibri" w:eastAsia="Calibri" w:hAnsi="Calibri"/>
        </w:rPr>
        <w:t xml:space="preserve">In case of Inhalation: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In case of inhalation, consult a doctor immediately and show him packing or label. Remove casualty to fresh air and keep warm and at rest.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4.2. Most important symptoms and effects, both acute and delayed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No specific information is available on the symptoms and effects caused by the product.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4.3. Indication of any immediate medical attention and special treatment needed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Treatment: Data not available.</w:t>
      </w:r>
    </w:p>
    <w:p>
      <w:pPr>
        <w:pBdr>
          <w:bottom w:val="single" w:color="CBD5E1" w:sz="4" w:space="2"/>
        </w:pBdr>
        <w:spacing w:before="240" w:after="80"/>
      </w:pPr>
      <w:r>
        <w:rPr>
          <w:b/>
          <w:bCs/>
          <w:color w:val="020617"/>
          <w:sz w:val="21"/>
          <w:szCs w:val="21"/>
          <w:rFonts w:ascii="Calibri" w:cs="Calibri" w:eastAsia="Calibri" w:hAnsi="Calibri"/>
        </w:rPr>
        <w:t xml:space="preserve">SECTION 5: Firefighting measures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5.1. Extinguishing media</w:t>
      </w:r>
    </w:p>
    <w:p>
      <w:pPr>
        <w:spacing w:before="80" w:after="30" w:line="240"/>
      </w:pPr>
      <w:r>
        <w:rPr>
          <w:b/>
          <w:bCs/>
          <w:color w:val="0F172A"/>
          <w:sz w:val="18"/>
          <w:szCs w:val="18"/>
          <w:rFonts w:ascii="Calibri" w:cs="Calibri" w:eastAsia="Calibri" w:hAnsi="Calibri"/>
        </w:rPr>
        <w:t xml:space="preserve">Suitable extinguishing media: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CO2 or Dry chemical fire extinguisher. foam; Water</w:t>
      </w:r>
    </w:p>
    <w:p>
      <w:pPr>
        <w:spacing w:before="40" w:after="40"/>
      </w:pP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Extinguishing media which must not be used for safety reasons: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None in particular.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5.2. Special hazards arising from the substance or mixture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Avoid breathing combustion products.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5.3. Advice for firefighters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Collect contaminated fire extinguishing water separately. This must not be discharged into drains. Use fire fighter's clothing conforming to European standard EN469. Use Self-Contained Breathing Apparatus (SCBA) with chemical resistant gloves.</w:t>
      </w:r>
    </w:p>
    <w:p>
      <w:pPr>
        <w:pBdr>
          <w:bottom w:val="single" w:color="CBD5E1" w:sz="4" w:space="2"/>
        </w:pBdr>
        <w:spacing w:before="240" w:after="80"/>
      </w:pPr>
      <w:r>
        <w:rPr>
          <w:b/>
          <w:bCs/>
          <w:color w:val="020617"/>
          <w:sz w:val="21"/>
          <w:szCs w:val="21"/>
          <w:rFonts w:ascii="Calibri" w:cs="Calibri" w:eastAsia="Calibri" w:hAnsi="Calibri"/>
        </w:rPr>
        <w:t xml:space="preserve">SECTION 6: Accidental release measures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6.1. Personal precautions, protective equipment and emergency procedures</w:t>
      </w:r>
    </w:p>
    <w:p>
      <w:pPr>
        <w:spacing w:before="80" w:after="30" w:line="240"/>
      </w:pPr>
      <w:r>
        <w:rPr>
          <w:b/>
          <w:bCs/>
          <w:color w:val="0F172A"/>
          <w:sz w:val="18"/>
          <w:szCs w:val="18"/>
          <w:rFonts w:ascii="Calibri" w:cs="Calibri" w:eastAsia="Calibri" w:hAnsi="Calibri"/>
        </w:rPr>
        <w:t xml:space="preserve">For non emergency personnel: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Wear personal protection equipment.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Remove persons to safety.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See protective measures under point 7 and 8.</w:t>
      </w:r>
    </w:p>
    <w:p>
      <w:pPr>
        <w:spacing w:before="40" w:after="40"/>
      </w:pPr>
    </w:p>
    <w:p>
      <w:pPr>
        <w:spacing w:before="80" w:after="30" w:line="240"/>
      </w:pPr>
      <w:r>
        <w:rPr>
          <w:b/>
          <w:bCs/>
          <w:color w:val="0F172A"/>
          <w:sz w:val="18"/>
          <w:szCs w:val="18"/>
          <w:rFonts w:ascii="Calibri" w:cs="Calibri" w:eastAsia="Calibri" w:hAnsi="Calibri"/>
        </w:rPr>
        <w:t xml:space="preserve">For emergency responders: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Wear personal protection equipment.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6.2. Environmental precautions</w:t>
      </w:r>
    </w:p>
    <w:p>
      <w:pPr>
        <w:sectPr>
          <w:headerReference w:type="default" r:id="rId8"/>
          <w:footerReference w:type="default" r:id="rId9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Do not allow to enter into soil/subsoil. Do not allow to enter into surface water or drains.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Retain contaminated washing water and dispose it.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In case of gas escape or of entry into waterways, soil or drains, inform the responsible authorities.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Suitable material for taking up: absorbing material, organic, sand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6.3. Methods and material for containment and cleaning up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Suitable material for taking up: absorbing material, organic, sand.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Wash with plenty of water.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6.4. Reference to other sections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See also section 8 and 13.</w:t>
      </w:r>
    </w:p>
    <w:p>
      <w:pPr>
        <w:pBdr>
          <w:bottom w:val="single" w:color="CBD5E1" w:sz="4" w:space="2"/>
        </w:pBdr>
        <w:spacing w:before="240" w:after="80"/>
      </w:pPr>
      <w:r>
        <w:rPr>
          <w:b/>
          <w:bCs/>
          <w:color w:val="020617"/>
          <w:sz w:val="21"/>
          <w:szCs w:val="21"/>
          <w:rFonts w:ascii="Calibri" w:cs="Calibri" w:eastAsia="Calibri" w:hAnsi="Calibri"/>
        </w:rPr>
        <w:t xml:space="preserve">SECTION 7: Handling and storage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7.1. Precautions for safe handling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Avoid contact with skin and eyes, inhaltion of vapours and mists.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See also section 8 for recommended protective equipment.</w:t>
      </w:r>
    </w:p>
    <w:p>
      <w:pPr>
        <w:spacing w:before="80" w:after="30" w:line="240"/>
      </w:pPr>
      <w:r>
        <w:rPr>
          <w:b/>
          <w:bCs/>
          <w:color w:val="0F172A"/>
          <w:sz w:val="18"/>
          <w:szCs w:val="18"/>
          <w:rFonts w:ascii="Calibri" w:cs="Calibri" w:eastAsia="Calibri" w:hAnsi="Calibri"/>
        </w:rPr>
        <w:t xml:space="preserve">Advice on general occupational hygiene: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Do not eat or drink while working.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7.2. Conditions for safe storage, including any incompatibilities</w:t>
      </w:r>
    </w:p>
    <w:p>
      <w:pPr>
        <w:spacing w:before="80" w:after="30" w:line="240"/>
      </w:pPr>
      <w:r>
        <w:rPr>
          <w:b/>
          <w:bCs/>
          <w:color w:val="0F172A"/>
          <w:sz w:val="18"/>
          <w:szCs w:val="18"/>
          <w:rFonts w:ascii="Calibri" w:cs="Calibri" w:eastAsia="Calibri" w:hAnsi="Calibri"/>
        </w:rPr>
        <w:t xml:space="preserve">Incompatible materials: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None in particular.</w:t>
      </w:r>
    </w:p>
    <w:p>
      <w:pPr>
        <w:spacing w:before="80" w:after="30" w:line="240"/>
      </w:pPr>
      <w:r>
        <w:rPr>
          <w:b/>
          <w:bCs/>
          <w:color w:val="0F172A"/>
          <w:sz w:val="18"/>
          <w:szCs w:val="18"/>
          <w:rFonts w:ascii="Calibri" w:cs="Calibri" w:eastAsia="Calibri" w:hAnsi="Calibri"/>
        </w:rPr>
        <w:t xml:space="preserve">Instructions as regards storage premises: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Adequately ventilated premises.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7.3. Specific end use(s)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None in particular.</w:t>
      </w:r>
    </w:p>
    <w:p>
      <w:pPr>
        <w:spacing w:before="80" w:after="30" w:line="240"/>
      </w:pPr>
      <w:r>
        <w:rPr>
          <w:b/>
          <w:bCs/>
          <w:color w:val="0F172A"/>
          <w:sz w:val="18"/>
          <w:szCs w:val="18"/>
          <w:rFonts w:ascii="Calibri" w:cs="Calibri" w:eastAsia="Calibri" w:hAnsi="Calibri"/>
        </w:rPr>
        <w:t xml:space="preserve">Industrial sector specific solutions: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None in particular.</w:t>
      </w:r>
    </w:p>
    <w:p>
      <w:pPr>
        <w:pBdr>
          <w:bottom w:val="single" w:color="CBD5E1" w:sz="4" w:space="2"/>
        </w:pBdr>
        <w:spacing w:before="240" w:after="80"/>
      </w:pPr>
      <w:r>
        <w:rPr>
          <w:b/>
          <w:bCs/>
          <w:color w:val="020617"/>
          <w:sz w:val="21"/>
          <w:szCs w:val="21"/>
          <w:rFonts w:ascii="Calibri" w:cs="Calibri" w:eastAsia="Calibri" w:hAnsi="Calibri"/>
        </w:rPr>
        <w:t xml:space="preserve">SECTION 8: Exposure controls/personal protection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8.1. Control parameters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Community Occupational Exposure Limits (OEL)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reaction mass of 5-chloro-2-methyl-2H-isothiazol-3-one and 2-methyl-2H-isothiazol-3-one (3:1)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CAS: 55965-84-9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National AUSTRIA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Long Term: 0.05 mg/m3 (8h)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Notes: MAK, Sh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Source: GKV, BGBI. II Nr. 156/2021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8.2. Exposure controls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Eye protection: No specific requirements during normal conditions of use. Anyway, operate according good working practices.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Protection for skin: No special precaution must be adopted for normal use.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Protection for hands: Not needed for normal use.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Respiratory protection: N.A.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Thermal Hazards: N.A.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Environmental exposure controls: N.A.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Hygienic and Technical measures: N.A.</w:t>
      </w:r>
    </w:p>
    <w:p>
      <w:pPr>
        <w:pBdr>
          <w:bottom w:val="single" w:color="CBD5E1" w:sz="4" w:space="2"/>
        </w:pBdr>
        <w:spacing w:before="240" w:after="80"/>
      </w:pPr>
      <w:r>
        <w:rPr>
          <w:b/>
          <w:bCs/>
          <w:color w:val="020617"/>
          <w:sz w:val="21"/>
          <w:szCs w:val="21"/>
          <w:rFonts w:ascii="Calibri" w:cs="Calibri" w:eastAsia="Calibri" w:hAnsi="Calibri"/>
        </w:rPr>
        <w:t xml:space="preserve">SECTION 9: Physical and chemical properties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9.1. Information on basic physical and chemical properties</w:t>
      </w:r>
    </w:p>
    <w:p>
      <w:pPr>
        <w:spacing w:before="30" w:after="30"/>
      </w:pPr>
      <w:r>
        <w:rPr>
          <w:b/>
          <w:bCs/>
          <w:color w:val="1E293B"/>
          <w:sz w:val="17"/>
          <w:szCs w:val="17"/>
          <w:rFonts w:ascii="Calibri" w:cs="Calibri" w:eastAsia="Calibri" w:hAnsi="Calibri"/>
        </w:rPr>
        <w:t xml:space="preserve">Physical state: </w:t>
      </w:r>
      <w:r>
        <w:rPr>
          <w:color w:val="475569"/>
          <w:sz w:val="17"/>
          <w:szCs w:val="17"/>
          <w:rFonts w:ascii="Calibri" w:cs="Calibri" w:eastAsia="Calibri" w:hAnsi="Calibri"/>
        </w:rPr>
        <w:t xml:space="preserve">Liquid</w:t>
      </w:r>
    </w:p>
    <w:p>
      <w:pPr>
        <w:spacing w:before="30" w:after="30"/>
      </w:pPr>
      <w:r>
        <w:rPr>
          <w:b/>
          <w:bCs/>
          <w:color w:val="1E293B"/>
          <w:sz w:val="17"/>
          <w:szCs w:val="17"/>
          <w:rFonts w:ascii="Calibri" w:cs="Calibri" w:eastAsia="Calibri" w:hAnsi="Calibri"/>
        </w:rPr>
        <w:t xml:space="preserve">Colour: </w:t>
      </w:r>
      <w:r>
        <w:rPr>
          <w:color w:val="475569"/>
          <w:sz w:val="17"/>
          <w:szCs w:val="17"/>
          <w:rFonts w:ascii="Calibri" w:cs="Calibri" w:eastAsia="Calibri" w:hAnsi="Calibri"/>
        </w:rPr>
        <w:t xml:space="preserve">white</w:t>
      </w:r>
    </w:p>
    <w:p>
      <w:pPr>
        <w:spacing w:before="30" w:after="30"/>
      </w:pPr>
      <w:r>
        <w:rPr>
          <w:b/>
          <w:bCs/>
          <w:color w:val="1E293B"/>
          <w:sz w:val="17"/>
          <w:szCs w:val="17"/>
          <w:rFonts w:ascii="Calibri" w:cs="Calibri" w:eastAsia="Calibri" w:hAnsi="Calibri"/>
        </w:rPr>
        <w:t xml:space="preserve">Odour: </w:t>
      </w:r>
      <w:r>
        <w:rPr>
          <w:color w:val="475569"/>
          <w:sz w:val="17"/>
          <w:szCs w:val="17"/>
          <w:rFonts w:ascii="Calibri" w:cs="Calibri" w:eastAsia="Calibri" w:hAnsi="Calibri"/>
        </w:rPr>
        <w:t xml:space="preserve">characteristic</w:t>
      </w:r>
    </w:p>
    <w:p>
      <w:pPr>
        <w:spacing w:before="30" w:after="30"/>
      </w:pPr>
      <w:r>
        <w:rPr>
          <w:b/>
          <w:bCs/>
          <w:color w:val="1E293B"/>
          <w:sz w:val="17"/>
          <w:szCs w:val="17"/>
          <w:rFonts w:ascii="Calibri" w:cs="Calibri" w:eastAsia="Calibri" w:hAnsi="Calibri"/>
        </w:rPr>
        <w:t xml:space="preserve">pH: </w:t>
      </w:r>
      <w:r>
        <w:rPr>
          <w:color w:val="475569"/>
          <w:sz w:val="17"/>
          <w:szCs w:val="17"/>
          <w:rFonts w:ascii="Calibri" w:cs="Calibri" w:eastAsia="Calibri" w:hAnsi="Calibri"/>
        </w:rPr>
        <w:t xml:space="preserve">2.00 - 3.00</w:t>
      </w:r>
    </w:p>
    <w:p>
      <w:pPr>
        <w:spacing w:before="30" w:after="30"/>
      </w:pPr>
      <w:r>
        <w:rPr>
          <w:b/>
          <w:bCs/>
          <w:color w:val="1E293B"/>
          <w:sz w:val="17"/>
          <w:szCs w:val="17"/>
          <w:rFonts w:ascii="Calibri" w:cs="Calibri" w:eastAsia="Calibri" w:hAnsi="Calibri"/>
        </w:rPr>
        <w:t xml:space="preserve">Kinematic viscosity: </w:t>
      </w:r>
      <w:r>
        <w:rPr>
          <w:color w:val="475569"/>
          <w:sz w:val="17"/>
          <w:szCs w:val="17"/>
          <w:rFonts w:ascii="Calibri" w:cs="Calibri" w:eastAsia="Calibri" w:hAnsi="Calibri"/>
        </w:rPr>
        <w:t xml:space="preserve">&gt; 20,5 mm2/s (40°C)</w:t>
      </w:r>
    </w:p>
    <w:p>
      <w:pPr>
        <w:spacing w:before="30" w:after="30"/>
      </w:pPr>
      <w:r>
        <w:rPr>
          <w:b/>
          <w:bCs/>
          <w:color w:val="1E293B"/>
          <w:sz w:val="17"/>
          <w:szCs w:val="17"/>
          <w:rFonts w:ascii="Calibri" w:cs="Calibri" w:eastAsia="Calibri" w:hAnsi="Calibri"/>
        </w:rPr>
        <w:t xml:space="preserve">Melting point/freezing point: </w:t>
      </w:r>
      <w:r>
        <w:rPr>
          <w:color w:val="475569"/>
          <w:sz w:val="17"/>
          <w:szCs w:val="17"/>
          <w:rFonts w:ascii="Calibri" w:cs="Calibri" w:eastAsia="Calibri" w:hAnsi="Calibri"/>
        </w:rPr>
        <w:t xml:space="preserve">N.A.</w:t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0466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CBD5E1" w:sz="2"/>
          <w:insideV w:val="single" w:color="CBD5E1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6280"/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6"/>
                <w:szCs w:val="16"/>
                <w:rFonts w:ascii="Calibri" w:cs="Calibri" w:eastAsia="Calibri" w:hAnsi="Calibri"/>
              </w:rPr>
              <w:t xml:space="preserve">Property</w:t>
            </w:r>
          </w:p>
        </w:tc>
        <w:tc>
          <w:tcPr>
            <w:tcW w:type="dxa" w:w="4186"/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6"/>
                <w:szCs w:val="16"/>
                <w:rFonts w:ascii="Calibri" w:cs="Calibri" w:eastAsia="Calibri" w:hAnsi="Calibri"/>
              </w:rPr>
              <w:t xml:space="preserve">Value / Result</w:t>
            </w:r>
          </w:p>
        </w:tc>
      </w:tr>
      <w:tr>
        <w:trPr>
          <w:cantSplit/>
        </w:trPr>
        <w:tc>
          <w:tcPr>
            <w:tcW w:type="dxa" w:w="6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Boiling point or initial boiling point and boiling range:</w:t>
            </w:r>
          </w:p>
        </w:tc>
        <w:tc>
          <w:tcPr>
            <w:tcW w:type="dxa" w:w="418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100°C (212°F) water</w:t>
            </w:r>
          </w:p>
        </w:tc>
      </w:tr>
      <w:tr>
        <w:trPr>
          <w:cantSplit/>
        </w:trPr>
        <w:tc>
          <w:tcPr>
            <w:tcW w:type="dxa" w:w="6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Flash point:</w:t>
            </w:r>
          </w:p>
        </w:tc>
        <w:tc>
          <w:tcPr>
            <w:tcW w:type="dxa" w:w="418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&gt; 60°C</w:t>
            </w:r>
          </w:p>
        </w:tc>
      </w:tr>
      <w:tr>
        <w:trPr>
          <w:cantSplit/>
        </w:trPr>
        <w:tc>
          <w:tcPr>
            <w:tcW w:type="dxa" w:w="6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Lower and upper explosion limit:</w:t>
            </w:r>
          </w:p>
        </w:tc>
        <w:tc>
          <w:tcPr>
            <w:tcW w:type="dxa" w:w="418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N.A.</w:t>
            </w:r>
          </w:p>
        </w:tc>
      </w:tr>
      <w:tr>
        <w:trPr>
          <w:cantSplit/>
        </w:trPr>
        <w:tc>
          <w:tcPr>
            <w:tcW w:type="dxa" w:w="6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Relative vapour density:</w:t>
            </w:r>
          </w:p>
        </w:tc>
        <w:tc>
          <w:tcPr>
            <w:tcW w:type="dxa" w:w="418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N.A.</w:t>
            </w:r>
          </w:p>
        </w:tc>
      </w:tr>
      <w:tr>
        <w:trPr>
          <w:cantSplit/>
        </w:trPr>
        <w:tc>
          <w:tcPr>
            <w:tcW w:type="dxa" w:w="6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Vapour pressure:</w:t>
            </w:r>
          </w:p>
        </w:tc>
        <w:tc>
          <w:tcPr>
            <w:tcW w:type="dxa" w:w="418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N.A.</w:t>
            </w:r>
          </w:p>
        </w:tc>
      </w:tr>
      <w:tr>
        <w:trPr>
          <w:cantSplit/>
        </w:trPr>
        <w:tc>
          <w:tcPr>
            <w:tcW w:type="dxa" w:w="6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Density and/or relative density:</w:t>
            </w:r>
          </w:p>
        </w:tc>
        <w:tc>
          <w:tcPr>
            <w:tcW w:type="dxa" w:w="418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1.00 g/ml +/- 0.05 (20°C)</w:t>
            </w:r>
          </w:p>
        </w:tc>
      </w:tr>
      <w:tr>
        <w:trPr>
          <w:cantSplit/>
        </w:trPr>
        <w:tc>
          <w:tcPr>
            <w:tcW w:type="dxa" w:w="6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Solubility in water:</w:t>
            </w:r>
          </w:p>
        </w:tc>
        <w:tc>
          <w:tcPr>
            <w:tcW w:type="dxa" w:w="418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Soluble</w:t>
            </w:r>
          </w:p>
        </w:tc>
      </w:tr>
      <w:tr>
        <w:trPr>
          <w:cantSplit/>
        </w:trPr>
        <w:tc>
          <w:tcPr>
            <w:tcW w:type="dxa" w:w="6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Solubility in oil:</w:t>
            </w:r>
          </w:p>
        </w:tc>
        <w:tc>
          <w:tcPr>
            <w:tcW w:type="dxa" w:w="418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N.A.</w:t>
            </w:r>
          </w:p>
        </w:tc>
      </w:tr>
      <w:tr>
        <w:trPr>
          <w:cantSplit/>
        </w:trPr>
        <w:tc>
          <w:tcPr>
            <w:tcW w:type="dxa" w:w="6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Partition coefficient n-octanol/water (log value):</w:t>
            </w:r>
          </w:p>
        </w:tc>
        <w:tc>
          <w:tcPr>
            <w:tcW w:type="dxa" w:w="418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N.A.</w:t>
            </w:r>
          </w:p>
        </w:tc>
      </w:tr>
      <w:tr>
        <w:trPr>
          <w:cantSplit/>
        </w:trPr>
        <w:tc>
          <w:tcPr>
            <w:tcW w:type="dxa" w:w="6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Auto-ignition temperature:</w:t>
            </w:r>
          </w:p>
        </w:tc>
        <w:tc>
          <w:tcPr>
            <w:tcW w:type="dxa" w:w="418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N.A.</w:t>
            </w:r>
          </w:p>
        </w:tc>
      </w:tr>
      <w:tr>
        <w:trPr>
          <w:cantSplit/>
        </w:trPr>
        <w:tc>
          <w:tcPr>
            <w:tcW w:type="dxa" w:w="6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Decomposition temperature:</w:t>
            </w:r>
          </w:p>
        </w:tc>
        <w:tc>
          <w:tcPr>
            <w:tcW w:type="dxa" w:w="418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N.A.</w:t>
            </w:r>
          </w:p>
        </w:tc>
      </w:tr>
      <w:tr>
        <w:trPr>
          <w:cantSplit/>
        </w:trPr>
        <w:tc>
          <w:tcPr>
            <w:tcW w:type="dxa" w:w="6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Flammability:</w:t>
            </w:r>
          </w:p>
        </w:tc>
        <w:tc>
          <w:tcPr>
            <w:tcW w:type="dxa" w:w="418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N.A.</w:t>
            </w:r>
          </w:p>
        </w:tc>
      </w:tr>
      <w:tr>
        <w:trPr>
          <w:cantSplit/>
        </w:trPr>
        <w:tc>
          <w:tcPr>
            <w:tcW w:type="dxa" w:w="6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Volatile Organic compounds - VOCs =</w:t>
            </w:r>
          </w:p>
        </w:tc>
        <w:tc>
          <w:tcPr>
            <w:tcW w:type="dxa" w:w="418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N.A.</w:t>
            </w:r>
          </w:p>
        </w:tc>
      </w:tr>
      <w:tr>
        <w:trPr>
          <w:cantSplit/>
        </w:trPr>
        <w:tc>
          <w:tcPr>
            <w:tcW w:type="dxa" w:w="6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Particle characteristics: Particle size:</w:t>
            </w:r>
          </w:p>
        </w:tc>
        <w:tc>
          <w:tcPr>
            <w:tcW w:type="dxa" w:w="418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N.A.</w:t>
            </w:r>
          </w:p>
        </w:tc>
      </w:tr>
    </w:tbl>
    <w:p>
      <w:pPr>
        <w:spacing w:before="80" w:after="80"/>
      </w:pP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9.2. Other information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No other relevant information.</w:t>
      </w:r>
    </w:p>
    <w:p>
      <w:pPr>
        <w:pBdr>
          <w:bottom w:val="single" w:color="CBD5E1" w:sz="4" w:space="2"/>
        </w:pBdr>
        <w:spacing w:before="240" w:after="80"/>
      </w:pPr>
      <w:r>
        <w:rPr>
          <w:b/>
          <w:bCs/>
          <w:color w:val="020617"/>
          <w:sz w:val="21"/>
          <w:szCs w:val="21"/>
          <w:rFonts w:ascii="Calibri" w:cs="Calibri" w:eastAsia="Calibri" w:hAnsi="Calibri"/>
        </w:rPr>
        <w:t xml:space="preserve">SECTION 10: Stability and reactivity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10.1. Reactivity: Stable under normal conditions.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10.2. Chemical stability: Data not available.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10.3. Possibility of hazardous reactions: None.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10.4. Conditions to avoid: Stable under normal conditions.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10.5. Incompatible materials: None in particular.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10.6. Hazardous decomposition products: None.</w:t>
      </w:r>
    </w:p>
    <w:p>
      <w:pPr>
        <w:pBdr>
          <w:bottom w:val="single" w:color="CBD5E1" w:sz="4" w:space="2"/>
        </w:pBdr>
        <w:spacing w:before="240" w:after="80"/>
      </w:pPr>
      <w:r>
        <w:rPr>
          <w:b/>
          <w:bCs/>
          <w:color w:val="020617"/>
          <w:sz w:val="21"/>
          <w:szCs w:val="21"/>
          <w:rFonts w:ascii="Calibri" w:cs="Calibri" w:eastAsia="Calibri" w:hAnsi="Calibri"/>
        </w:rPr>
        <w:t xml:space="preserve">SECTION 11: Toxicological information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11.1. Information on hazard classes as defined in Regulation (EC) No 1272/2008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Toxicological Information of the Preparation</w:t>
      </w:r>
    </w:p>
    <w:tbl>
      <w:tblPr>
        <w:tblW w:type="dxa" w:w="10466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CBD5E1" w:sz="2"/>
          <w:insideV w:val="single" w:color="CBD5E1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4710"/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6"/>
                <w:szCs w:val="16"/>
                <w:rFonts w:ascii="Calibri" w:cs="Calibri" w:eastAsia="Calibri" w:hAnsi="Calibri"/>
              </w:rPr>
              <w:t xml:space="preserve">Hazard class</w:t>
            </w:r>
          </w:p>
        </w:tc>
        <w:tc>
          <w:tcPr>
            <w:tcW w:type="dxa" w:w="5756"/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6"/>
                <w:szCs w:val="16"/>
                <w:rFonts w:ascii="Calibri" w:cs="Calibri" w:eastAsia="Calibri" w:hAnsi="Calibri"/>
              </w:rPr>
              <w:t xml:space="preserve">Status / Justification</w:t>
            </w:r>
          </w:p>
        </w:tc>
      </w:tr>
      <w:tr>
        <w:trPr>
          <w:cantSplit/>
        </w:trPr>
        <w:tc>
          <w:tcPr>
            <w:tcW w:type="dxa" w:w="47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a) acute toxicity</w:t>
            </w:r>
          </w:p>
        </w:tc>
        <w:tc>
          <w:tcPr>
            <w:tcW w:type="dxa" w:w="575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Not classified. Based on available data, the classification criteria are not met.</w:t>
            </w:r>
          </w:p>
        </w:tc>
      </w:tr>
      <w:tr>
        <w:trPr>
          <w:cantSplit/>
        </w:trPr>
        <w:tc>
          <w:tcPr>
            <w:tcW w:type="dxa" w:w="47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b) skin corrosion/irritation</w:t>
            </w:r>
          </w:p>
        </w:tc>
        <w:tc>
          <w:tcPr>
            <w:tcW w:type="dxa" w:w="575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Not classified. Based on available data, the classification criteria are not met.</w:t>
            </w:r>
          </w:p>
        </w:tc>
      </w:tr>
      <w:tr>
        <w:trPr>
          <w:cantSplit/>
        </w:trPr>
        <w:tc>
          <w:tcPr>
            <w:tcW w:type="dxa" w:w="47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c) serious eye damage/irritation</w:t>
            </w:r>
          </w:p>
        </w:tc>
        <w:tc>
          <w:tcPr>
            <w:tcW w:type="dxa" w:w="575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Not classified. Based on available data, the classification criteria are not met.</w:t>
            </w:r>
          </w:p>
        </w:tc>
      </w:tr>
      <w:tr>
        <w:trPr>
          <w:cantSplit/>
        </w:trPr>
        <w:tc>
          <w:tcPr>
            <w:tcW w:type="dxa" w:w="47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d) respiratory or skin sensitisation</w:t>
            </w:r>
          </w:p>
        </w:tc>
        <w:tc>
          <w:tcPr>
            <w:tcW w:type="dxa" w:w="575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Not classified. Based on available data, the classification criteria are not met.</w:t>
            </w:r>
          </w:p>
        </w:tc>
      </w:tr>
      <w:tr>
        <w:trPr>
          <w:cantSplit/>
        </w:trPr>
        <w:tc>
          <w:tcPr>
            <w:tcW w:type="dxa" w:w="47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e) germ cell mutagenicity</w:t>
            </w:r>
          </w:p>
        </w:tc>
        <w:tc>
          <w:tcPr>
            <w:tcW w:type="dxa" w:w="575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Not classified. Based on available data, the classification criteria are not met.</w:t>
            </w:r>
          </w:p>
        </w:tc>
      </w:tr>
      <w:tr>
        <w:trPr>
          <w:cantSplit/>
        </w:trPr>
        <w:tc>
          <w:tcPr>
            <w:tcW w:type="dxa" w:w="47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f) carcinogenicity</w:t>
            </w:r>
          </w:p>
        </w:tc>
        <w:tc>
          <w:tcPr>
            <w:tcW w:type="dxa" w:w="575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Not classified. Based on available data, the classification criteria are not met.</w:t>
            </w:r>
          </w:p>
        </w:tc>
      </w:tr>
      <w:tr>
        <w:trPr>
          <w:cantSplit/>
        </w:trPr>
        <w:tc>
          <w:tcPr>
            <w:tcW w:type="dxa" w:w="47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g) reproductive toxicity</w:t>
            </w:r>
          </w:p>
        </w:tc>
        <w:tc>
          <w:tcPr>
            <w:tcW w:type="dxa" w:w="575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Not classified. Based on available data, the classification criteria are not met.</w:t>
            </w:r>
          </w:p>
        </w:tc>
      </w:tr>
    </w:tbl>
    <w:p>
      <w:pPr>
        <w:spacing w:before="80" w:after="80"/>
      </w:pPr>
    </w:p>
    <w:p>
      <w:pPr>
        <w:sectPr>
          <w:headerReference w:type="default" r:id="rId12"/>
          <w:footerReference w:type="default" r:id="rId13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Based on available data, the classification criteria are not met.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h) STOT-single exposure: Not classified. Based on available data, the classification criteria are not met.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i) STOT-repeated exposure: Not classified. Based on available data, the classification criteria are not met.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j) aspiration hazard: Not classified. Based on available data, the classification criteria are not met.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11.2. Information on other hazards</w:t>
      </w:r>
    </w:p>
    <w:p>
      <w:pPr>
        <w:spacing w:before="80" w:after="30" w:line="240"/>
      </w:pPr>
      <w:r>
        <w:rPr>
          <w:b/>
          <w:bCs/>
          <w:color w:val="0F172A"/>
          <w:sz w:val="18"/>
          <w:szCs w:val="18"/>
          <w:rFonts w:ascii="Calibri" w:cs="Calibri" w:eastAsia="Calibri" w:hAnsi="Calibri"/>
        </w:rPr>
        <w:t xml:space="preserve">Endocrine disrupting properties: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galaxolide (CAS: 1222-05-5) - List II: Substances under evaluation for endocrine disruption under an EU legislation.</w:t>
      </w:r>
    </w:p>
    <w:p>
      <w:pPr>
        <w:pBdr>
          <w:bottom w:val="single" w:color="CBD5E1" w:sz="4" w:space="2"/>
        </w:pBdr>
        <w:spacing w:before="240" w:after="80"/>
      </w:pPr>
      <w:r>
        <w:rPr>
          <w:b/>
          <w:bCs/>
          <w:color w:val="020617"/>
          <w:sz w:val="21"/>
          <w:szCs w:val="21"/>
          <w:rFonts w:ascii="Calibri" w:cs="Calibri" w:eastAsia="Calibri" w:hAnsi="Calibri"/>
        </w:rPr>
        <w:t xml:space="preserve">SECTION 12: Ecological information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12.1. Toxicity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Adopt good working practices, so that the product is not released into the environment.</w:t>
      </w:r>
    </w:p>
    <w:p>
      <w:pPr>
        <w:spacing w:before="80" w:after="30" w:line="240"/>
      </w:pPr>
      <w:r>
        <w:rPr>
          <w:b/>
          <w:bCs/>
          <w:color w:val="0F172A"/>
          <w:sz w:val="18"/>
          <w:szCs w:val="18"/>
          <w:rFonts w:ascii="Calibri" w:cs="Calibri" w:eastAsia="Calibri" w:hAnsi="Calibri"/>
        </w:rPr>
        <w:t xml:space="preserve">Eco-Toxicological Information: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List of Eco-Toxicological properties of the product: Not classified for environmental hazards. No data available for the product.</w:t>
      </w:r>
    </w:p>
    <w:p>
      <w:pPr>
        <w:spacing w:before="40" w:after="40"/>
      </w:pPr>
    </w:p>
    <w:p>
      <w:pPr>
        <w:spacing w:before="80" w:after="30" w:line="240"/>
      </w:pPr>
      <w:r>
        <w:rPr>
          <w:b/>
          <w:bCs/>
          <w:color w:val="0F172A"/>
          <w:sz w:val="18"/>
          <w:szCs w:val="18"/>
          <w:rFonts w:ascii="Calibri" w:cs="Calibri" w:eastAsia="Calibri" w:hAnsi="Calibri"/>
        </w:rPr>
        <w:t xml:space="preserve">List of Eco-Toxicological properties of the components:</w:t>
      </w:r>
    </w:p>
    <w:p>
      <w:pPr>
        <w:spacing w:before="80" w:after="30" w:line="240"/>
      </w:pPr>
      <w:r>
        <w:rPr>
          <w:b/>
          <w:bCs/>
          <w:color w:val="0F172A"/>
          <w:sz w:val="18"/>
          <w:szCs w:val="18"/>
          <w:rFonts w:ascii="Calibri" w:cs="Calibri" w:eastAsia="Calibri" w:hAnsi="Calibri"/>
        </w:rPr>
        <w:t xml:space="preserve">4-tert-butylcyclohexyl acetate (CAS: 32210-23-4):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a) Aquatic acute toxicity: EC50 Daphnia magna = 5.3 mg/L 48h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a) Aquatic acute toxicity: EC50 Algae Desmodesmus subspicatus = 22 mg/L 72h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a) Aquatic acute toxicity: LC50 Fish Cyprinus carpio = 8.6 mg/L 96h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b) Aquatic chronic toxicity: NOEC Algae Desmodesmus subspicatus = 6.8 mg/L 72h</w:t>
      </w:r>
    </w:p>
    <w:p>
      <w:pPr>
        <w:spacing w:before="40" w:after="40"/>
      </w:pP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reaction mass of 5-chloro-2-methyl-2H-isothiazol-3-one and 2-methyl-2H-isothiazol-3-one (3:1) (CAS: 55965-84-9):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a) Aquatic acute toxicity: LC50 Fish Oncorhynchus mykiss = 0.22 mg/L 96h - OECD 203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a) Aquatic acute toxicity: EC50 Algae Skeletonema costatum = 0.0052 mg/L 48h ISO 10253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b) Aquatic chronic toxicity: NOEC Algae Skeletonema costatum = 0.00064 mg/L 48h ISO 10253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b) Aquatic chronic toxicity: NOEC Algae Pseudokirchneriella subcapitata = 0.0012 mg/L 72h OECD 201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b) Aquatic chronic toxicity: NOEC Daphnia magna = 0.004 mg/L 21d OECD 211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b) Aquatic chronic toxicity: NOEC Fish Oncorhynchus mykiss = 0.098 mg/L 28d OECD 215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12.2. Persistence and degradability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4-tert-butylcyclohexyl acetate (CAS: 32210-23-4): Non-readily biodegradable.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reaction mass of 5-chloro-2-methyl-2H-isothiazol-3-one and 2-methyl-2H-isothiazol-3-one (3:1) (CAS: 55965-84-9): Readily biodegradable. Value: &gt; 60%. Notes: OECD 301 D Closed-Bottle-Test.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12.3. Bioaccumulative potential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4-tert-butylcyclohexyl acetate (CAS: 32210-23-4): Not bioaccumulative. Test: BCF Bioconcentration factor; Value: = 334.6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reaction mass of 5-chloro-2-methyl-2H-isothiazol-3-one and 2-methyl-2H-isothiazol-3-one (3:1) (CAS: 55965-84-9): Test: BCF Bioconcentration factor; Value: = 3.16. Test: Log Kow partition coefficient; Value: &lt;= 0.71.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12.4. Mobility in soil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N.A.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12.5. Results of PBT and vPvB assessment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No PBT or vPvB substances present in concentration &gt;= 0.1%.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12.6. Endocrine disrupting properties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galaxolide (CAS: 1222-05-5) - List II: Substances under evaluation for endocrine disruption under an EU legislation.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12.7. Other adverse effects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N.A.</w:t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Bdr>
          <w:bottom w:val="single" w:color="CBD5E1" w:sz="4" w:space="2"/>
        </w:pBdr>
        <w:spacing w:before="240" w:after="80"/>
      </w:pPr>
      <w:r>
        <w:rPr>
          <w:b/>
          <w:bCs/>
          <w:color w:val="020617"/>
          <w:sz w:val="21"/>
          <w:szCs w:val="21"/>
          <w:rFonts w:ascii="Calibri" w:cs="Calibri" w:eastAsia="Calibri" w:hAnsi="Calibri"/>
        </w:rPr>
        <w:t xml:space="preserve">SECTION 13: Disposal considerations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13.1. Waste treatment methods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Recover if possible. In so doing, comply with the local and national regulations currently in force.</w:t>
      </w:r>
    </w:p>
    <w:p>
      <w:pPr>
        <w:pBdr>
          <w:bottom w:val="single" w:color="CBD5E1" w:sz="4" w:space="2"/>
        </w:pBdr>
        <w:spacing w:before="240" w:after="80"/>
      </w:pPr>
      <w:r>
        <w:rPr>
          <w:b/>
          <w:bCs/>
          <w:color w:val="020617"/>
          <w:sz w:val="21"/>
          <w:szCs w:val="21"/>
          <w:rFonts w:ascii="Calibri" w:cs="Calibri" w:eastAsia="Calibri" w:hAnsi="Calibri"/>
        </w:rPr>
        <w:t xml:space="preserve">SECTION 14: Transport information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Not classified as dangerous in the meaning of transport regulations.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14.1. UN number or ID number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N/A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14.2. UN proper shipping name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ADR-Shipping Name: N/A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IATA-Shipping Name: N/A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IMDG-Shipping Name: N/A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14.3. Transport hazard class(es)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ADR-Class: N/A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IATA-Class: N/A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IMDG-Class: N/A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14.4. Packing group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ADR-Packing Group: N/A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IATA-Packing group: N/A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IMDG-Packing group: N/A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14.5. Environmental hazards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Toxic ingredients quantity: 0.00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Very toxic ingredients quantity: 0.00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Marine pollutant: No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Environmental Pollutant: No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IMDG-EMS: N/A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14.6. Special precautions for user</w:t>
      </w:r>
    </w:p>
    <w:p>
      <w:pPr>
        <w:spacing w:before="80" w:after="30" w:line="240"/>
      </w:pPr>
      <w:r>
        <w:rPr>
          <w:b/>
          <w:bCs/>
          <w:color w:val="0F172A"/>
          <w:sz w:val="18"/>
          <w:szCs w:val="18"/>
          <w:rFonts w:ascii="Calibri" w:cs="Calibri" w:eastAsia="Calibri" w:hAnsi="Calibri"/>
        </w:rPr>
        <w:t xml:space="preserve">Road and Rail (ADR-RID):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ADR exempt: No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ADR-Label: N/A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ADR Hazard identification number: N/A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ADR-Special Provisions: N/A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ADR-Transport category (Tunnel restriction code): N/A</w:t>
      </w:r>
    </w:p>
    <w:p>
      <w:pPr>
        <w:spacing w:before="40" w:after="40"/>
      </w:pPr>
    </w:p>
    <w:p>
      <w:pPr>
        <w:spacing w:before="80" w:after="30" w:line="240"/>
      </w:pPr>
      <w:r>
        <w:rPr>
          <w:b/>
          <w:bCs/>
          <w:color w:val="0F172A"/>
          <w:sz w:val="18"/>
          <w:szCs w:val="18"/>
          <w:rFonts w:ascii="Calibri" w:cs="Calibri" w:eastAsia="Calibri" w:hAnsi="Calibri"/>
        </w:rPr>
        <w:t xml:space="preserve">Air (IATA):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IATA-Passenger Aircraft: N/A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IATA-Cargo Aircraft: N/A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IATA-Label: N/A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IATA-Subsidiary hazards: N/A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IATA-Erg: N/A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IATA-Special Provisions: N/A</w:t>
      </w:r>
    </w:p>
    <w:p>
      <w:pPr>
        <w:spacing w:before="40" w:after="40"/>
      </w:pPr>
    </w:p>
    <w:p>
      <w:pPr>
        <w:spacing w:before="80" w:after="30" w:line="240"/>
      </w:pPr>
      <w:r>
        <w:rPr>
          <w:b/>
          <w:bCs/>
          <w:color w:val="0F172A"/>
          <w:sz w:val="18"/>
          <w:szCs w:val="18"/>
          <w:rFonts w:ascii="Calibri" w:cs="Calibri" w:eastAsia="Calibri" w:hAnsi="Calibri"/>
        </w:rPr>
        <w:t xml:space="preserve">Sea (IMDG):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IMDG-Stowage and handling: N/A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IMDG-Segregation: N/A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IMDG-Subsidiary hazards: N/A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IMDG-Special Provisions: N/A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14.7. Maritime transport in bulk according to IMO instruments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N.A.</w:t>
      </w:r>
    </w:p>
    <w:p>
      <w:pPr>
        <w:pBdr>
          <w:bottom w:val="single" w:color="CBD5E1" w:sz="4" w:space="2"/>
        </w:pBdr>
        <w:spacing w:before="240" w:after="80"/>
      </w:pPr>
      <w:r>
        <w:rPr>
          <w:b/>
          <w:bCs/>
          <w:color w:val="020617"/>
          <w:sz w:val="21"/>
          <w:szCs w:val="21"/>
          <w:rFonts w:ascii="Calibri" w:cs="Calibri" w:eastAsia="Calibri" w:hAnsi="Calibri"/>
        </w:rPr>
        <w:t xml:space="preserve">SECTION 15: Regulatory information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15.1. Safety, health and environmental regulations/legislation specific for the substance or mixture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Dir. 98/24/EC (Risks related to chemical agents at work)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Dir. 2000/39/EC (Occupational exposure limit values)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Regulation (EC) n. 1907/2006 (REACH)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Regulation (EU) n. 2020/878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Regulation (EC) n. 1272/2008 (CLP)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Regulation (EU) n. 286/2011 (ATP 2 CLP)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Regulation (EU) n. 487/2013 (ATP 4 CLP)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Regulation (EC) n. 790/2009 (ATP 1 CLP) and (EU) n. 758/2013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Regulation (EU) n. 618/2012 (ATP 3 CLP)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Regulation (EU) n. 944/2013 (ATP 5 CLP)</w:t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Regulation (EU) n. 605/2014 (ATP 6 CLP)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Regulation (EU) n. 2016/918 (ATP 8 CLP)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Regulation (EU) n. 2017/776 (ATP 10 CLP)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Regulation (EU) n. 2018/1480 (ATP 13 CLP)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Regulation (EU) n. 2015/1221 (ATP 7 CLP)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Regulation (EU) n. 2016/1179 (ATP 9 CLP)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Regulation (EU) n. 2018/669 (ATP 11 CLP)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Regulation (EU) n. 2019/521 (ATP 12 CLP)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Regulation (EU) n. 2020/217 (ATP 14 CLP)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Regulation (EU) n. 2021/643 (ATP 16 CLP)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Regulation (EU) n. 2020/1182 (ATP 15 CLP)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Regulation (EU) n. 2021/849 (ATP 17 CLP)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Regulation (EU) n. 2022/692 (ATP 18 CLP)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Regulation (EU) n. 2023/707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Regulation (EU) n. 2023/1434 (ATP 19 CLP)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Regulation (EU) n. 2023/1435 (ATP 20 CLP)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Regulation (EU) n. 2024/197 (ATP 21 CLP)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Regulation (EU) n. 2024/2865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Regulation (EU) n. 2024/2564 (ATP 22 CLP)</w:t>
      </w:r>
    </w:p>
    <w:p>
      <w:pPr>
        <w:spacing w:before="40" w:after="40"/>
      </w:pP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Restrictions related to the product or the substances contained according to Annex XVII Regulation (EC) 1907/2006 (REACH) and subsequent modifications: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Restrictions related to the product: None.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Restrictions related to the substances contained: 75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Provisions related to directive EU 2012/18 (Seveso III): None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Regulation (EU) No 649/2012 (PIC regulation): No substances listed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German Water Hazard Class: Class 1: slightly hazardous for water.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German Lagerklasse according to TRGS 510: LGK 10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SVHC Substances: No SVHC substances present in concentration &gt;= 0.1%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15.2. Chemical safety assessment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No Chemical Safety Assessment has been carried out for the mixture.</w:t>
      </w:r>
    </w:p>
    <w:p>
      <w:pPr>
        <w:pBdr>
          <w:bottom w:val="single" w:color="CBD5E1" w:sz="4" w:space="2"/>
        </w:pBdr>
        <w:spacing w:before="240" w:after="80"/>
      </w:pPr>
      <w:r>
        <w:rPr>
          <w:b/>
          <w:bCs/>
          <w:color w:val="020617"/>
          <w:sz w:val="21"/>
          <w:szCs w:val="21"/>
          <w:rFonts w:ascii="Calibri" w:cs="Calibri" w:eastAsia="Calibri" w:hAnsi="Calibri"/>
        </w:rPr>
        <w:t xml:space="preserve">SECTION 16: Other information</w:t>
      </w:r>
    </w:p>
    <w:tbl>
      <w:tblPr>
        <w:tblW w:type="dxa" w:w="10466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CBD5E1" w:sz="2"/>
          <w:insideV w:val="single" w:color="CBD5E1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2617"/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6"/>
                <w:szCs w:val="16"/>
                <w:rFonts w:ascii="Calibri" w:cs="Calibri" w:eastAsia="Calibri" w:hAnsi="Calibri"/>
              </w:rPr>
              <w:t xml:space="preserve">Code</w:t>
            </w:r>
          </w:p>
        </w:tc>
        <w:tc>
          <w:tcPr>
            <w:tcW w:type="dxa" w:w="7850"/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6"/>
                <w:szCs w:val="16"/>
                <w:rFonts w:ascii="Calibri" w:cs="Calibri" w:eastAsia="Calibri" w:hAnsi="Calibri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61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EUH071</w:t>
            </w:r>
          </w:p>
        </w:tc>
        <w:tc>
          <w:tcPr>
            <w:tcW w:type="dxa" w:w="7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Corrosive to the respiratory tract.</w:t>
            </w:r>
          </w:p>
        </w:tc>
      </w:tr>
      <w:tr>
        <w:trPr>
          <w:cantSplit/>
        </w:trPr>
        <w:tc>
          <w:tcPr>
            <w:tcW w:type="dxa" w:w="261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H301</w:t>
            </w:r>
          </w:p>
        </w:tc>
        <w:tc>
          <w:tcPr>
            <w:tcW w:type="dxa" w:w="7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Toxic if swallowed.</w:t>
            </w:r>
          </w:p>
        </w:tc>
      </w:tr>
      <w:tr>
        <w:trPr>
          <w:cantSplit/>
        </w:trPr>
        <w:tc>
          <w:tcPr>
            <w:tcW w:type="dxa" w:w="261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H310</w:t>
            </w:r>
          </w:p>
        </w:tc>
        <w:tc>
          <w:tcPr>
            <w:tcW w:type="dxa" w:w="7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Fatal in contact with skin.</w:t>
            </w:r>
          </w:p>
        </w:tc>
      </w:tr>
      <w:tr>
        <w:trPr>
          <w:cantSplit/>
        </w:trPr>
        <w:tc>
          <w:tcPr>
            <w:tcW w:type="dxa" w:w="261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H314</w:t>
            </w:r>
          </w:p>
        </w:tc>
        <w:tc>
          <w:tcPr>
            <w:tcW w:type="dxa" w:w="7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Causes severe skin burns and eye damage.</w:t>
            </w:r>
          </w:p>
        </w:tc>
      </w:tr>
      <w:tr>
        <w:trPr>
          <w:cantSplit/>
        </w:trPr>
        <w:tc>
          <w:tcPr>
            <w:tcW w:type="dxa" w:w="261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H315</w:t>
            </w:r>
          </w:p>
        </w:tc>
        <w:tc>
          <w:tcPr>
            <w:tcW w:type="dxa" w:w="7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Causes skin irritation.</w:t>
            </w:r>
          </w:p>
        </w:tc>
      </w:tr>
      <w:tr>
        <w:trPr>
          <w:cantSplit/>
        </w:trPr>
        <w:tc>
          <w:tcPr>
            <w:tcW w:type="dxa" w:w="261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H317</w:t>
            </w:r>
          </w:p>
        </w:tc>
        <w:tc>
          <w:tcPr>
            <w:tcW w:type="dxa" w:w="7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May cause an allergic skin reaction.</w:t>
            </w:r>
          </w:p>
        </w:tc>
      </w:tr>
      <w:tr>
        <w:trPr>
          <w:cantSplit/>
        </w:trPr>
        <w:tc>
          <w:tcPr>
            <w:tcW w:type="dxa" w:w="261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H318</w:t>
            </w:r>
          </w:p>
        </w:tc>
        <w:tc>
          <w:tcPr>
            <w:tcW w:type="dxa" w:w="7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Causes serious eye damage.</w:t>
            </w:r>
          </w:p>
        </w:tc>
      </w:tr>
      <w:tr>
        <w:trPr>
          <w:cantSplit/>
        </w:trPr>
        <w:tc>
          <w:tcPr>
            <w:tcW w:type="dxa" w:w="261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H319</w:t>
            </w:r>
          </w:p>
        </w:tc>
        <w:tc>
          <w:tcPr>
            <w:tcW w:type="dxa" w:w="7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Causes serious eye irritation.</w:t>
            </w:r>
          </w:p>
        </w:tc>
      </w:tr>
      <w:tr>
        <w:trPr>
          <w:cantSplit/>
        </w:trPr>
        <w:tc>
          <w:tcPr>
            <w:tcW w:type="dxa" w:w="261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H330</w:t>
            </w:r>
          </w:p>
        </w:tc>
        <w:tc>
          <w:tcPr>
            <w:tcW w:type="dxa" w:w="7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Fatal if inhaled.</w:t>
            </w:r>
          </w:p>
        </w:tc>
      </w:tr>
      <w:tr>
        <w:trPr>
          <w:cantSplit/>
        </w:trPr>
        <w:tc>
          <w:tcPr>
            <w:tcW w:type="dxa" w:w="261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H400</w:t>
            </w:r>
          </w:p>
        </w:tc>
        <w:tc>
          <w:tcPr>
            <w:tcW w:type="dxa" w:w="7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Very toxic to aquatic life.</w:t>
            </w:r>
          </w:p>
        </w:tc>
      </w:tr>
      <w:tr>
        <w:trPr>
          <w:cantSplit/>
        </w:trPr>
        <w:tc>
          <w:tcPr>
            <w:tcW w:type="dxa" w:w="261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H410</w:t>
            </w:r>
          </w:p>
        </w:tc>
        <w:tc>
          <w:tcPr>
            <w:tcW w:type="dxa" w:w="7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Very toxic to aquatic life with long lasting effects.</w:t>
            </w:r>
          </w:p>
        </w:tc>
      </w:tr>
    </w:tbl>
    <w:p>
      <w:pPr>
        <w:spacing w:before="80" w:after="80"/>
      </w:pPr>
    </w:p>
    <w:tbl>
      <w:tblPr>
        <w:tblW w:type="dxa" w:w="10466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CBD5E1" w:sz="2"/>
          <w:insideV w:val="single" w:color="CBD5E1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303"/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6"/>
                <w:szCs w:val="16"/>
                <w:rFonts w:ascii="Calibri" w:cs="Calibri" w:eastAsia="Calibri" w:hAnsi="Calibri"/>
              </w:rPr>
              <w:t xml:space="preserve">Code</w:t>
            </w:r>
          </w:p>
        </w:tc>
        <w:tc>
          <w:tcPr>
            <w:tcW w:type="dxa" w:w="2930"/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6"/>
                <w:szCs w:val="16"/>
                <w:rFonts w:ascii="Calibri" w:cs="Calibri" w:eastAsia="Calibri" w:hAnsi="Calibri"/>
              </w:rPr>
              <w:t xml:space="preserve">Hazard class and category</w:t>
            </w:r>
          </w:p>
        </w:tc>
        <w:tc>
          <w:tcPr>
            <w:tcW w:type="dxa" w:w="5233"/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6"/>
                <w:szCs w:val="16"/>
                <w:rFonts w:ascii="Calibri" w:cs="Calibri" w:eastAsia="Calibri" w:hAnsi="Calibri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3.1/2/Dermal</w:t>
            </w:r>
          </w:p>
        </w:tc>
        <w:tc>
          <w:tcPr>
            <w:tcW w:type="dxa" w:w="29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Acute Tox. 2</w:t>
            </w:r>
          </w:p>
        </w:tc>
        <w:tc>
          <w:tcPr>
            <w:tcW w:type="dxa" w:w="523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Acute toxicity (dermal), Category 2</w:t>
            </w:r>
          </w:p>
        </w:tc>
      </w:tr>
      <w:tr>
        <w:trPr>
          <w:cantSplit/>
        </w:trPr>
        <w:tc>
          <w:tcPr>
            <w:tcW w:type="dxa" w:w="23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3.1/2/Inhal</w:t>
            </w:r>
          </w:p>
        </w:tc>
        <w:tc>
          <w:tcPr>
            <w:tcW w:type="dxa" w:w="29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Acute Tox. 2</w:t>
            </w:r>
          </w:p>
        </w:tc>
        <w:tc>
          <w:tcPr>
            <w:tcW w:type="dxa" w:w="523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Acute toxicity (inhalation), Category 2</w:t>
            </w:r>
          </w:p>
        </w:tc>
      </w:tr>
      <w:tr>
        <w:trPr>
          <w:cantSplit/>
        </w:trPr>
        <w:tc>
          <w:tcPr>
            <w:tcW w:type="dxa" w:w="23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3.1/3/Oral</w:t>
            </w:r>
          </w:p>
        </w:tc>
        <w:tc>
          <w:tcPr>
            <w:tcW w:type="dxa" w:w="29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Acute Tox. 3</w:t>
            </w:r>
          </w:p>
        </w:tc>
        <w:tc>
          <w:tcPr>
            <w:tcW w:type="dxa" w:w="523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Acute toxicity (oral), Category 3</w:t>
            </w:r>
          </w:p>
        </w:tc>
      </w:tr>
      <w:tr>
        <w:trPr>
          <w:cantSplit/>
        </w:trPr>
        <w:tc>
          <w:tcPr>
            <w:tcW w:type="dxa" w:w="23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3.2/1C</w:t>
            </w:r>
          </w:p>
        </w:tc>
        <w:tc>
          <w:tcPr>
            <w:tcW w:type="dxa" w:w="29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Skin Corr. 1C</w:t>
            </w:r>
          </w:p>
        </w:tc>
        <w:tc>
          <w:tcPr>
            <w:tcW w:type="dxa" w:w="523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Skin corrosion, Category 1C</w:t>
            </w:r>
          </w:p>
        </w:tc>
      </w:tr>
      <w:tr>
        <w:trPr>
          <w:cantSplit/>
        </w:trPr>
        <w:tc>
          <w:tcPr>
            <w:tcW w:type="dxa" w:w="23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3.2/2</w:t>
            </w:r>
          </w:p>
        </w:tc>
        <w:tc>
          <w:tcPr>
            <w:tcW w:type="dxa" w:w="29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Skin Irrit. 2</w:t>
            </w:r>
          </w:p>
        </w:tc>
        <w:tc>
          <w:tcPr>
            <w:tcW w:type="dxa" w:w="523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Skin irritation, Category 2</w:t>
            </w:r>
          </w:p>
        </w:tc>
      </w:tr>
      <w:tr>
        <w:trPr>
          <w:cantSplit/>
        </w:trPr>
        <w:tc>
          <w:tcPr>
            <w:tcW w:type="dxa" w:w="23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3.3/1</w:t>
            </w:r>
          </w:p>
        </w:tc>
        <w:tc>
          <w:tcPr>
            <w:tcW w:type="dxa" w:w="29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Eye Dam. 1</w:t>
            </w:r>
          </w:p>
        </w:tc>
        <w:tc>
          <w:tcPr>
            <w:tcW w:type="dxa" w:w="523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Serious eye damage, Category 1</w:t>
            </w:r>
          </w:p>
        </w:tc>
      </w:tr>
      <w:tr>
        <w:trPr>
          <w:cantSplit/>
        </w:trPr>
        <w:tc>
          <w:tcPr>
            <w:tcW w:type="dxa" w:w="23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3.3/2</w:t>
            </w:r>
          </w:p>
        </w:tc>
        <w:tc>
          <w:tcPr>
            <w:tcW w:type="dxa" w:w="29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Eye Irrit. 2</w:t>
            </w:r>
          </w:p>
        </w:tc>
        <w:tc>
          <w:tcPr>
            <w:tcW w:type="dxa" w:w="523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Eye irritation, Category 2</w:t>
            </w:r>
          </w:p>
        </w:tc>
      </w:tr>
      <w:tr>
        <w:trPr>
          <w:cantSplit/>
        </w:trPr>
        <w:tc>
          <w:tcPr>
            <w:tcW w:type="dxa" w:w="23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3.4.2/1A</w:t>
            </w:r>
          </w:p>
        </w:tc>
        <w:tc>
          <w:tcPr>
            <w:tcW w:type="dxa" w:w="29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Skin Sens. 1A</w:t>
            </w:r>
          </w:p>
        </w:tc>
        <w:tc>
          <w:tcPr>
            <w:tcW w:type="dxa" w:w="523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Skin Sensitisation, Category 1A</w:t>
            </w:r>
          </w:p>
        </w:tc>
      </w:tr>
      <w:tr>
        <w:trPr>
          <w:cantSplit/>
        </w:trPr>
        <w:tc>
          <w:tcPr>
            <w:tcW w:type="dxa" w:w="23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3.4.2/1B</w:t>
            </w:r>
          </w:p>
        </w:tc>
        <w:tc>
          <w:tcPr>
            <w:tcW w:type="dxa" w:w="29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Skin Sens. 1B</w:t>
            </w:r>
          </w:p>
        </w:tc>
        <w:tc>
          <w:tcPr>
            <w:tcW w:type="dxa" w:w="523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Skin Sensitisation, Category 1B</w:t>
            </w:r>
          </w:p>
        </w:tc>
      </w:tr>
      <w:tr>
        <w:trPr>
          <w:cantSplit/>
        </w:trPr>
        <w:tc>
          <w:tcPr>
            <w:tcW w:type="dxa" w:w="23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4.1/A1</w:t>
            </w:r>
          </w:p>
        </w:tc>
        <w:tc>
          <w:tcPr>
            <w:tcW w:type="dxa" w:w="29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Aquatic Acute 1</w:t>
            </w:r>
          </w:p>
        </w:tc>
        <w:tc>
          <w:tcPr>
            <w:tcW w:type="dxa" w:w="523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Acute aquatic hazard, category 1</w:t>
            </w:r>
          </w:p>
        </w:tc>
      </w:tr>
      <w:tr>
        <w:trPr>
          <w:cantSplit/>
        </w:trPr>
        <w:tc>
          <w:tcPr>
            <w:tcW w:type="dxa" w:w="23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4.1/C1</w:t>
            </w:r>
          </w:p>
        </w:tc>
        <w:tc>
          <w:tcPr>
            <w:tcW w:type="dxa" w:w="29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/>
                <w:bCs/>
                <w:color w:val="0F172A"/>
                <w:sz w:val="15"/>
                <w:szCs w:val="15"/>
                <w:rFonts w:ascii="Calibri" w:cs="Calibri" w:eastAsia="Calibri" w:hAnsi="Calibri"/>
              </w:rPr>
              <w:t xml:space="preserve">Aquatic Chronic 1</w:t>
            </w:r>
          </w:p>
        </w:tc>
        <w:tc>
          <w:tcPr>
            <w:tcW w:type="dxa" w:w="523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20" w:line="220"/>
            </w:pPr>
            <w:r>
              <w:rPr>
                <w:b w:val="false"/>
                <w:bCs w:val="false"/>
                <w:color w:val="334155"/>
                <w:sz w:val="15"/>
                <w:szCs w:val="15"/>
                <w:rFonts w:ascii="Calibri" w:cs="Calibri" w:eastAsia="Calibri" w:hAnsi="Calibri"/>
              </w:rPr>
              <w:t xml:space="preserve">Chronic (long term) aquatic hazard, category 1</w:t>
            </w:r>
          </w:p>
        </w:tc>
      </w:tr>
    </w:tbl>
    <w:p>
      <w:pPr>
        <w:spacing w:before="80" w:after="80"/>
      </w:pP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This document was prepared by a competent person who has received appropriate training.</w:t>
      </w:r>
    </w:p>
    <w:p>
      <w:pPr>
        <w:sectPr>
          <w:headerReference w:type="default" r:id="rId18"/>
          <w:footerReference w:type="default" r:id="rId19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before="80" w:after="30" w:line="240"/>
      </w:pPr>
      <w:r>
        <w:rPr>
          <w:b/>
          <w:bCs/>
          <w:color w:val="0F172A"/>
          <w:sz w:val="18"/>
          <w:szCs w:val="18"/>
          <w:rFonts w:ascii="Calibri" w:cs="Calibri" w:eastAsia="Calibri" w:hAnsi="Calibri"/>
        </w:rPr>
        <w:t xml:space="preserve">Main bibliographic sources: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ECDIN - Environmental Chemicals Data and Information Network Joint Research Centre, Commission of the European Communities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SAX'S DANGEROUS PROPERTIES OF INDUSTRIAL MATERIALS - Eight Edition Van Nostrand Reinold</w:t>
      </w:r>
    </w:p>
    <w:p>
      <w:pPr>
        <w:spacing w:before="40" w:after="40"/>
      </w:pP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The information contained herein is based on our state of knowledge at the above-specified date. It refers solely to the product indicated and constitutes no guarantee of particular quality.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It is the duty of the user to ensure that this information is appropriate and complete with respect to the specific use intended.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This MSDS cancels and replaces any preceding release.</w:t>
      </w:r>
    </w:p>
    <w:p>
      <w:pPr>
        <w:spacing w:before="160" w:after="60"/>
      </w:pPr>
      <w:r>
        <w:rPr>
          <w:b/>
          <w:bCs/>
          <w:color w:val="1E293B"/>
          <w:sz w:val="19"/>
          <w:szCs w:val="19"/>
          <w:rFonts w:ascii="Calibri" w:cs="Calibri" w:eastAsia="Calibri" w:hAnsi="Calibri"/>
        </w:rPr>
        <w:t xml:space="preserve">Legend to abbreviations and acronyms used in the safety data sheet: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ACGIH: American Conference of Governmental Industrial Hygienists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ADR: European Agreement concerning the International Carriage of Dangerous Goods by Road.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AND: European Agreement concerning the International Carriage of Dangerous Goods by Inland Waterways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ATE: Acute Toxicity Estimate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ATEmix: Acute toxicity Estimate (Mixtures)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BCF: Biological Concentration Factor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BEI: Biological Exposure Index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BOD: Biochemical Oxygen Demand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CAS: Chemical Abstracts Service (division of the American Chemical Society).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CAV: Poison Center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CE: European Community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CLP: Classification, Labeling, Packaging.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CMR: Carcinogenic, Mutagenic and Reprotoxic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COD: Chemical Oxygen Demand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COV: Volatile Organic Compound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CSA: Chemical Safety Assessment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CSR: Chemical Safety Report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DMEL: Derived Minimal Effect Level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DNEL: Derived No Effect Level.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DPD: Dangerous Preparations Directive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DSD: Dangerous Substances Directive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EC50: Half Maximal Effective Concentration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ECHA: European Chemicals Agency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EINECS: European Inventory of Existing Commercial Chemical Substances.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ES: Exposure Scenario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GefStoffVO: Ordinance on Hazardous Substances, Germany.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GHS: Globally Harmonized System of Classification and Labeling of Chemicals.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IARC: International Agency for Research on Cancer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IATA: International Air Transport Association.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IATA-DGR: Dangerous Goods Regulation by the "International Air Transport Association" (IATA).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IC50: half maximal inhibitory concentration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ICAO: International Civil Aviation Organization.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ICAO-TI: Technical Instructions by the "International Civil Aviation Organization" (ICAO).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IMDG: International Maritime Code for Dangerous Goods.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INCI: International Nomenclature of Cosmetic Ingredients.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IRCCS: Scientific Institute for Research, Hospitalization and Health Care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KAFH: Keep Away From Heat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KSt: Explosion coefficient.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LC50: Lethal concentration, for 50 percent of test population.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LD50: Lethal dose, for 50 percent of test population.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LDLo: Leathal Dose Low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N.A.: Not Applicable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N/A: Not Applicable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N/D: Not defined/ Not available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NA: Not available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NIOSH: National Institute for Occupational Safety and Health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NOAEL: No Observed Adverse Effect Level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OSHA: Occupational Safety and Health Administration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PBT: Persistent, Bioaccumulative and Toxic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PGK: Packaging Instruction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PNEC: Predicted No Effect Concentration.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PSG: Passengers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RID: Regulation Concerning the International Transport of Dangerous Goods by Rail.</w:t>
      </w:r>
    </w:p>
    <w:p>
      <w:pPr>
        <w:sectPr>
          <w:headerReference w:type="default" r:id="rId20"/>
          <w:footerReference w:type="default" r:id="rId21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STEL: Short Term Exposure limit.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STOT: Specific Target Organ Toxicity.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TLV: Threshold Limiting Value.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TWATLV: Threshold Limit Value for the Time Weighted Average 8 hour day. (ACGIH Standard).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vPvB: Very Persistent, Very Bioaccumulative.</w:t>
      </w:r>
    </w:p>
    <w:p>
      <w:pPr>
        <w:spacing w:before="30" w:after="30" w:line="240"/>
      </w:pPr>
      <w:r>
        <w:rPr>
          <w:b w:val="false"/>
          <w:bCs w:val="false"/>
          <w:color w:val="334155"/>
          <w:sz w:val="18"/>
          <w:szCs w:val="18"/>
          <w:rFonts w:ascii="Calibri" w:cs="Calibri" w:eastAsia="Calibri" w:hAnsi="Calibri"/>
        </w:rPr>
        <w:t xml:space="preserve">WGK: German Water Hazard Class.</w:t>
      </w:r>
    </w:p>
    <w:sectPr>
      <w:headerReference w:type="default" r:id="rId22"/>
      <w:footerReference w:type="default" r:id="rId23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4"/>
      </w:pBdr>
    </w:pPr>
    <w:r>
      <w:rPr>
        <w:color w:val="64748B"/>
        <w:sz w:val="16"/>
        <w:szCs w:val="16"/>
        <w:rFonts w:ascii="Calibri" w:cs="Calibri" w:eastAsia="Calibri" w:hAnsi="Calibri"/>
      </w:rPr>
      <w:t xml:space="preserve">Date 07/03/2026 | </w:t>
    </w:r>
    <w:r>
      <w:rPr>
        <w:color w:val="64748B"/>
        <w:sz w:val="16"/>
        <w:szCs w:val="16"/>
        <w:rFonts w:ascii="Calibri" w:cs="Calibri" w:eastAsia="Calibri" w:hAnsi="Calibri"/>
      </w:rPr>
      <w:t xml:space="preserve">SWEET HOME LAYALI-PROFUMA TESSUTI E AMBIENTE NAJMA | </w:t>
    </w:r>
    <w:r>
      <w:rPr>
        <w:b/>
        <w:bCs/>
        <w:color w:val="334155"/>
        <w:sz w:val="16"/>
        <w:szCs w:val="16"/>
        <w:rFonts w:ascii="Calibri" w:cs="Calibri" w:eastAsia="Calibri" w:hAnsi="Calibri"/>
      </w:rPr>
      <w:t xml:space="preserve">Page n. 1 of 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4"/>
      </w:pBdr>
    </w:pPr>
    <w:r>
      <w:rPr>
        <w:color w:val="64748B"/>
        <w:sz w:val="16"/>
        <w:szCs w:val="16"/>
        <w:rFonts w:ascii="Calibri" w:cs="Calibri" w:eastAsia="Calibri" w:hAnsi="Calibri"/>
      </w:rPr>
      <w:t xml:space="preserve">Date 07/03/2026 | </w:t>
    </w:r>
    <w:r>
      <w:rPr>
        <w:color w:val="64748B"/>
        <w:sz w:val="16"/>
        <w:szCs w:val="16"/>
        <w:rFonts w:ascii="Calibri" w:cs="Calibri" w:eastAsia="Calibri" w:hAnsi="Calibri"/>
      </w:rPr>
      <w:t xml:space="preserve">SWEET HOME LAYALI-PROFUMA TESSUTI E AMBIENTE NAJMA | </w:t>
    </w:r>
    <w:r>
      <w:rPr>
        <w:b/>
        <w:bCs/>
        <w:color w:val="334155"/>
        <w:sz w:val="16"/>
        <w:szCs w:val="16"/>
        <w:rFonts w:ascii="Calibri" w:cs="Calibri" w:eastAsia="Calibri" w:hAnsi="Calibri"/>
      </w:rPr>
      <w:t xml:space="preserve">Page n. 2 of 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4"/>
      </w:pBdr>
    </w:pPr>
    <w:r>
      <w:rPr>
        <w:color w:val="64748B"/>
        <w:sz w:val="16"/>
        <w:szCs w:val="16"/>
        <w:rFonts w:ascii="Calibri" w:cs="Calibri" w:eastAsia="Calibri" w:hAnsi="Calibri"/>
      </w:rPr>
      <w:t xml:space="preserve">Date 07/03/2026 | </w:t>
    </w:r>
    <w:r>
      <w:rPr>
        <w:color w:val="64748B"/>
        <w:sz w:val="16"/>
        <w:szCs w:val="16"/>
        <w:rFonts w:ascii="Calibri" w:cs="Calibri" w:eastAsia="Calibri" w:hAnsi="Calibri"/>
      </w:rPr>
      <w:t xml:space="preserve">SWEET HOME LAYALI-PROFUMA TESSUTI E AMBIENTE NAJMA | </w:t>
    </w:r>
    <w:r>
      <w:rPr>
        <w:b/>
        <w:bCs/>
        <w:color w:val="334155"/>
        <w:sz w:val="16"/>
        <w:szCs w:val="16"/>
        <w:rFonts w:ascii="Calibri" w:cs="Calibri" w:eastAsia="Calibri" w:hAnsi="Calibri"/>
      </w:rPr>
      <w:t xml:space="preserve">Page n. 3 of 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4"/>
      </w:pBdr>
    </w:pPr>
    <w:r>
      <w:rPr>
        <w:color w:val="64748B"/>
        <w:sz w:val="16"/>
        <w:szCs w:val="16"/>
        <w:rFonts w:ascii="Calibri" w:cs="Calibri" w:eastAsia="Calibri" w:hAnsi="Calibri"/>
      </w:rPr>
      <w:t xml:space="preserve">Date 07/03/2026 | </w:t>
    </w:r>
    <w:r>
      <w:rPr>
        <w:color w:val="64748B"/>
        <w:sz w:val="16"/>
        <w:szCs w:val="16"/>
        <w:rFonts w:ascii="Calibri" w:cs="Calibri" w:eastAsia="Calibri" w:hAnsi="Calibri"/>
      </w:rPr>
      <w:t xml:space="preserve">SWEET HOME LAYALI-PROFUMA TESSUTI E AMBIENTE NAJMA | </w:t>
    </w:r>
    <w:r>
      <w:rPr>
        <w:b/>
        <w:bCs/>
        <w:color w:val="334155"/>
        <w:sz w:val="16"/>
        <w:szCs w:val="16"/>
        <w:rFonts w:ascii="Calibri" w:cs="Calibri" w:eastAsia="Calibri" w:hAnsi="Calibri"/>
      </w:rPr>
      <w:t xml:space="preserve">Page n. 4 of 9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4"/>
      </w:pBdr>
    </w:pPr>
    <w:r>
      <w:rPr>
        <w:color w:val="64748B"/>
        <w:sz w:val="16"/>
        <w:szCs w:val="16"/>
        <w:rFonts w:ascii="Calibri" w:cs="Calibri" w:eastAsia="Calibri" w:hAnsi="Calibri"/>
      </w:rPr>
      <w:t xml:space="preserve">Date 07/03/2026 | </w:t>
    </w:r>
    <w:r>
      <w:rPr>
        <w:color w:val="64748B"/>
        <w:sz w:val="16"/>
        <w:szCs w:val="16"/>
        <w:rFonts w:ascii="Calibri" w:cs="Calibri" w:eastAsia="Calibri" w:hAnsi="Calibri"/>
      </w:rPr>
      <w:t xml:space="preserve">SWEET HOME LAYALI-PROFUMA TESSUTI E AMBIENTE NAJMA | </w:t>
    </w:r>
    <w:r>
      <w:rPr>
        <w:b/>
        <w:bCs/>
        <w:color w:val="334155"/>
        <w:sz w:val="16"/>
        <w:szCs w:val="16"/>
        <w:rFonts w:ascii="Calibri" w:cs="Calibri" w:eastAsia="Calibri" w:hAnsi="Calibri"/>
      </w:rPr>
      <w:t xml:space="preserve">Page n. 5 of 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4"/>
      </w:pBdr>
    </w:pPr>
    <w:r>
      <w:rPr>
        <w:color w:val="64748B"/>
        <w:sz w:val="16"/>
        <w:szCs w:val="16"/>
        <w:rFonts w:ascii="Calibri" w:cs="Calibri" w:eastAsia="Calibri" w:hAnsi="Calibri"/>
      </w:rPr>
      <w:t xml:space="preserve">Date 07/03/2026 | </w:t>
    </w:r>
    <w:r>
      <w:rPr>
        <w:color w:val="64748B"/>
        <w:sz w:val="16"/>
        <w:szCs w:val="16"/>
        <w:rFonts w:ascii="Calibri" w:cs="Calibri" w:eastAsia="Calibri" w:hAnsi="Calibri"/>
      </w:rPr>
      <w:t xml:space="preserve">SWEET HOME LAYALI-PROFUMA TESSUTI E AMBIENTE NAJMA | </w:t>
    </w:r>
    <w:r>
      <w:rPr>
        <w:b/>
        <w:bCs/>
        <w:color w:val="334155"/>
        <w:sz w:val="16"/>
        <w:szCs w:val="16"/>
        <w:rFonts w:ascii="Calibri" w:cs="Calibri" w:eastAsia="Calibri" w:hAnsi="Calibri"/>
      </w:rPr>
      <w:t xml:space="preserve">Page n. 6 of 9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4"/>
      </w:pBdr>
    </w:pPr>
    <w:r>
      <w:rPr>
        <w:color w:val="64748B"/>
        <w:sz w:val="16"/>
        <w:szCs w:val="16"/>
        <w:rFonts w:ascii="Calibri" w:cs="Calibri" w:eastAsia="Calibri" w:hAnsi="Calibri"/>
      </w:rPr>
      <w:t xml:space="preserve">Date 07/03/2026 | </w:t>
    </w:r>
    <w:r>
      <w:rPr>
        <w:color w:val="64748B"/>
        <w:sz w:val="16"/>
        <w:szCs w:val="16"/>
        <w:rFonts w:ascii="Calibri" w:cs="Calibri" w:eastAsia="Calibri" w:hAnsi="Calibri"/>
      </w:rPr>
      <w:t xml:space="preserve">SWEET HOME LAYALI-PROFUMA TESSUTI E AMBIENTE NAJMA | </w:t>
    </w:r>
    <w:r>
      <w:rPr>
        <w:b/>
        <w:bCs/>
        <w:color w:val="334155"/>
        <w:sz w:val="16"/>
        <w:szCs w:val="16"/>
        <w:rFonts w:ascii="Calibri" w:cs="Calibri" w:eastAsia="Calibri" w:hAnsi="Calibri"/>
      </w:rPr>
      <w:t xml:space="preserve">Page n. 7 of 9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4"/>
      </w:pBdr>
    </w:pPr>
    <w:r>
      <w:rPr>
        <w:color w:val="64748B"/>
        <w:sz w:val="16"/>
        <w:szCs w:val="16"/>
        <w:rFonts w:ascii="Calibri" w:cs="Calibri" w:eastAsia="Calibri" w:hAnsi="Calibri"/>
      </w:rPr>
      <w:t xml:space="preserve">Date 07/03/2026 | </w:t>
    </w:r>
    <w:r>
      <w:rPr>
        <w:color w:val="64748B"/>
        <w:sz w:val="16"/>
        <w:szCs w:val="16"/>
        <w:rFonts w:ascii="Calibri" w:cs="Calibri" w:eastAsia="Calibri" w:hAnsi="Calibri"/>
      </w:rPr>
      <w:t xml:space="preserve">SWEET HOME LAYALI-PROFUMA TESSUTI E AMBIENTE NAJMA | </w:t>
    </w:r>
    <w:r>
      <w:rPr>
        <w:b/>
        <w:bCs/>
        <w:color w:val="334155"/>
        <w:sz w:val="16"/>
        <w:szCs w:val="16"/>
        <w:rFonts w:ascii="Calibri" w:cs="Calibri" w:eastAsia="Calibri" w:hAnsi="Calibri"/>
      </w:rPr>
      <w:t xml:space="preserve">Page n. 8 of 9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4"/>
      </w:pBdr>
    </w:pPr>
    <w:r>
      <w:rPr>
        <w:color w:val="64748B"/>
        <w:sz w:val="16"/>
        <w:szCs w:val="16"/>
        <w:rFonts w:ascii="Calibri" w:cs="Calibri" w:eastAsia="Calibri" w:hAnsi="Calibri"/>
      </w:rPr>
      <w:t xml:space="preserve">Date 07/03/2026 | </w:t>
    </w:r>
    <w:r>
      <w:rPr>
        <w:color w:val="64748B"/>
        <w:sz w:val="16"/>
        <w:szCs w:val="16"/>
        <w:rFonts w:ascii="Calibri" w:cs="Calibri" w:eastAsia="Calibri" w:hAnsi="Calibri"/>
      </w:rPr>
      <w:t xml:space="preserve">SWEET HOME LAYALI-PROFUMA TESSUTI E AMBIENTE NAJMA | </w:t>
    </w:r>
    <w:r>
      <w:rPr>
        <w:b/>
        <w:bCs/>
        <w:color w:val="334155"/>
        <w:sz w:val="16"/>
        <w:szCs w:val="16"/>
        <w:rFonts w:ascii="Calibri" w:cs="Calibri" w:eastAsia="Calibri" w:hAnsi="Calibri"/>
      </w:rPr>
      <w:t xml:space="preserve">Page n. 9 of 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 w:space="4"/>
      </w:pBdr>
    </w:pPr>
    <w:r>
      <w:rPr>
        <w:color w:val="64748B"/>
        <w:sz w:val="16"/>
        <w:szCs w:val="16"/>
        <w:rFonts w:ascii="Calibri" w:cs="Calibri" w:eastAsia="Calibri" w:hAnsi="Calibri"/>
      </w:rPr>
      <w:t xml:space="preserve">Safety Data Sheet - SWEET HOME LAYALI - PROFUMA TESSUTI E AMBIENTE NAJMA   </w:t>
    </w:r>
    <w:r>
      <w:rPr>
        <w:b/>
        <w:bCs/>
        <w:color w:val="64748B"/>
        <w:sz w:val="16"/>
        <w:szCs w:val="16"/>
        <w:rFonts w:ascii="Calibri" w:cs="Calibri" w:eastAsia="Calibri" w:hAnsi="Calibri"/>
      </w:rPr>
      <w:t xml:space="preserve">Version: 1. Date: 07/03/2026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 w:space="4"/>
      </w:pBdr>
    </w:pPr>
    <w:r>
      <w:rPr>
        <w:color w:val="64748B"/>
        <w:sz w:val="16"/>
        <w:szCs w:val="16"/>
        <w:rFonts w:ascii="Calibri" w:cs="Calibri" w:eastAsia="Calibri" w:hAnsi="Calibri"/>
      </w:rPr>
      <w:t xml:space="preserve">Safety Data Sheet - SWEET HOME LAYALI - PROFUMA TESSUTI E AMBIENTE NAJMA   </w:t>
    </w:r>
    <w:r>
      <w:rPr>
        <w:b/>
        <w:bCs/>
        <w:color w:val="64748B"/>
        <w:sz w:val="16"/>
        <w:szCs w:val="16"/>
        <w:rFonts w:ascii="Calibri" w:cs="Calibri" w:eastAsia="Calibri" w:hAnsi="Calibri"/>
      </w:rPr>
      <w:t xml:space="preserve">Version: 1. Date: 07/03/2026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 w:space="4"/>
      </w:pBdr>
    </w:pPr>
    <w:r>
      <w:rPr>
        <w:color w:val="64748B"/>
        <w:sz w:val="16"/>
        <w:szCs w:val="16"/>
        <w:rFonts w:ascii="Calibri" w:cs="Calibri" w:eastAsia="Calibri" w:hAnsi="Calibri"/>
      </w:rPr>
      <w:t xml:space="preserve">Safety Data Sheet - SWEET HOME LAYALI - PROFUMA TESSUTI E AMBIENTE NAJMA   </w:t>
    </w:r>
    <w:r>
      <w:rPr>
        <w:b/>
        <w:bCs/>
        <w:color w:val="64748B"/>
        <w:sz w:val="16"/>
        <w:szCs w:val="16"/>
        <w:rFonts w:ascii="Calibri" w:cs="Calibri" w:eastAsia="Calibri" w:hAnsi="Calibri"/>
      </w:rPr>
      <w:t xml:space="preserve">Version: 1. Date: 07/03/2026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 w:space="4"/>
      </w:pBdr>
    </w:pPr>
    <w:r>
      <w:rPr>
        <w:color w:val="64748B"/>
        <w:sz w:val="16"/>
        <w:szCs w:val="16"/>
        <w:rFonts w:ascii="Calibri" w:cs="Calibri" w:eastAsia="Calibri" w:hAnsi="Calibri"/>
      </w:rPr>
      <w:t xml:space="preserve">Safety Data Sheet - SWEET HOME LAYALI - PROFUMA TESSUTI E AMBIENTE NAJMA   </w:t>
    </w:r>
    <w:r>
      <w:rPr>
        <w:b/>
        <w:bCs/>
        <w:color w:val="64748B"/>
        <w:sz w:val="16"/>
        <w:szCs w:val="16"/>
        <w:rFonts w:ascii="Calibri" w:cs="Calibri" w:eastAsia="Calibri" w:hAnsi="Calibri"/>
      </w:rPr>
      <w:t xml:space="preserve">Version: 1. Date: 07/03/2026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 w:space="4"/>
      </w:pBdr>
    </w:pPr>
    <w:r>
      <w:rPr>
        <w:color w:val="64748B"/>
        <w:sz w:val="16"/>
        <w:szCs w:val="16"/>
        <w:rFonts w:ascii="Calibri" w:cs="Calibri" w:eastAsia="Calibri" w:hAnsi="Calibri"/>
      </w:rPr>
      <w:t xml:space="preserve">Safety Data Sheet - SWEET HOME LAYALI - PROFUMA TESSUTI E AMBIENTE NAJMA   </w:t>
    </w:r>
    <w:r>
      <w:rPr>
        <w:b/>
        <w:bCs/>
        <w:color w:val="64748B"/>
        <w:sz w:val="16"/>
        <w:szCs w:val="16"/>
        <w:rFonts w:ascii="Calibri" w:cs="Calibri" w:eastAsia="Calibri" w:hAnsi="Calibri"/>
      </w:rPr>
      <w:t xml:space="preserve">Version: 1. Date: 07/03/2026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 w:space="4"/>
      </w:pBdr>
    </w:pPr>
    <w:r>
      <w:rPr>
        <w:color w:val="64748B"/>
        <w:sz w:val="16"/>
        <w:szCs w:val="16"/>
        <w:rFonts w:ascii="Calibri" w:cs="Calibri" w:eastAsia="Calibri" w:hAnsi="Calibri"/>
      </w:rPr>
      <w:t xml:space="preserve">Safety Data Sheet - SWEET HOME LAYALI - PROFUMA TESSUTI E AMBIENTE NAJMA   </w:t>
    </w:r>
    <w:r>
      <w:rPr>
        <w:b/>
        <w:bCs/>
        <w:color w:val="64748B"/>
        <w:sz w:val="16"/>
        <w:szCs w:val="16"/>
        <w:rFonts w:ascii="Calibri" w:cs="Calibri" w:eastAsia="Calibri" w:hAnsi="Calibri"/>
      </w:rPr>
      <w:t xml:space="preserve">Version: 1. Date: 07/03/2026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 w:space="4"/>
      </w:pBdr>
    </w:pPr>
    <w:r>
      <w:rPr>
        <w:color w:val="64748B"/>
        <w:sz w:val="16"/>
        <w:szCs w:val="16"/>
        <w:rFonts w:ascii="Calibri" w:cs="Calibri" w:eastAsia="Calibri" w:hAnsi="Calibri"/>
      </w:rPr>
      <w:t xml:space="preserve">Safety Data Sheet - SWEET HOME LAYALI - PROFUMA TESSUTI E AMBIENTE NAJMA   </w:t>
    </w:r>
    <w:r>
      <w:rPr>
        <w:b/>
        <w:bCs/>
        <w:color w:val="64748B"/>
        <w:sz w:val="16"/>
        <w:szCs w:val="16"/>
        <w:rFonts w:ascii="Calibri" w:cs="Calibri" w:eastAsia="Calibri" w:hAnsi="Calibri"/>
      </w:rPr>
      <w:t xml:space="preserve">Version: 1. Date: 07/03/2026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 w:space="4"/>
      </w:pBdr>
    </w:pPr>
    <w:r>
      <w:rPr>
        <w:color w:val="64748B"/>
        <w:sz w:val="16"/>
        <w:szCs w:val="16"/>
        <w:rFonts w:ascii="Calibri" w:cs="Calibri" w:eastAsia="Calibri" w:hAnsi="Calibri"/>
      </w:rPr>
      <w:t xml:space="preserve">Safety Data Sheet - SWEET HOME LAYALI - PROFUMA TESSUTI E AMBIENTE NAJMA   </w:t>
    </w:r>
    <w:r>
      <w:rPr>
        <w:b/>
        <w:bCs/>
        <w:color w:val="64748B"/>
        <w:sz w:val="16"/>
        <w:szCs w:val="16"/>
        <w:rFonts w:ascii="Calibri" w:cs="Calibri" w:eastAsia="Calibri" w:hAnsi="Calibri"/>
      </w:rPr>
      <w:t xml:space="preserve">Version: 1. Date: 07/03/2026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 w:space="4"/>
      </w:pBdr>
    </w:pPr>
    <w:r>
      <w:rPr>
        <w:color w:val="64748B"/>
        <w:sz w:val="16"/>
        <w:szCs w:val="16"/>
        <w:rFonts w:ascii="Calibri" w:cs="Calibri" w:eastAsia="Calibri" w:hAnsi="Calibri"/>
      </w:rPr>
      <w:t xml:space="preserve">Safety Data Sheet - SWEET HOME LAYALI - PROFUMA TESSUTI E AMBIENTE NAJMA   </w:t>
    </w:r>
    <w:r>
      <w:rPr>
        <w:b/>
        <w:bCs/>
        <w:color w:val="64748B"/>
        <w:sz w:val="16"/>
        <w:szCs w:val="16"/>
        <w:rFonts w:ascii="Calibri" w:cs="Calibri" w:eastAsia="Calibri" w:hAnsi="Calibri"/>
      </w:rPr>
      <w:t xml:space="preserve">Version: 1. Date: 07/03/2026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8051944811087_SDS_NAJMA.pdf</dc:title>
  <dc:creator>Un-named</dc:creator>
  <dc:description>TransDocx Vision 1:1 - Karta Charakterystyki SDS</dc:description>
  <cp:lastModifiedBy>Un-named</cp:lastModifiedBy>
  <cp:revision>1</cp:revision>
  <dcterms:created xsi:type="dcterms:W3CDTF">2026-09-17T11:36:24.735Z</dcterms:created>
  <dcterms:modified xsi:type="dcterms:W3CDTF">2026-09-17T11:36:24.735Z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