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
        <w:jc w:val="center"/>
      </w:pPr>
      <w:r>
        <w:rPr>
          <w:rFonts w:ascii="Arial" w:cs="Arial" w:eastAsia="Arial" w:hAnsi="Arial"/>
          <w:b/>
          <w:bCs/>
          <w:sz w:val="36"/>
          <w:szCs w:val="36"/>
        </w:rPr>
        <w:t xml:space="preserve">KARTA CHARAKTERYSTYKI</w:t>
      </w:r>
    </w:p>
    <w:p>
      <w:pPr>
        <w:spacing w:after="200"/>
        <w:jc w:val="center"/>
      </w:pPr>
      <w:r>
        <w:rPr>
          <w:rFonts w:ascii="Arial" w:cs="Arial" w:eastAsia="Arial" w:hAnsi="Arial"/>
          <w:i/>
          <w:iCs/>
          <w:color w:val="444444"/>
          <w:sz w:val="16"/>
          <w:szCs w:val="16"/>
        </w:rPr>
        <w:t xml:space="preserve">[Sporządzona zgodnie z Rozporządzeniem (WE) nr 1907/2006 (REACH), zmienionym Rozporządzeniem Komisji (UE) 2020/878]</w:t>
      </w:r>
    </w:p>
    <w:tbl>
      <w:tblPr>
        <w:tblW w:type="pct" w:w="100%"/>
        <w:tblBorders>
          <w:top w:val="single" w:color="00A651" w:sz="6"/>
          <w:left w:val="single" w:color="D0D5DD" w:sz="4"/>
          <w:bottom w:val="single" w:color="00A651" w:sz="6"/>
          <w:right w:val="single" w:color="D0D5DD" w:sz="4"/>
          <w:insideH w:val="none"/>
          <w:insideV w:val="single" w:color="E5E7EB" w:sz="4"/>
        </w:tblBorders>
      </w:tblPr>
      <w:tblGrid>
        <w:gridCol w:w="100"/>
        <w:gridCol w:w="100"/>
      </w:tblGrid>
      <w:tr>
        <w:tc>
          <w:tcPr>
            <w:tcW w:type="pct" w:w="50%"/>
            <w:shd w:fill="F9FAFB"/>
            <w:tcMar>
              <w:top w:type="dxa" w:w="100"/>
              <w:left w:type="dxa" w:w="150"/>
              <w:bottom w:type="dxa" w:w="100"/>
              <w:right w:type="dxa" w:w="150"/>
            </w:tcMar>
          </w:tcPr>
          <w:p>
            <w:pPr>
              <w:spacing w:after="60"/>
            </w:pPr>
            <w:r>
              <w:rPr>
                <w:rFonts w:ascii="Arial" w:cs="Arial" w:eastAsia="Arial" w:hAnsi="Arial"/>
                <w:b/>
                <w:bCs/>
                <w:sz w:val="18"/>
                <w:szCs w:val="18"/>
              </w:rPr>
              <w:t xml:space="preserve">Data sporządzenia: </w:t>
            </w:r>
            <w:r>
              <w:rPr>
                <w:rFonts w:ascii="Arial" w:cs="Arial" w:eastAsia="Arial" w:hAnsi="Arial"/>
                <w:sz w:val="18"/>
                <w:szCs w:val="18"/>
              </w:rPr>
              <w:t xml:space="preserve">16.09.2026</w:t>
            </w:r>
          </w:p>
          <w:p>
            <w:r>
              <w:rPr>
                <w:rFonts w:ascii="Arial" w:cs="Arial" w:eastAsia="Arial" w:hAnsi="Arial"/>
                <w:b/>
                <w:bCs/>
                <w:sz w:val="18"/>
                <w:szCs w:val="18"/>
              </w:rPr>
              <w:t xml:space="preserve">Aktualizacja: </w:t>
            </w:r>
            <w:r>
              <w:rPr>
                <w:rFonts w:ascii="Arial" w:cs="Arial" w:eastAsia="Arial" w:hAnsi="Arial"/>
                <w:sz w:val="18"/>
                <w:szCs w:val="18"/>
              </w:rPr>
              <w:t xml:space="preserve">Nie dotyczy</w:t>
            </w:r>
          </w:p>
        </w:tc>
        <w:tc>
          <w:tcPr>
            <w:tcW w:type="pct" w:w="50%"/>
            <w:shd w:fill="F9FAFB"/>
            <w:tcMar>
              <w:top w:type="dxa" w:w="100"/>
              <w:left w:type="dxa" w:w="150"/>
              <w:bottom w:type="dxa" w:w="100"/>
              <w:right w:type="dxa" w:w="150"/>
            </w:tcMar>
          </w:tcPr>
          <w:p>
            <w:pPr>
              <w:spacing w:after="60"/>
            </w:pPr>
            <w:r>
              <w:rPr>
                <w:rFonts w:ascii="Arial" w:cs="Arial" w:eastAsia="Arial" w:hAnsi="Arial"/>
                <w:b/>
                <w:bCs/>
                <w:sz w:val="18"/>
                <w:szCs w:val="18"/>
              </w:rPr>
              <w:t xml:space="preserve">Wersja: </w:t>
            </w:r>
            <w:r>
              <w:rPr>
                <w:rFonts w:ascii="Arial" w:cs="Arial" w:eastAsia="Arial" w:hAnsi="Arial"/>
                <w:sz w:val="18"/>
                <w:szCs w:val="18"/>
              </w:rPr>
              <w:t xml:space="preserve">1.0 PL</w:t>
            </w:r>
          </w:p>
          <w:p>
            <w:r>
              <w:rPr>
                <w:rFonts w:ascii="Arial" w:cs="Arial" w:eastAsia="Arial" w:hAnsi="Arial"/>
                <w:b/>
                <w:bCs/>
                <w:sz w:val="18"/>
                <w:szCs w:val="18"/>
              </w:rPr>
              <w:t xml:space="preserve">Zastępuje wersję: </w:t>
            </w:r>
            <w:r>
              <w:rPr>
                <w:rFonts w:ascii="Arial" w:cs="Arial" w:eastAsia="Arial" w:hAnsi="Arial"/>
                <w:sz w:val="18"/>
                <w:szCs w:val="18"/>
              </w:rPr>
              <w:t xml:space="preserve">Brak (wydanie pierwsze w języku polskim, opracowane na podstawie SDS producenta z dnia 05.12.2024 r.)</w:t>
            </w:r>
          </w:p>
        </w:tc>
      </w:tr>
    </w:tbl>
    <w:p>
      <w:pPr>
        <w:spacing w:after="200"/>
      </w:pPr>
    </w:p>
    <w:p>
      <w:pPr>
        <w:pBdr>
          <w:bottom w:color="00A651" w:sz="12" w:space="1"/>
        </w:pBdr>
        <w:spacing w:after="150" w:before="300"/>
      </w:pPr>
      <w:r>
        <w:rPr>
          <w:b/>
          <w:bCs/>
          <w:sz w:val="22"/>
          <w:szCs w:val="22"/>
        </w:rPr>
        <w:t xml:space="preserve">SEKCJA 1: IDENTYFIKACJA SUBSTANCJI/MIESZANINY I IDENTYFIKACJA PRZEDSIĘBIORSTWA</w:t>
      </w:r>
    </w:p>
    <w:p>
      <w:pPr>
        <w:spacing w:after="100" w:before="200"/>
      </w:pPr>
      <w:r>
        <w:rPr>
          <w:rFonts w:ascii="Arial" w:cs="Arial" w:eastAsia="Arial" w:hAnsi="Arial"/>
          <w:b/>
          <w:bCs/>
          <w:sz w:val="20"/>
          <w:szCs w:val="20"/>
        </w:rPr>
        <w:t xml:space="preserve">1.1. Identyfikator produktu</w:t>
      </w:r>
    </w:p>
    <w:p>
      <w:pPr>
        <w:spacing w:after="80" w:before="80"/>
      </w:pPr>
      <w:r>
        <w:rPr>
          <w:rFonts w:ascii="Arial" w:cs="Arial" w:eastAsia="Arial" w:hAnsi="Arial"/>
          <w:b/>
          <w:bCs/>
          <w:sz w:val="20"/>
          <w:szCs w:val="20"/>
        </w:rPr>
        <w:t xml:space="preserve">Nazwa handlowa:</w:t>
      </w:r>
      <w:r>
        <w:rPr>
          <w:rFonts w:ascii="Arial" w:cs="Arial" w:eastAsia="Arial" w:hAnsi="Arial"/>
          <w:sz w:val="20"/>
          <w:szCs w:val="20"/>
        </w:rPr>
        <w:t xml:space="preserve"> SWEET HOME - PROFUMATORE AMBIENTE TALCO</w:t>
      </w:r>
    </w:p>
    <w:p>
      <w:pPr>
        <w:spacing w:after="80" w:before="80"/>
      </w:pPr>
      <w:r>
        <w:rPr>
          <w:rFonts w:ascii="Arial" w:cs="Arial" w:eastAsia="Arial" w:hAnsi="Arial"/>
          <w:b/>
          <w:bCs/>
          <w:sz w:val="20"/>
          <w:szCs w:val="20"/>
        </w:rPr>
        <w:t xml:space="preserve">Kod produktu:</w:t>
      </w:r>
      <w:r>
        <w:rPr>
          <w:rFonts w:ascii="Arial" w:cs="Arial" w:eastAsia="Arial" w:hAnsi="Arial"/>
          <w:sz w:val="20"/>
          <w:szCs w:val="20"/>
        </w:rPr>
        <w:t xml:space="preserve"> BLK0039-2</w:t>
      </w:r>
    </w:p>
    <w:p>
      <w:pPr>
        <w:spacing w:after="80" w:before="80"/>
      </w:pPr>
      <w:r>
        <w:rPr>
          <w:rFonts w:ascii="Arial" w:cs="Arial" w:eastAsia="Arial" w:hAnsi="Arial"/>
          <w:b/>
          <w:bCs/>
          <w:sz w:val="20"/>
          <w:szCs w:val="20"/>
        </w:rPr>
        <w:t xml:space="preserve">UFI:</w:t>
      </w:r>
      <w:r>
        <w:rPr>
          <w:rFonts w:ascii="Arial" w:cs="Arial" w:eastAsia="Arial" w:hAnsi="Arial"/>
          <w:sz w:val="20"/>
          <w:szCs w:val="20"/>
        </w:rPr>
        <w:t xml:space="preserve"> 6Q0C-W3XS-XX0U-F315</w:t>
      </w:r>
    </w:p>
    <w:p>
      <w:pPr>
        <w:spacing w:after="100" w:before="200"/>
      </w:pPr>
      <w:r>
        <w:rPr>
          <w:rFonts w:ascii="Arial" w:cs="Arial" w:eastAsia="Arial" w:hAnsi="Arial"/>
          <w:b/>
          <w:bCs/>
          <w:sz w:val="20"/>
          <w:szCs w:val="20"/>
        </w:rPr>
        <w:t xml:space="preserve">1.2. Istotne zidentyfikowane zastosowania substancji lub mieszaniny oraz zastosowania odradzane</w:t>
      </w:r>
    </w:p>
    <w:p>
      <w:pPr>
        <w:spacing w:after="80"/>
      </w:pPr>
      <w:r>
        <w:rPr>
          <w:rFonts w:ascii="Arial" w:cs="Arial" w:eastAsia="Arial" w:hAnsi="Arial"/>
          <w:sz w:val="20"/>
          <w:szCs w:val="20"/>
        </w:rPr>
        <w:t xml:space="preserve">Zastosowanie: Odświeżacz powietrza (dyfuzor zapachowy).</w:t>
      </w:r>
    </w:p>
    <w:p>
      <w:pPr>
        <w:spacing w:after="80" w:before="80"/>
      </w:pPr>
      <w:r>
        <w:rPr>
          <w:rFonts w:ascii="Arial" w:cs="Arial" w:eastAsia="Arial" w:hAnsi="Arial"/>
          <w:b/>
          <w:bCs/>
          <w:sz w:val="20"/>
          <w:szCs w:val="20"/>
        </w:rPr>
        <w:t xml:space="preserve">Zastosowania odradzane:</w:t>
      </w:r>
      <w:r>
        <w:rPr>
          <w:rFonts w:ascii="Arial" w:cs="Arial" w:eastAsia="Arial" w:hAnsi="Arial"/>
          <w:sz w:val="20"/>
          <w:szCs w:val="20"/>
        </w:rPr>
        <w:t xml:space="preserve"> Brak.</w:t>
      </w:r>
    </w:p>
    <w:p>
      <w:pPr>
        <w:spacing w:after="100" w:before="200"/>
      </w:pPr>
      <w:r>
        <w:rPr>
          <w:rFonts w:ascii="Arial" w:cs="Arial" w:eastAsia="Arial" w:hAnsi="Arial"/>
          <w:b/>
          <w:bCs/>
          <w:sz w:val="20"/>
          <w:szCs w:val="20"/>
        </w:rPr>
        <w:t xml:space="preserve">1.3. Dane dotyczące dostawcy karty charakterystyki</w:t>
      </w:r>
    </w:p>
    <w:p>
      <w:pPr>
        <w:spacing w:after="80" w:before="80"/>
      </w:pPr>
      <w:r>
        <w:rPr>
          <w:rFonts w:ascii="Arial" w:cs="Arial" w:eastAsia="Arial" w:hAnsi="Arial"/>
          <w:b/>
          <w:bCs/>
          <w:sz w:val="20"/>
          <w:szCs w:val="20"/>
        </w:rPr>
        <w:t xml:space="preserve">Firma:</w:t>
      </w:r>
      <w:r>
        <w:rPr>
          <w:rFonts w:ascii="Arial" w:cs="Arial" w:eastAsia="Arial" w:hAnsi="Arial"/>
          <w:sz w:val="20"/>
          <w:szCs w:val="20"/>
        </w:rPr>
        <w:t xml:space="preserve"> ITALLUX Sp. z o.o.</w:t>
      </w:r>
    </w:p>
    <w:p>
      <w:pPr>
        <w:spacing w:after="80" w:before="80"/>
      </w:pPr>
      <w:r>
        <w:rPr>
          <w:rFonts w:ascii="Arial" w:cs="Arial" w:eastAsia="Arial" w:hAnsi="Arial"/>
          <w:b/>
          <w:bCs/>
          <w:sz w:val="20"/>
          <w:szCs w:val="20"/>
        </w:rPr>
        <w:t xml:space="preserve">Adres:</w:t>
      </w:r>
      <w:r>
        <w:rPr>
          <w:rFonts w:ascii="Arial" w:cs="Arial" w:eastAsia="Arial" w:hAnsi="Arial"/>
          <w:sz w:val="20"/>
          <w:szCs w:val="20"/>
        </w:rPr>
        <w:t xml:space="preserve"> ul. Wesoła 16, 63-600 Kępno</w:t>
      </w:r>
    </w:p>
    <w:p>
      <w:pPr>
        <w:spacing w:after="80" w:before="80"/>
      </w:pPr>
      <w:r>
        <w:rPr>
          <w:rFonts w:ascii="Arial" w:cs="Arial" w:eastAsia="Arial" w:hAnsi="Arial"/>
          <w:b/>
          <w:bCs/>
          <w:sz w:val="20"/>
          <w:szCs w:val="20"/>
        </w:rPr>
        <w:t xml:space="preserve">Strona www:</w:t>
      </w:r>
      <w:r>
        <w:rPr>
          <w:rFonts w:ascii="Arial" w:cs="Arial" w:eastAsia="Arial" w:hAnsi="Arial"/>
          <w:sz w:val="20"/>
          <w:szCs w:val="20"/>
        </w:rPr>
        <w:t xml:space="preserve"> www.prostozwloch.com.pl</w:t>
      </w:r>
    </w:p>
    <w:p>
      <w:pPr>
        <w:spacing w:after="80" w:before="80"/>
      </w:pPr>
      <w:r>
        <w:rPr>
          <w:rFonts w:ascii="Arial" w:cs="Arial" w:eastAsia="Arial" w:hAnsi="Arial"/>
          <w:b/>
          <w:bCs/>
          <w:sz w:val="20"/>
          <w:szCs w:val="20"/>
        </w:rPr>
        <w:t xml:space="preserve">E-mail:</w:t>
      </w:r>
      <w:r>
        <w:rPr>
          <w:rFonts w:ascii="Arial" w:cs="Arial" w:eastAsia="Arial" w:hAnsi="Arial"/>
          <w:sz w:val="20"/>
          <w:szCs w:val="20"/>
        </w:rPr>
        <w:t xml:space="preserve"> kontakt@prostozwloch.com.pl</w:t>
      </w:r>
    </w:p>
    <w:p>
      <w:pPr>
        <w:spacing w:after="80" w:before="80"/>
      </w:pPr>
      <w:r>
        <w:rPr>
          <w:rFonts w:ascii="Arial" w:cs="Arial" w:eastAsia="Arial" w:hAnsi="Arial"/>
          <w:b/>
          <w:bCs/>
          <w:sz w:val="20"/>
          <w:szCs w:val="20"/>
        </w:rPr>
        <w:t xml:space="preserve">Telefon:</w:t>
      </w:r>
      <w:r>
        <w:rPr>
          <w:rFonts w:ascii="Arial" w:cs="Arial" w:eastAsia="Arial" w:hAnsi="Arial"/>
          <w:sz w:val="20"/>
          <w:szCs w:val="20"/>
        </w:rPr>
        <w:t xml:space="preserve"> +48 663116607</w:t>
      </w:r>
    </w:p>
    <w:p>
      <w:pPr>
        <w:spacing w:after="100" w:before="200"/>
      </w:pPr>
      <w:r>
        <w:rPr>
          <w:rFonts w:ascii="Arial" w:cs="Arial" w:eastAsia="Arial" w:hAnsi="Arial"/>
          <w:b/>
          <w:bCs/>
          <w:sz w:val="20"/>
          <w:szCs w:val="20"/>
        </w:rPr>
        <w:t xml:space="preserve">1.4. Numer telefonu alarmowego</w:t>
      </w:r>
    </w:p>
    <w:p>
      <w:pPr>
        <w:spacing w:after="80" w:before="80"/>
      </w:pPr>
      <w:r>
        <w:rPr>
          <w:rFonts w:ascii="Arial" w:cs="Arial" w:eastAsia="Arial" w:hAnsi="Arial"/>
          <w:b/>
          <w:bCs/>
          <w:sz w:val="20"/>
          <w:szCs w:val="20"/>
        </w:rPr>
        <w:t xml:space="preserve">Telefon alarmowy przedsiębiorstwa:</w:t>
      </w:r>
      <w:r>
        <w:rPr>
          <w:rFonts w:ascii="Arial" w:cs="Arial" w:eastAsia="Arial" w:hAnsi="Arial"/>
          <w:sz w:val="20"/>
          <w:szCs w:val="20"/>
        </w:rPr>
        <w:t xml:space="preserve"> +48 663116607 (czynny od poniedziałku do piątku w godzinach 8:00 – 16:00, informacja udzielana w języku polskim)</w:t>
      </w:r>
    </w:p>
    <w:p>
      <w:pPr>
        <w:spacing w:after="80" w:before="150"/>
      </w:pPr>
      <w:r>
        <w:rPr>
          <w:rFonts w:ascii="Arial" w:cs="Arial" w:eastAsia="Arial" w:hAnsi="Arial"/>
          <w:b/>
          <w:bCs/>
          <w:sz w:val="20"/>
          <w:szCs w:val="20"/>
        </w:rPr>
        <w:t xml:space="preserve">Informacja toksykologiczna w Polsce (organ doradczy):</w:t>
      </w:r>
    </w:p>
    <w:p>
      <w:pPr>
        <w:spacing w:after="80" w:before="80"/>
      </w:pPr>
      <w:r>
        <w:rPr>
          <w:rFonts w:ascii="Arial" w:cs="Arial" w:eastAsia="Arial" w:hAnsi="Arial"/>
          <w:b/>
          <w:bCs/>
          <w:sz w:val="20"/>
          <w:szCs w:val="20"/>
        </w:rPr>
        <w:t xml:space="preserve">Krajowe Centrum Informacji Toksykologicznej (Instytut Medycyny Pracy im. prof. J. Nofera w Łodzi):</w:t>
      </w:r>
      <w:r>
        <w:rPr>
          <w:rFonts w:ascii="Arial" w:cs="Arial" w:eastAsia="Arial" w:hAnsi="Arial"/>
          <w:sz w:val="20"/>
          <w:szCs w:val="20"/>
        </w:rPr>
        <w:t xml:space="preserve"> tel. +48 42 631 47 24, +48 42 631 47 25 (czynne w dni robocze w godz. 7:00 – 15:00)</w:t>
      </w:r>
    </w:p>
    <w:p>
      <w:pPr>
        <w:spacing w:after="80" w:before="80"/>
      </w:pPr>
      <w:r>
        <w:rPr>
          <w:rFonts w:ascii="Arial" w:cs="Arial" w:eastAsia="Arial" w:hAnsi="Arial"/>
          <w:b/>
          <w:bCs/>
          <w:sz w:val="20"/>
          <w:szCs w:val="20"/>
        </w:rPr>
        <w:t xml:space="preserve">Ośrodek Informacji Toksykologicznej w Warszawie (całodobowa informacja toksykologiczna 24/7):</w:t>
      </w:r>
      <w:r>
        <w:rPr>
          <w:rFonts w:ascii="Arial" w:cs="Arial" w:eastAsia="Arial" w:hAnsi="Arial"/>
          <w:sz w:val="20"/>
          <w:szCs w:val="20"/>
        </w:rPr>
        <w:t xml:space="preserve"> tel. +48 22 619 66 54</w:t>
      </w:r>
    </w:p>
    <w:p>
      <w:pPr>
        <w:spacing w:after="80" w:before="80"/>
      </w:pPr>
      <w:r>
        <w:rPr>
          <w:rFonts w:ascii="Arial" w:cs="Arial" w:eastAsia="Arial" w:hAnsi="Arial"/>
          <w:b/>
          <w:bCs/>
          <w:sz w:val="20"/>
          <w:szCs w:val="20"/>
        </w:rPr>
        <w:t xml:space="preserve">Ogólne telefony ratunkowe w nagłych wypadkach:</w:t>
      </w:r>
      <w:r>
        <w:rPr>
          <w:rFonts w:ascii="Arial" w:cs="Arial" w:eastAsia="Arial" w:hAnsi="Arial"/>
          <w:sz w:val="20"/>
          <w:szCs w:val="20"/>
        </w:rPr>
        <w:t xml:space="preserve"> 112 (ogólnoeuropejski numer alarmowy), 998 (straż pożarna), 999 (pogotowie ratunkowe)</w:t>
      </w:r>
    </w:p>
    <w:p>
      <w:pPr>
        <w:pBdr>
          <w:bottom w:color="00A651" w:sz="12" w:space="1"/>
        </w:pBdr>
        <w:spacing w:after="150" w:before="300"/>
      </w:pPr>
      <w:r>
        <w:rPr>
          <w:b/>
          <w:bCs/>
          <w:sz w:val="22"/>
          <w:szCs w:val="22"/>
        </w:rPr>
        <w:t xml:space="preserve">SEKCJA 2: IDENTYFIKACJA ZAGROŻEŃ</w:t>
      </w:r>
    </w:p>
    <w:p>
      <w:pPr>
        <w:spacing w:after="100" w:before="200"/>
      </w:pPr>
      <w:r>
        <w:rPr>
          <w:rFonts w:ascii="Arial" w:cs="Arial" w:eastAsia="Arial" w:hAnsi="Arial"/>
          <w:b/>
          <w:bCs/>
          <w:sz w:val="20"/>
          <w:szCs w:val="20"/>
        </w:rPr>
        <w:t xml:space="preserve">2.1. Klasyfikacja substancji lub mieszaniny</w:t>
      </w:r>
    </w:p>
    <w:p>
      <w:pPr>
        <w:spacing w:after="80"/>
      </w:pPr>
      <w:r>
        <w:rPr>
          <w:rFonts w:ascii="Arial" w:cs="Arial" w:eastAsia="Arial" w:hAnsi="Arial"/>
          <w:sz w:val="20"/>
          <w:szCs w:val="20"/>
        </w:rPr>
        <w:t xml:space="preserve">Flam. Liq. 2 (Substancja ciekła łatwopalna, kategoria 2)</w:t>
      </w:r>
    </w:p>
    <w:p>
      <w:pPr>
        <w:spacing w:after="80"/>
      </w:pPr>
      <w:r>
        <w:rPr>
          <w:rFonts w:ascii="Arial" w:cs="Arial" w:eastAsia="Arial" w:hAnsi="Arial"/>
          <w:sz w:val="20"/>
          <w:szCs w:val="20"/>
        </w:rPr>
        <w:t xml:space="preserve">H225 Wysoce łatwopalna ciecz i pary.</w:t>
      </w:r>
    </w:p>
    <w:p>
      <w:pPr>
        <w:spacing w:after="80"/>
      </w:pPr>
      <w:r>
        <w:rPr>
          <w:rFonts w:ascii="Arial" w:cs="Arial" w:eastAsia="Arial" w:hAnsi="Arial"/>
          <w:sz w:val="20"/>
          <w:szCs w:val="20"/>
        </w:rPr>
        <w:t xml:space="preserve">Eye Irrit. 2 (Działanie drażniące na oczy, kategoria 2)</w:t>
      </w:r>
    </w:p>
    <w:p>
      <w:pPr>
        <w:spacing w:after="80"/>
      </w:pPr>
      <w:r>
        <w:rPr>
          <w:rFonts w:ascii="Arial" w:cs="Arial" w:eastAsia="Arial" w:hAnsi="Arial"/>
          <w:sz w:val="20"/>
          <w:szCs w:val="20"/>
        </w:rPr>
        <w:t xml:space="preserve">H319 Działa drażniąco na oczy.</w:t>
      </w:r>
    </w:p>
    <w:p>
      <w:pPr>
        <w:spacing w:after="80"/>
      </w:pPr>
      <w:r>
        <w:rPr>
          <w:rFonts w:ascii="Arial" w:cs="Arial" w:eastAsia="Arial" w:hAnsi="Arial"/>
          <w:sz w:val="20"/>
          <w:szCs w:val="20"/>
        </w:rPr>
        <w:t xml:space="preserve">Aquatic Chronic 3 (Stwarzające zagrożenie dla środowiska wodnego – kategoria przewlekła 3)</w:t>
      </w:r>
    </w:p>
    <w:p>
      <w:pPr>
        <w:spacing w:after="80"/>
      </w:pPr>
      <w:r>
        <w:rPr>
          <w:rFonts w:ascii="Arial" w:cs="Arial" w:eastAsia="Arial" w:hAnsi="Arial"/>
          <w:sz w:val="20"/>
          <w:szCs w:val="20"/>
        </w:rPr>
        <w:t xml:space="preserve">H412 Działa szkodliwie na organizmy wodne, powodując długotrwałe skutki.</w:t>
      </w:r>
    </w:p>
    <w:p>
      <w:pPr>
        <w:spacing w:after="100" w:before="200"/>
      </w:pPr>
      <w:r>
        <w:rPr>
          <w:rFonts w:ascii="Arial" w:cs="Arial" w:eastAsia="Arial" w:hAnsi="Arial"/>
          <w:b/>
          <w:bCs/>
          <w:sz w:val="20"/>
          <w:szCs w:val="20"/>
        </w:rPr>
        <w:t xml:space="preserve">2.2. Elementy oznakowania</w:t>
      </w:r>
    </w:p>
    <w:p>
      <w:pPr>
        <w:spacing w:after="80" w:before="150"/>
      </w:pPr>
      <w:r>
        <w:rPr>
          <w:rFonts w:ascii="Arial" w:cs="Arial" w:eastAsia="Arial" w:hAnsi="Arial"/>
          <w:b/>
          <w:bCs/>
          <w:sz w:val="20"/>
          <w:szCs w:val="20"/>
        </w:rPr>
        <w:t xml:space="preserve">Piktogramy określające rodzaj zagrożenia:</w:t>
      </w:r>
    </w:p>
    <w:p>
      <w:pPr>
        <w:spacing w:after="100" w:before="60"/>
      </w:pPr>
      <w:r>
        <w:drawing>
          <wp:inline distT="0" distB="0" distL="0" distR="0">
            <wp:extent cx="714375"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14375" cy="714375"/>
                    </a:xfrm>
                    <a:prstGeom prst="rect">
                      <a:avLst/>
                    </a:prstGeom>
                  </pic:spPr>
                </pic:pic>
              </a:graphicData>
            </a:graphic>
          </wp:inline>
        </w:drawing>
      </w:r>
      <w:r>
        <w:drawing>
          <wp:inline distT="0" distB="0" distL="0" distR="0">
            <wp:extent cx="714375"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14375" cy="714375"/>
                    </a:xfrm>
                    <a:prstGeom prst="rect">
                      <a:avLst/>
                    </a:prstGeom>
                  </pic:spPr>
                </pic:pic>
              </a:graphicData>
            </a:graphic>
          </wp:inline>
        </w:drawing>
      </w:r>
    </w:p>
    <w:p>
      <w:pPr>
        <w:spacing w:after="80"/>
      </w:pPr>
      <w:r>
        <w:rPr>
          <w:rFonts w:ascii="Arial" w:cs="Arial" w:eastAsia="Arial" w:hAnsi="Arial"/>
          <w:sz w:val="20"/>
          <w:szCs w:val="20"/>
        </w:rPr>
        <w:t xml:space="preserve">GHS02, GHS07</w:t>
      </w:r>
    </w:p>
    <w:p>
      <w:pPr>
        <w:spacing w:after="80" w:before="80"/>
      </w:pPr>
      <w:r>
        <w:rPr>
          <w:rFonts w:ascii="Arial" w:cs="Arial" w:eastAsia="Arial" w:hAnsi="Arial"/>
          <w:b/>
          <w:bCs/>
          <w:sz w:val="20"/>
          <w:szCs w:val="20"/>
        </w:rPr>
        <w:t xml:space="preserve">Hasło ostrzegawcze:</w:t>
      </w:r>
      <w:r>
        <w:rPr>
          <w:rFonts w:ascii="Arial" w:cs="Arial" w:eastAsia="Arial" w:hAnsi="Arial"/>
          <w:sz w:val="20"/>
          <w:szCs w:val="20"/>
        </w:rPr>
        <w:t xml:space="preserve"/>
      </w:r>
    </w:p>
    <w:p>
      <w:pPr>
        <w:spacing w:after="80"/>
      </w:pPr>
      <w:r>
        <w:rPr>
          <w:rFonts w:ascii="Arial" w:cs="Arial" w:eastAsia="Arial" w:hAnsi="Arial"/>
          <w:sz w:val="20"/>
          <w:szCs w:val="20"/>
        </w:rPr>
        <w:t xml:space="preserve">Niebezpieczeństwo</w:t>
      </w:r>
    </w:p>
    <w:p>
      <w:pPr>
        <w:spacing w:after="80"/>
      </w:pPr>
      <w:r>
        <w:rPr>
          <w:rFonts w:ascii="Arial" w:cs="Arial" w:eastAsia="Arial" w:hAnsi="Arial"/>
          <w:sz w:val="20"/>
          <w:szCs w:val="20"/>
        </w:rPr>
        <w:t xml:space="preserve">Nazwy niebezpiecznych substancji wymienione na etykiecie:</w:t>
      </w:r>
    </w:p>
    <w:p>
      <w:pPr>
        <w:spacing w:after="80"/>
      </w:pPr>
      <w:r>
        <w:rPr>
          <w:rFonts w:ascii="Arial" w:cs="Arial" w:eastAsia="Arial" w:hAnsi="Arial"/>
          <w:sz w:val="20"/>
          <w:szCs w:val="20"/>
        </w:rPr>
        <w:t xml:space="preserve">etanol</w:t>
      </w:r>
    </w:p>
    <w:p>
      <w:pPr>
        <w:spacing w:after="80"/>
      </w:pPr>
      <w:r>
        <w:rPr>
          <w:rFonts w:ascii="Arial" w:cs="Arial" w:eastAsia="Arial" w:hAnsi="Arial"/>
          <w:sz w:val="20"/>
          <w:szCs w:val="20"/>
        </w:rPr>
        <w:t xml:space="preserve">Zwroty wskazujące rodzaj zagrożenia:</w:t>
      </w:r>
    </w:p>
    <w:p>
      <w:pPr>
        <w:spacing w:after="80"/>
      </w:pPr>
      <w:r>
        <w:rPr>
          <w:rFonts w:ascii="Arial" w:cs="Arial" w:eastAsia="Arial" w:hAnsi="Arial"/>
          <w:sz w:val="20"/>
          <w:szCs w:val="20"/>
        </w:rPr>
        <w:t xml:space="preserve">H225 Wysoce łatwopalna ciecz i pary.</w:t>
      </w:r>
    </w:p>
    <w:p>
      <w:pPr>
        <w:spacing w:after="80"/>
      </w:pPr>
      <w:r>
        <w:rPr>
          <w:rFonts w:ascii="Arial" w:cs="Arial" w:eastAsia="Arial" w:hAnsi="Arial"/>
          <w:sz w:val="20"/>
          <w:szCs w:val="20"/>
        </w:rPr>
        <w:t xml:space="preserve">H319 Działa drażniąco na oczy.</w:t>
      </w:r>
    </w:p>
    <w:p>
      <w:pPr>
        <w:spacing w:after="80"/>
      </w:pPr>
      <w:r>
        <w:rPr>
          <w:rFonts w:ascii="Arial" w:cs="Arial" w:eastAsia="Arial" w:hAnsi="Arial"/>
          <w:sz w:val="20"/>
          <w:szCs w:val="20"/>
        </w:rPr>
        <w:t xml:space="preserve">H412 Działa szkodliwie na organizmy wodne, powodując długotrwałe skutki.</w:t>
      </w:r>
    </w:p>
    <w:p>
      <w:pPr>
        <w:spacing w:after="80"/>
      </w:pPr>
      <w:r>
        <w:rPr>
          <w:rFonts w:ascii="Arial" w:cs="Arial" w:eastAsia="Arial" w:hAnsi="Arial"/>
          <w:sz w:val="20"/>
          <w:szCs w:val="20"/>
        </w:rPr>
        <w:t xml:space="preserve">Zwroty wskazujące środki ostrożności:</w:t>
      </w:r>
    </w:p>
    <w:p>
      <w:pPr>
        <w:spacing w:after="80"/>
      </w:pPr>
      <w:r>
        <w:rPr>
          <w:rFonts w:ascii="Arial" w:cs="Arial" w:eastAsia="Arial" w:hAnsi="Arial"/>
          <w:sz w:val="20"/>
          <w:szCs w:val="20"/>
        </w:rPr>
        <w:t xml:space="preserve">P101 W razie konieczności zasięgnięcia porady lekarza należy pokazać pojemnik lub etykietę.</w:t>
      </w:r>
    </w:p>
    <w:p>
      <w:pPr>
        <w:spacing w:after="80"/>
      </w:pPr>
      <w:r>
        <w:rPr>
          <w:rFonts w:ascii="Arial" w:cs="Arial" w:eastAsia="Arial" w:hAnsi="Arial"/>
          <w:sz w:val="20"/>
          <w:szCs w:val="20"/>
        </w:rPr>
        <w:t xml:space="preserve">P102 Chronić przed dziećmi.</w:t>
      </w:r>
    </w:p>
    <w:p>
      <w:pPr>
        <w:spacing w:after="80"/>
      </w:pPr>
      <w:r>
        <w:rPr>
          <w:rFonts w:ascii="Arial" w:cs="Arial" w:eastAsia="Arial" w:hAnsi="Arial"/>
          <w:sz w:val="20"/>
          <w:szCs w:val="20"/>
        </w:rPr>
        <w:t xml:space="preserve">P210 Przechowywać z dala od źródeł ciepła, gorących powierzchni, źródeł iskrzenia, otwartego ognia i innych źródeł zapłonu. Nie palić.</w:t>
      </w:r>
    </w:p>
    <w:p>
      <w:pPr>
        <w:spacing w:after="80"/>
      </w:pPr>
      <w:r>
        <w:rPr>
          <w:rFonts w:ascii="Arial" w:cs="Arial" w:eastAsia="Arial" w:hAnsi="Arial"/>
          <w:sz w:val="20"/>
          <w:szCs w:val="20"/>
        </w:rPr>
        <w:t xml:space="preserve">P305+P351+P338 W PRZYPADKU DOSTANIA SIĘ DO OCZU: Ostrożnie płukać wodą przez kilka minut. Wyjąć soczewki kontaktowe, jeżeli są i można je łatwo usunąć. Nadal płukać.</w:t>
      </w:r>
    </w:p>
    <w:p>
      <w:pPr>
        <w:spacing w:after="80"/>
      </w:pPr>
      <w:r>
        <w:rPr>
          <w:rFonts w:ascii="Arial" w:cs="Arial" w:eastAsia="Arial" w:hAnsi="Arial"/>
          <w:sz w:val="20"/>
          <w:szCs w:val="20"/>
        </w:rPr>
        <w:t xml:space="preserve">P337+P313 W przypadku utrzymywania się działania drażniącego na oczy: Zasięgnąć porady/zgłosić się pod opiekę lekarza.</w:t>
      </w:r>
    </w:p>
    <w:p>
      <w:pPr>
        <w:spacing w:after="80"/>
      </w:pPr>
      <w:r>
        <w:rPr>
          <w:rFonts w:ascii="Arial" w:cs="Arial" w:eastAsia="Arial" w:hAnsi="Arial"/>
          <w:sz w:val="20"/>
          <w:szCs w:val="20"/>
        </w:rPr>
        <w:t xml:space="preserve">P501 Zawartość/pojemnik usuwać do odpowiednio oznakowanych pojemników na odpady zgodnie z krajowymi przepisami.</w:t>
      </w:r>
    </w:p>
    <w:p>
      <w:pPr>
        <w:spacing w:after="80"/>
      </w:pPr>
      <w:r>
        <w:rPr>
          <w:rFonts w:ascii="Arial" w:cs="Arial" w:eastAsia="Arial" w:hAnsi="Arial"/>
          <w:sz w:val="20"/>
          <w:szCs w:val="20"/>
        </w:rPr>
        <w:t xml:space="preserve">Informacje uzupełniające:</w:t>
      </w:r>
    </w:p>
    <w:p>
      <w:pPr>
        <w:spacing w:after="80"/>
      </w:pPr>
      <w:r>
        <w:rPr>
          <w:rFonts w:ascii="Arial" w:cs="Arial" w:eastAsia="Arial" w:hAnsi="Arial"/>
          <w:sz w:val="20"/>
          <w:szCs w:val="20"/>
        </w:rPr>
        <w:t xml:space="preserve">EUH208 Zawiera hydroksycytronellal, kumarynę (2H-chromen-2-on), salicylan benzylu. Może powodować wystąpienie reakcji alergicznej.</w:t>
      </w:r>
    </w:p>
    <w:p>
      <w:pPr>
        <w:spacing w:after="100" w:before="200"/>
      </w:pPr>
      <w:r>
        <w:rPr>
          <w:rFonts w:ascii="Arial" w:cs="Arial" w:eastAsia="Arial" w:hAnsi="Arial"/>
          <w:b/>
          <w:bCs/>
          <w:sz w:val="20"/>
          <w:szCs w:val="20"/>
        </w:rPr>
        <w:t xml:space="preserve">2.3. Inne zagrożenia</w:t>
      </w:r>
    </w:p>
    <w:p>
      <w:pPr>
        <w:spacing w:after="80"/>
      </w:pPr>
      <w:r>
        <w:rPr>
          <w:rFonts w:ascii="Arial" w:cs="Arial" w:eastAsia="Arial" w:hAnsi="Arial"/>
          <w:sz w:val="20"/>
          <w:szCs w:val="20"/>
        </w:rPr>
        <w:t xml:space="preserve">Substancje zaburzające funkcjonowanie układu hormonalnego: Produkt zawiera galaksolid (1,3,4,6,7,8-heksahydro-4,6,6,7,8,8-heksametyloindeno[5,6-c]piran) (CAS: 1222-05-5) podlegający ocenie pod kątem właściwości zaburzających funkcjonowanie układu hormonalnego w odniesieniu do środowiska zgodnie z kryteriami określonymi w rozporządzeniu (UE) 2017/2100 lub rozporządzeniu (UE) 2018/605 (szczegółowe dane w sekcji 12.6).</w:t>
      </w:r>
    </w:p>
    <w:p>
      <w:pPr>
        <w:spacing w:after="80"/>
      </w:pPr>
      <w:r>
        <w:rPr>
          <w:rFonts w:ascii="Arial" w:cs="Arial" w:eastAsia="Arial" w:hAnsi="Arial"/>
          <w:sz w:val="20"/>
          <w:szCs w:val="20"/>
        </w:rPr>
        <w:t xml:space="preserve">Komponenty mieszaniny nie spełniają kryteriów PBT lub vPvB zgodnie z załącznikiem XIII rozporządzenia REACH.</w:t>
      </w:r>
    </w:p>
    <w:p>
      <w:pPr>
        <w:pBdr>
          <w:bottom w:color="00A651" w:sz="12" w:space="1"/>
        </w:pBdr>
        <w:spacing w:after="150" w:before="300"/>
      </w:pPr>
      <w:r>
        <w:rPr>
          <w:b/>
          <w:bCs/>
          <w:sz w:val="22"/>
          <w:szCs w:val="22"/>
        </w:rPr>
        <w:t xml:space="preserve">SEKCJA 3: SKŁAD / INFORMACJA O SKŁADNIKACH</w:t>
      </w:r>
    </w:p>
    <w:p>
      <w:pPr>
        <w:spacing w:after="100" w:before="180"/>
      </w:pPr>
      <w:r>
        <w:rPr>
          <w:rFonts w:ascii="Arial" w:cs="Arial" w:eastAsia="Arial" w:hAnsi="Arial"/>
          <w:b/>
          <w:bCs/>
          <w:sz w:val="20"/>
          <w:szCs w:val="20"/>
        </w:rPr>
        <w:t xml:space="preserve">3.1. Substancje: Nie dotyczy.</w:t>
      </w:r>
    </w:p>
    <w:p>
      <w:pPr>
        <w:spacing w:after="80" w:before="180"/>
      </w:pPr>
      <w:r>
        <w:rPr>
          <w:rFonts w:ascii="Arial" w:cs="Arial" w:eastAsia="Arial" w:hAnsi="Arial"/>
          <w:b/>
          <w:bCs/>
          <w:sz w:val="20"/>
          <w:szCs w:val="20"/>
        </w:rPr>
        <w:t xml:space="preserve">3.2. Mieszaniny</w:t>
      </w:r>
    </w:p>
    <w:p>
      <w:pPr>
        <w:spacing w:after="150"/>
      </w:pPr>
      <w:r>
        <w:rPr>
          <w:rFonts w:ascii="Arial" w:cs="Arial" w:eastAsia="Arial" w:hAnsi="Arial"/>
          <w:sz w:val="20"/>
          <w:szCs w:val="20"/>
        </w:rPr>
        <w:t xml:space="preserve">Opis chemiczny: Mieszanina substancji stwarzających zagrożenie wraz z dodatkami niesklasyfikowanymi.</w:t>
      </w:r>
    </w:p>
    <w:tbl>
      <w:tblPr>
        <w:tblW w:type="dxa" w:w="9600"/>
        <w:tblBorders>
          <w:top w:val="single" w:color="CCCCCC" w:sz="4"/>
          <w:left w:val="single" w:color="CCCCCC" w:sz="4"/>
          <w:bottom w:val="single" w:color="CCCCCC" w:sz="4"/>
          <w:right w:val="single" w:color="CCCCCC" w:sz="4"/>
          <w:insideH w:val="single" w:color="E0E0E0" w:sz="4"/>
          <w:insideV w:val="single" w:color="E0E0E0" w:sz="4"/>
        </w:tblBorders>
      </w:tblPr>
      <w:tblGrid>
        <w:gridCol w:w="100"/>
        <w:gridCol w:w="100"/>
        <w:gridCol w:w="100"/>
        <w:gridCol w:w="100"/>
      </w:tblGrid>
      <w:tr>
        <w:trPr>
          <w:tblHeader/>
        </w:trPr>
        <w:tc>
          <w:tcPr>
            <w:tcW w:type="dxa" w:w="2800"/>
            <w:shd w:fill="F2F4F7"/>
          </w:tcPr>
          <w:p>
            <w:r>
              <w:rPr>
                <w:rFonts w:ascii="Arial" w:cs="Arial" w:eastAsia="Arial" w:hAnsi="Arial"/>
                <w:b/>
                <w:bCs/>
                <w:sz w:val="18"/>
                <w:szCs w:val="18"/>
              </w:rPr>
              <w:t xml:space="preserve">Nazwa substancji</w:t>
            </w:r>
          </w:p>
        </w:tc>
        <w:tc>
          <w:tcPr>
            <w:tcW w:type="dxa" w:w="2600"/>
            <w:shd w:fill="F2F4F7"/>
          </w:tcPr>
          <w:p>
            <w:r>
              <w:rPr>
                <w:rFonts w:ascii="Arial" w:cs="Arial" w:eastAsia="Arial" w:hAnsi="Arial"/>
                <w:b/>
                <w:bCs/>
                <w:sz w:val="18"/>
                <w:szCs w:val="18"/>
              </w:rPr>
              <w:t xml:space="preserve">Identyfikatory</w:t>
            </w:r>
          </w:p>
        </w:tc>
        <w:tc>
          <w:tcPr>
            <w:tcW w:type="dxa" w:w="2800"/>
            <w:shd w:fill="F2F4F7"/>
          </w:tcPr>
          <w:p>
            <w:r>
              <w:rPr>
                <w:rFonts w:ascii="Arial" w:cs="Arial" w:eastAsia="Arial" w:hAnsi="Arial"/>
                <w:b/>
                <w:bCs/>
                <w:sz w:val="18"/>
                <w:szCs w:val="18"/>
              </w:rPr>
              <w:t xml:space="preserve">Klasyfikacja CLP</w:t>
            </w:r>
          </w:p>
        </w:tc>
        <w:tc>
          <w:tcPr>
            <w:tcW w:type="dxa" w:w="1400"/>
            <w:shd w:fill="F2F4F7"/>
          </w:tcPr>
          <w:p>
            <w:r>
              <w:rPr>
                <w:rFonts w:ascii="Arial" w:cs="Arial" w:eastAsia="Arial" w:hAnsi="Arial"/>
                <w:b/>
                <w:bCs/>
                <w:sz w:val="18"/>
                <w:szCs w:val="18"/>
              </w:rPr>
              <w:t xml:space="preserve">Stężenie</w:t>
            </w:r>
          </w:p>
        </w:tc>
      </w:tr>
      <w:tr>
        <w:tc>
          <w:tcPr>
            <w:tcW w:type="dxa" w:w="2800"/>
          </w:tcPr>
          <w:p>
            <w:pPr>
              <w:spacing w:after="40"/>
            </w:pPr>
            <w:r>
              <w:rPr>
                <w:rFonts w:ascii="Arial" w:cs="Arial" w:eastAsia="Arial" w:hAnsi="Arial"/>
                <w:b/>
                <w:bCs/>
                <w:sz w:val="18"/>
                <w:szCs w:val="18"/>
              </w:rPr>
              <w:t xml:space="preserve">etanol</w:t>
            </w:r>
          </w:p>
          <w:p>
            <w:r>
              <w:rPr>
                <w:rFonts w:ascii="Arial" w:cs="Arial" w:eastAsia="Arial" w:hAnsi="Arial"/>
                <w:i/>
                <w:iCs/>
                <w:color w:val="666666"/>
                <w:sz w:val="16"/>
                <w:szCs w:val="16"/>
              </w:rPr>
              <w:t xml:space="preserve">(ang. ETHANOL)</w:t>
            </w:r>
          </w:p>
        </w:tc>
        <w:tc>
          <w:tcPr>
            <w:tcW w:type="dxa" w:w="2600"/>
          </w:tcPr>
          <w:p>
            <w:pPr>
              <w:spacing w:after="40"/>
            </w:pPr>
            <w:r>
              <w:rPr>
                <w:rFonts w:ascii="Arial" w:cs="Arial" w:eastAsia="Arial" w:hAnsi="Arial"/>
                <w:sz w:val="17"/>
                <w:szCs w:val="17"/>
              </w:rPr>
              <w:t xml:space="preserve">Numer CAS: 64-17-5</w:t>
            </w:r>
          </w:p>
          <w:p>
            <w:pPr>
              <w:spacing w:after="40"/>
            </w:pPr>
            <w:r>
              <w:rPr>
                <w:rFonts w:ascii="Arial" w:cs="Arial" w:eastAsia="Arial" w:hAnsi="Arial"/>
                <w:sz w:val="17"/>
                <w:szCs w:val="17"/>
              </w:rPr>
              <w:t xml:space="preserve">Numer WE: 200-578-6</w:t>
            </w:r>
          </w:p>
          <w:p>
            <w:pPr>
              <w:spacing w:after="40"/>
            </w:pPr>
            <w:r>
              <w:rPr>
                <w:rFonts w:ascii="Arial" w:cs="Arial" w:eastAsia="Arial" w:hAnsi="Arial"/>
                <w:sz w:val="17"/>
                <w:szCs w:val="17"/>
              </w:rPr>
              <w:t xml:space="preserve">Numer indeksowy: 603-002-00-5</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01-2119457610-43</w:t>
            </w:r>
          </w:p>
        </w:tc>
        <w:tc>
          <w:tcPr>
            <w:tcW w:type="dxa" w:w="2800"/>
          </w:tcPr>
          <w:p>
            <w:pPr>
              <w:spacing w:after="40"/>
            </w:pPr>
            <w:r>
              <w:rPr>
                <w:rFonts w:ascii="Arial" w:cs="Arial" w:eastAsia="Arial" w:hAnsi="Arial"/>
                <w:sz w:val="17"/>
                <w:szCs w:val="17"/>
              </w:rPr>
              <w:t xml:space="preserve">Flam. Liq. 2 H225, Eye Irrit. 2 H319</w:t>
            </w:r>
          </w:p>
          <w:p>
            <w:pPr>
              <w:spacing w:after="40"/>
            </w:pPr>
            <w:r>
              <w:rPr>
                <w:rFonts w:ascii="Arial" w:cs="Arial" w:eastAsia="Arial" w:hAnsi="Arial"/>
                <w:sz w:val="17"/>
                <w:szCs w:val="17"/>
              </w:rPr>
              <w:t xml:space="preserve">Eye Irrit. 2 H319: ≥ 50%</w:t>
            </w:r>
          </w:p>
        </w:tc>
        <w:tc>
          <w:tcPr>
            <w:tcW w:type="dxa" w:w="1400"/>
          </w:tcPr>
          <w:p>
            <w:r>
              <w:rPr>
                <w:rFonts w:ascii="Arial" w:cs="Arial" w:eastAsia="Arial" w:hAnsi="Arial"/>
                <w:sz w:val="18"/>
                <w:szCs w:val="18"/>
              </w:rPr>
              <w:t xml:space="preserve">74 ≤ x &lt; 78 %</w:t>
            </w:r>
          </w:p>
        </w:tc>
      </w:tr>
      <w:tr>
        <w:tc>
          <w:tcPr>
            <w:tcW w:type="dxa" w:w="2800"/>
          </w:tcPr>
          <w:p>
            <w:pPr>
              <w:spacing w:after="40"/>
            </w:pPr>
            <w:r>
              <w:rPr>
                <w:rFonts w:ascii="Arial" w:cs="Arial" w:eastAsia="Arial" w:hAnsi="Arial"/>
                <w:b/>
                <w:bCs/>
                <w:sz w:val="18"/>
                <w:szCs w:val="18"/>
              </w:rPr>
              <w:t xml:space="preserve">salicylan benzylu</w:t>
            </w:r>
          </w:p>
          <w:p>
            <w:r>
              <w:rPr>
                <w:rFonts w:ascii="Arial" w:cs="Arial" w:eastAsia="Arial" w:hAnsi="Arial"/>
                <w:i/>
                <w:iCs/>
                <w:color w:val="666666"/>
                <w:sz w:val="16"/>
                <w:szCs w:val="16"/>
              </w:rPr>
              <w:t xml:space="preserve">(ang. benzyl salicylate)</w:t>
            </w:r>
          </w:p>
        </w:tc>
        <w:tc>
          <w:tcPr>
            <w:tcW w:type="dxa" w:w="2600"/>
          </w:tcPr>
          <w:p>
            <w:pPr>
              <w:spacing w:after="40"/>
            </w:pPr>
            <w:r>
              <w:rPr>
                <w:rFonts w:ascii="Arial" w:cs="Arial" w:eastAsia="Arial" w:hAnsi="Arial"/>
                <w:sz w:val="17"/>
                <w:szCs w:val="17"/>
              </w:rPr>
              <w:t xml:space="preserve">Numer CAS: 118-58-1</w:t>
            </w:r>
          </w:p>
          <w:p>
            <w:pPr>
              <w:spacing w:after="40"/>
            </w:pPr>
            <w:r>
              <w:rPr>
                <w:rFonts w:ascii="Arial" w:cs="Arial" w:eastAsia="Arial" w:hAnsi="Arial"/>
                <w:sz w:val="17"/>
                <w:szCs w:val="17"/>
              </w:rPr>
              <w:t xml:space="preserve">Numer WE: 204-262-9</w:t>
            </w:r>
          </w:p>
          <w:p>
            <w:pPr>
              <w:spacing w:after="40"/>
            </w:pPr>
            <w:r>
              <w:rPr>
                <w:rFonts w:ascii="Arial" w:cs="Arial" w:eastAsia="Arial" w:hAnsi="Arial"/>
                <w:sz w:val="17"/>
                <w:szCs w:val="17"/>
              </w:rPr>
              <w:t xml:space="preserve">Numer indeksowy: 607-754-00-5</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01-2119969442-31</w:t>
            </w:r>
          </w:p>
        </w:tc>
        <w:tc>
          <w:tcPr>
            <w:tcW w:type="dxa" w:w="2800"/>
          </w:tcPr>
          <w:p>
            <w:pPr>
              <w:spacing w:after="40"/>
            </w:pPr>
            <w:r>
              <w:rPr>
                <w:rFonts w:ascii="Arial" w:cs="Arial" w:eastAsia="Arial" w:hAnsi="Arial"/>
                <w:sz w:val="17"/>
                <w:szCs w:val="17"/>
              </w:rPr>
              <w:t xml:space="preserve">Eye Irrit. 2 H319, Skin Sens. 1B H317, Stwarzające zagrożenie dla środowiska wodnego - kategoria przewlekła 3 H412</w:t>
            </w:r>
          </w:p>
        </w:tc>
        <w:tc>
          <w:tcPr>
            <w:tcW w:type="dxa" w:w="1400"/>
          </w:tcPr>
          <w:p>
            <w:r>
              <w:rPr>
                <w:rFonts w:ascii="Arial" w:cs="Arial" w:eastAsia="Arial" w:hAnsi="Arial"/>
                <w:sz w:val="18"/>
                <w:szCs w:val="18"/>
              </w:rPr>
              <w:t xml:space="preserve">0,7 ≤ x &lt; 0,8 %</w:t>
            </w:r>
          </w:p>
        </w:tc>
      </w:tr>
      <w:tr>
        <w:tc>
          <w:tcPr>
            <w:tcW w:type="dxa" w:w="2800"/>
          </w:tcPr>
          <w:p>
            <w:pPr>
              <w:spacing w:after="40"/>
            </w:pPr>
            <w:r>
              <w:rPr>
                <w:rFonts w:ascii="Arial" w:cs="Arial" w:eastAsia="Arial" w:hAnsi="Arial"/>
                <w:b/>
                <w:bCs/>
                <w:sz w:val="18"/>
                <w:szCs w:val="18"/>
              </w:rPr>
              <w:t xml:space="preserve">galaksolid (1,3,4,6,7,8-heksahydro-4,6,6,7,8,8-heksametyloindeno[5,6-c]piran)</w:t>
            </w:r>
          </w:p>
          <w:p>
            <w:r>
              <w:rPr>
                <w:rFonts w:ascii="Arial" w:cs="Arial" w:eastAsia="Arial" w:hAnsi="Arial"/>
                <w:i/>
                <w:iCs/>
                <w:color w:val="666666"/>
                <w:sz w:val="16"/>
                <w:szCs w:val="16"/>
              </w:rPr>
              <w:t xml:space="preserve">(ang. galaxolide)</w:t>
            </w:r>
          </w:p>
        </w:tc>
        <w:tc>
          <w:tcPr>
            <w:tcW w:type="dxa" w:w="2600"/>
          </w:tcPr>
          <w:p>
            <w:pPr>
              <w:spacing w:after="40"/>
            </w:pPr>
            <w:r>
              <w:rPr>
                <w:rFonts w:ascii="Arial" w:cs="Arial" w:eastAsia="Arial" w:hAnsi="Arial"/>
                <w:sz w:val="17"/>
                <w:szCs w:val="17"/>
              </w:rPr>
              <w:t xml:space="preserve">Numer CAS: 1222-05-5</w:t>
            </w:r>
          </w:p>
          <w:p>
            <w:pPr>
              <w:spacing w:after="40"/>
            </w:pPr>
            <w:r>
              <w:rPr>
                <w:rFonts w:ascii="Arial" w:cs="Arial" w:eastAsia="Arial" w:hAnsi="Arial"/>
                <w:sz w:val="17"/>
                <w:szCs w:val="17"/>
              </w:rPr>
              <w:t xml:space="preserve">Numer WE: 214-946-9</w:t>
            </w:r>
          </w:p>
          <w:p>
            <w:pPr>
              <w:spacing w:after="40"/>
            </w:pPr>
            <w:r>
              <w:rPr>
                <w:rFonts w:ascii="Arial" w:cs="Arial" w:eastAsia="Arial" w:hAnsi="Arial"/>
                <w:sz w:val="17"/>
                <w:szCs w:val="17"/>
              </w:rPr>
              <w:t xml:space="preserve">Numer indeksowy: 603-212-00-7</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01-2119488227-29</w:t>
            </w:r>
          </w:p>
        </w:tc>
        <w:tc>
          <w:tcPr>
            <w:tcW w:type="dxa" w:w="2800"/>
          </w:tcPr>
          <w:p>
            <w:pPr>
              <w:spacing w:after="40"/>
            </w:pPr>
            <w:r>
              <w:rPr>
                <w:rFonts w:ascii="Arial" w:cs="Arial" w:eastAsia="Arial" w:hAnsi="Arial"/>
                <w:sz w:val="17"/>
                <w:szCs w:val="17"/>
              </w:rPr>
              <w:t xml:space="preserve">Stwarzające zagrożenie dla środowiska wodnego - kategoria ostra 1 H400 M = 1, Stwarzające zagrożenie dla środowiska wodnego - kategoria przewlekła 1 H410 M = 1</w:t>
            </w:r>
          </w:p>
        </w:tc>
        <w:tc>
          <w:tcPr>
            <w:tcW w:type="dxa" w:w="1400"/>
          </w:tcPr>
          <w:p>
            <w:r>
              <w:rPr>
                <w:rFonts w:ascii="Arial" w:cs="Arial" w:eastAsia="Arial" w:hAnsi="Arial"/>
                <w:sz w:val="18"/>
                <w:szCs w:val="18"/>
              </w:rPr>
              <w:t xml:space="preserve">0,5 ≤ x &lt; 0,6 %</w:t>
            </w:r>
          </w:p>
        </w:tc>
      </w:tr>
      <w:tr>
        <w:tc>
          <w:tcPr>
            <w:tcW w:type="dxa" w:w="2800"/>
          </w:tcPr>
          <w:p>
            <w:pPr>
              <w:spacing w:after="40"/>
            </w:pPr>
            <w:r>
              <w:rPr>
                <w:rFonts w:ascii="Arial" w:cs="Arial" w:eastAsia="Arial" w:hAnsi="Arial"/>
                <w:b/>
                <w:bCs/>
                <w:sz w:val="18"/>
                <w:szCs w:val="18"/>
              </w:rPr>
              <w:t xml:space="preserve">kumaryna (2H-chromen-2-on)</w:t>
            </w:r>
          </w:p>
          <w:p>
            <w:r>
              <w:rPr>
                <w:rFonts w:ascii="Arial" w:cs="Arial" w:eastAsia="Arial" w:hAnsi="Arial"/>
                <w:i/>
                <w:iCs/>
                <w:color w:val="666666"/>
                <w:sz w:val="16"/>
                <w:szCs w:val="16"/>
              </w:rPr>
              <w:t xml:space="preserve">(ang. 2H-CHROMEN-2-ONE)</w:t>
            </w:r>
          </w:p>
        </w:tc>
        <w:tc>
          <w:tcPr>
            <w:tcW w:type="dxa" w:w="2600"/>
          </w:tcPr>
          <w:p>
            <w:pPr>
              <w:spacing w:after="40"/>
            </w:pPr>
            <w:r>
              <w:rPr>
                <w:rFonts w:ascii="Arial" w:cs="Arial" w:eastAsia="Arial" w:hAnsi="Arial"/>
                <w:sz w:val="17"/>
                <w:szCs w:val="17"/>
              </w:rPr>
              <w:t xml:space="preserve">Numer CAS: 91-64-5</w:t>
            </w:r>
          </w:p>
          <w:p>
            <w:pPr>
              <w:spacing w:after="40"/>
            </w:pPr>
            <w:r>
              <w:rPr>
                <w:rFonts w:ascii="Arial" w:cs="Arial" w:eastAsia="Arial" w:hAnsi="Arial"/>
                <w:sz w:val="17"/>
                <w:szCs w:val="17"/>
              </w:rPr>
              <w:t xml:space="preserve">Numer WE: 202-086-7</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01-2119943756-26</w:t>
            </w:r>
          </w:p>
        </w:tc>
        <w:tc>
          <w:tcPr>
            <w:tcW w:type="dxa" w:w="2800"/>
          </w:tcPr>
          <w:p>
            <w:pPr>
              <w:spacing w:after="40"/>
            </w:pPr>
            <w:r>
              <w:rPr>
                <w:rFonts w:ascii="Arial" w:cs="Arial" w:eastAsia="Arial" w:hAnsi="Arial"/>
                <w:sz w:val="17"/>
                <w:szCs w:val="17"/>
              </w:rPr>
              <w:t xml:space="preserve">Acute Tox. 4 H302, Skin Sens. 1 H317, Stwarzające zagrożenie dla środowiska wodnego - kategoria przewlekła 2 H411</w:t>
            </w:r>
          </w:p>
          <w:p>
            <w:pPr>
              <w:spacing w:after="40"/>
            </w:pPr>
            <w:r>
              <w:rPr>
                <w:rFonts w:ascii="Arial" w:cs="Arial" w:eastAsia="Arial" w:hAnsi="Arial"/>
                <w:sz w:val="17"/>
                <w:szCs w:val="17"/>
              </w:rPr>
              <w:t xml:space="preserve">ATE (droga pokarmowa) = 500 mg/kg</w:t>
            </w:r>
          </w:p>
        </w:tc>
        <w:tc>
          <w:tcPr>
            <w:tcW w:type="dxa" w:w="1400"/>
          </w:tcPr>
          <w:p>
            <w:r>
              <w:rPr>
                <w:rFonts w:ascii="Arial" w:cs="Arial" w:eastAsia="Arial" w:hAnsi="Arial"/>
                <w:sz w:val="18"/>
                <w:szCs w:val="18"/>
              </w:rPr>
              <w:t xml:space="preserve">0,4 ≤ x &lt; 0,45 %</w:t>
            </w:r>
          </w:p>
        </w:tc>
      </w:tr>
      <w:tr>
        <w:tc>
          <w:tcPr>
            <w:tcW w:type="dxa" w:w="2800"/>
          </w:tcPr>
          <w:p>
            <w:pPr>
              <w:spacing w:after="40"/>
            </w:pPr>
            <w:r>
              <w:rPr>
                <w:rFonts w:ascii="Arial" w:cs="Arial" w:eastAsia="Arial" w:hAnsi="Arial"/>
                <w:b/>
                <w:bCs/>
                <w:sz w:val="18"/>
                <w:szCs w:val="18"/>
              </w:rPr>
              <w:t xml:space="preserve">2,6-di-tert-butylo-4-metylofenol (BHT)</w:t>
            </w:r>
          </w:p>
          <w:p>
            <w:r>
              <w:rPr>
                <w:rFonts w:ascii="Arial" w:cs="Arial" w:eastAsia="Arial" w:hAnsi="Arial"/>
                <w:i/>
                <w:iCs/>
                <w:color w:val="666666"/>
                <w:sz w:val="16"/>
                <w:szCs w:val="16"/>
              </w:rPr>
              <w:t xml:space="preserve">(ang. 2,6-di-tert-butyl-p-cresol)</w:t>
            </w:r>
          </w:p>
        </w:tc>
        <w:tc>
          <w:tcPr>
            <w:tcW w:type="dxa" w:w="2600"/>
          </w:tcPr>
          <w:p>
            <w:pPr>
              <w:spacing w:after="40"/>
            </w:pPr>
            <w:r>
              <w:rPr>
                <w:rFonts w:ascii="Arial" w:cs="Arial" w:eastAsia="Arial" w:hAnsi="Arial"/>
                <w:sz w:val="17"/>
                <w:szCs w:val="17"/>
              </w:rPr>
              <w:t xml:space="preserve">Numer CAS: 128-37-0</w:t>
            </w:r>
          </w:p>
          <w:p>
            <w:pPr>
              <w:spacing w:after="40"/>
            </w:pPr>
            <w:r>
              <w:rPr>
                <w:rFonts w:ascii="Arial" w:cs="Arial" w:eastAsia="Arial" w:hAnsi="Arial"/>
                <w:sz w:val="17"/>
                <w:szCs w:val="17"/>
              </w:rPr>
              <w:t xml:space="preserve">Numer WE: 204-881-4</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01-2119565113-46</w:t>
            </w:r>
          </w:p>
        </w:tc>
        <w:tc>
          <w:tcPr>
            <w:tcW w:type="dxa" w:w="2800"/>
          </w:tcPr>
          <w:p>
            <w:pPr>
              <w:spacing w:after="40"/>
            </w:pPr>
            <w:r>
              <w:rPr>
                <w:rFonts w:ascii="Arial" w:cs="Arial" w:eastAsia="Arial" w:hAnsi="Arial"/>
                <w:sz w:val="17"/>
                <w:szCs w:val="17"/>
              </w:rPr>
              <w:t xml:space="preserve">Stwarzające zagrożenie dla środowiska wodnego - kategoria przewlekła 1 H410 M = 1</w:t>
            </w:r>
          </w:p>
        </w:tc>
        <w:tc>
          <w:tcPr>
            <w:tcW w:type="dxa" w:w="1400"/>
          </w:tcPr>
          <w:p>
            <w:r>
              <w:rPr>
                <w:rFonts w:ascii="Arial" w:cs="Arial" w:eastAsia="Arial" w:hAnsi="Arial"/>
                <w:sz w:val="18"/>
                <w:szCs w:val="18"/>
              </w:rPr>
              <w:t xml:space="preserve">0,1 ≤ x &lt; 0,15 %</w:t>
            </w:r>
          </w:p>
        </w:tc>
      </w:tr>
      <w:tr>
        <w:tc>
          <w:tcPr>
            <w:tcW w:type="dxa" w:w="2800"/>
          </w:tcPr>
          <w:p>
            <w:pPr>
              <w:spacing w:after="40"/>
            </w:pPr>
            <w:r>
              <w:rPr>
                <w:rFonts w:ascii="Arial" w:cs="Arial" w:eastAsia="Arial" w:hAnsi="Arial"/>
                <w:b/>
                <w:bCs/>
                <w:sz w:val="18"/>
                <w:szCs w:val="18"/>
              </w:rPr>
              <w:t xml:space="preserve">hydroksycytronellal</w:t>
            </w:r>
          </w:p>
          <w:p>
            <w:r>
              <w:rPr>
                <w:rFonts w:ascii="Arial" w:cs="Arial" w:eastAsia="Arial" w:hAnsi="Arial"/>
                <w:i/>
                <w:iCs/>
                <w:color w:val="666666"/>
                <w:sz w:val="16"/>
                <w:szCs w:val="16"/>
              </w:rPr>
              <w:t xml:space="preserve">(ang. 7-HYDROXYCITRONELLAL)</w:t>
            </w:r>
          </w:p>
        </w:tc>
        <w:tc>
          <w:tcPr>
            <w:tcW w:type="dxa" w:w="2600"/>
          </w:tcPr>
          <w:p>
            <w:pPr>
              <w:spacing w:after="40"/>
            </w:pPr>
            <w:r>
              <w:rPr>
                <w:rFonts w:ascii="Arial" w:cs="Arial" w:eastAsia="Arial" w:hAnsi="Arial"/>
                <w:sz w:val="17"/>
                <w:szCs w:val="17"/>
              </w:rPr>
              <w:t xml:space="preserve">Numer CAS: 107-75-5</w:t>
            </w:r>
          </w:p>
          <w:p>
            <w:pPr>
              <w:spacing w:after="40"/>
            </w:pPr>
            <w:r>
              <w:rPr>
                <w:rFonts w:ascii="Arial" w:cs="Arial" w:eastAsia="Arial" w:hAnsi="Arial"/>
                <w:sz w:val="17"/>
                <w:szCs w:val="17"/>
              </w:rPr>
              <w:t xml:space="preserve">Numer WE: 203-518-7</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01-2119973482-31</w:t>
            </w:r>
          </w:p>
        </w:tc>
        <w:tc>
          <w:tcPr>
            <w:tcW w:type="dxa" w:w="2800"/>
          </w:tcPr>
          <w:p>
            <w:pPr>
              <w:spacing w:after="40"/>
            </w:pPr>
            <w:r>
              <w:rPr>
                <w:rFonts w:ascii="Arial" w:cs="Arial" w:eastAsia="Arial" w:hAnsi="Arial"/>
                <w:sz w:val="17"/>
                <w:szCs w:val="17"/>
              </w:rPr>
              <w:t xml:space="preserve">Eye Irrit. 2 H319, Skin Sens. 1B H317</w:t>
            </w:r>
          </w:p>
        </w:tc>
        <w:tc>
          <w:tcPr>
            <w:tcW w:type="dxa" w:w="1400"/>
          </w:tcPr>
          <w:p>
            <w:r>
              <w:rPr>
                <w:rFonts w:ascii="Arial" w:cs="Arial" w:eastAsia="Arial" w:hAnsi="Arial"/>
                <w:sz w:val="18"/>
                <w:szCs w:val="18"/>
              </w:rPr>
              <w:t xml:space="preserve">0,1 ≤ x &lt; 0,15 %</w:t>
            </w:r>
          </w:p>
        </w:tc>
      </w:tr>
      <w:tr>
        <w:tc>
          <w:tcPr>
            <w:tcW w:type="dxa" w:w="2800"/>
          </w:tcPr>
          <w:p>
            <w:pPr>
              <w:spacing w:after="40"/>
            </w:pPr>
            <w:r>
              <w:rPr>
                <w:rFonts w:ascii="Arial" w:cs="Arial" w:eastAsia="Arial" w:hAnsi="Arial"/>
                <w:b/>
                <w:bCs/>
                <w:sz w:val="18"/>
                <w:szCs w:val="18"/>
              </w:rPr>
              <w:t xml:space="preserve">toluen</w:t>
            </w:r>
          </w:p>
          <w:p>
            <w:r>
              <w:rPr>
                <w:rFonts w:ascii="Arial" w:cs="Arial" w:eastAsia="Arial" w:hAnsi="Arial"/>
                <w:i/>
                <w:iCs/>
                <w:color w:val="666666"/>
                <w:sz w:val="16"/>
                <w:szCs w:val="16"/>
              </w:rPr>
              <w:t xml:space="preserve">(ang. toluene)</w:t>
            </w:r>
          </w:p>
        </w:tc>
        <w:tc>
          <w:tcPr>
            <w:tcW w:type="dxa" w:w="2600"/>
          </w:tcPr>
          <w:p>
            <w:pPr>
              <w:spacing w:after="40"/>
            </w:pPr>
            <w:r>
              <w:rPr>
                <w:rFonts w:ascii="Arial" w:cs="Arial" w:eastAsia="Arial" w:hAnsi="Arial"/>
                <w:sz w:val="17"/>
                <w:szCs w:val="17"/>
              </w:rPr>
              <w:t xml:space="preserve">Numer CAS: 108-88-3</w:t>
            </w:r>
          </w:p>
          <w:p>
            <w:pPr>
              <w:spacing w:after="40"/>
            </w:pPr>
            <w:r>
              <w:rPr>
                <w:rFonts w:ascii="Arial" w:cs="Arial" w:eastAsia="Arial" w:hAnsi="Arial"/>
                <w:sz w:val="17"/>
                <w:szCs w:val="17"/>
              </w:rPr>
              <w:t xml:space="preserve">Numer WE: 203-625-9</w:t>
            </w:r>
          </w:p>
          <w:p>
            <w:pPr>
              <w:spacing w:after="40"/>
            </w:pPr>
            <w:r>
              <w:rPr>
                <w:rFonts w:ascii="Arial" w:cs="Arial" w:eastAsia="Arial" w:hAnsi="Arial"/>
                <w:sz w:val="17"/>
                <w:szCs w:val="17"/>
              </w:rPr>
              <w:t xml:space="preserve">Numer indeksowy: 601-021-00-3</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01-2119471310-51</w:t>
            </w:r>
          </w:p>
        </w:tc>
        <w:tc>
          <w:tcPr>
            <w:tcW w:type="dxa" w:w="2800"/>
          </w:tcPr>
          <w:p>
            <w:pPr>
              <w:spacing w:after="40"/>
            </w:pPr>
            <w:r>
              <w:rPr>
                <w:rFonts w:ascii="Arial" w:cs="Arial" w:eastAsia="Arial" w:hAnsi="Arial"/>
                <w:sz w:val="17"/>
                <w:szCs w:val="17"/>
              </w:rPr>
              <w:t xml:space="preserve">Flam. Liq. 2 H225, Repr. 2 H361d, Asp. Tox. 1 H304, Działanie toksyczne na narządy docelowe – narażenie powtarzane 2 H373, Skin</w:t>
            </w:r>
          </w:p>
          <w:p>
            <w:pPr>
              <w:spacing w:after="40"/>
            </w:pPr>
            <w:r>
              <w:rPr>
                <w:rFonts w:ascii="Arial" w:cs="Arial" w:eastAsia="Arial" w:hAnsi="Arial"/>
                <w:sz w:val="17"/>
                <w:szCs w:val="17"/>
              </w:rPr>
              <w:t xml:space="preserve">Irrit. 2 H315, Działanie toksyczne na narządy docelowe – narażenie jednorazowe 3 H336</w:t>
            </w:r>
          </w:p>
        </w:tc>
        <w:tc>
          <w:tcPr>
            <w:tcW w:type="dxa" w:w="1400"/>
          </w:tcPr>
          <w:p>
            <w:r>
              <w:rPr>
                <w:rFonts w:ascii="Arial" w:cs="Arial" w:eastAsia="Arial" w:hAnsi="Arial"/>
                <w:sz w:val="18"/>
                <w:szCs w:val="18"/>
              </w:rPr>
              <w:t xml:space="preserve">0 &lt; x &lt; 0,05 %</w:t>
            </w:r>
          </w:p>
        </w:tc>
      </w:tr>
      <w:tr>
        <w:tc>
          <w:tcPr>
            <w:tcW w:type="dxa" w:w="2800"/>
          </w:tcPr>
          <w:p>
            <w:pPr>
              <w:spacing w:after="40"/>
            </w:pPr>
            <w:r>
              <w:rPr>
                <w:rFonts w:ascii="Arial" w:cs="Arial" w:eastAsia="Arial" w:hAnsi="Arial"/>
                <w:b/>
                <w:bCs/>
                <w:sz w:val="18"/>
                <w:szCs w:val="18"/>
              </w:rPr>
              <w:t xml:space="preserve">aceton (propan-2-on)</w:t>
            </w:r>
          </w:p>
          <w:p>
            <w:r>
              <w:rPr>
                <w:rFonts w:ascii="Arial" w:cs="Arial" w:eastAsia="Arial" w:hAnsi="Arial"/>
                <w:i/>
                <w:iCs/>
                <w:color w:val="666666"/>
                <w:sz w:val="16"/>
                <w:szCs w:val="16"/>
              </w:rPr>
              <w:t xml:space="preserve">(ang. ACETONE)</w:t>
            </w:r>
          </w:p>
        </w:tc>
        <w:tc>
          <w:tcPr>
            <w:tcW w:type="dxa" w:w="2600"/>
          </w:tcPr>
          <w:p>
            <w:pPr>
              <w:spacing w:after="40"/>
            </w:pPr>
            <w:r>
              <w:rPr>
                <w:rFonts w:ascii="Arial" w:cs="Arial" w:eastAsia="Arial" w:hAnsi="Arial"/>
                <w:sz w:val="17"/>
                <w:szCs w:val="17"/>
              </w:rPr>
              <w:t xml:space="preserve">Numer CAS: 67-64-1</w:t>
            </w:r>
          </w:p>
          <w:p>
            <w:pPr>
              <w:spacing w:after="40"/>
            </w:pPr>
            <w:r>
              <w:rPr>
                <w:rFonts w:ascii="Arial" w:cs="Arial" w:eastAsia="Arial" w:hAnsi="Arial"/>
                <w:sz w:val="17"/>
                <w:szCs w:val="17"/>
              </w:rPr>
              <w:t xml:space="preserve">Numer WE: 200-662-2</w:t>
            </w:r>
          </w:p>
          <w:p>
            <w:pPr>
              <w:spacing w:after="40"/>
            </w:pPr>
            <w:r>
              <w:rPr>
                <w:rFonts w:ascii="Arial" w:cs="Arial" w:eastAsia="Arial" w:hAnsi="Arial"/>
                <w:sz w:val="17"/>
                <w:szCs w:val="17"/>
              </w:rPr>
              <w:t xml:space="preserve">Numer indeksowy: 606-001-00-8</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01-2119471330-49</w:t>
            </w:r>
          </w:p>
        </w:tc>
        <w:tc>
          <w:tcPr>
            <w:tcW w:type="dxa" w:w="2800"/>
          </w:tcPr>
          <w:p>
            <w:pPr>
              <w:spacing w:after="40"/>
            </w:pPr>
            <w:r>
              <w:rPr>
                <w:rFonts w:ascii="Arial" w:cs="Arial" w:eastAsia="Arial" w:hAnsi="Arial"/>
                <w:sz w:val="17"/>
                <w:szCs w:val="17"/>
              </w:rPr>
              <w:t xml:space="preserve">Flam. Liq. 2 H225, Eye Irrit. 2 H319, Działanie toksyczne na narządy docelowe – narażenie jednorazowe 3 H336, EUH066</w:t>
            </w:r>
          </w:p>
        </w:tc>
        <w:tc>
          <w:tcPr>
            <w:tcW w:type="dxa" w:w="1400"/>
          </w:tcPr>
          <w:p>
            <w:r>
              <w:rPr>
                <w:rFonts w:ascii="Arial" w:cs="Arial" w:eastAsia="Arial" w:hAnsi="Arial"/>
                <w:sz w:val="18"/>
                <w:szCs w:val="18"/>
              </w:rPr>
              <w:t xml:space="preserve">0 &lt; x &lt; 0,05 %</w:t>
            </w:r>
          </w:p>
        </w:tc>
      </w:tr>
      <w:tr>
        <w:tc>
          <w:tcPr>
            <w:tcW w:type="dxa" w:w="2800"/>
          </w:tcPr>
          <w:p>
            <w:pPr>
              <w:spacing w:after="40"/>
            </w:pPr>
            <w:r>
              <w:rPr>
                <w:rFonts w:ascii="Arial" w:cs="Arial" w:eastAsia="Arial" w:hAnsi="Arial"/>
                <w:b/>
                <w:bCs/>
                <w:sz w:val="18"/>
                <w:szCs w:val="18"/>
              </w:rPr>
              <w:t xml:space="preserve">metanol</w:t>
            </w:r>
          </w:p>
          <w:p>
            <w:r>
              <w:rPr>
                <w:rFonts w:ascii="Arial" w:cs="Arial" w:eastAsia="Arial" w:hAnsi="Arial"/>
                <w:i/>
                <w:iCs/>
                <w:color w:val="666666"/>
                <w:sz w:val="16"/>
                <w:szCs w:val="16"/>
              </w:rPr>
              <w:t xml:space="preserve">(ang. METHANOL)</w:t>
            </w:r>
          </w:p>
        </w:tc>
        <w:tc>
          <w:tcPr>
            <w:tcW w:type="dxa" w:w="2600"/>
          </w:tcPr>
          <w:p>
            <w:pPr>
              <w:spacing w:after="40"/>
            </w:pPr>
            <w:r>
              <w:rPr>
                <w:rFonts w:ascii="Arial" w:cs="Arial" w:eastAsia="Arial" w:hAnsi="Arial"/>
                <w:sz w:val="17"/>
                <w:szCs w:val="17"/>
              </w:rPr>
              <w:t xml:space="preserve">Numer CAS: 67-56-1</w:t>
            </w:r>
          </w:p>
          <w:p>
            <w:pPr>
              <w:spacing w:after="40"/>
            </w:pPr>
            <w:r>
              <w:rPr>
                <w:rFonts w:ascii="Arial" w:cs="Arial" w:eastAsia="Arial" w:hAnsi="Arial"/>
                <w:sz w:val="17"/>
                <w:szCs w:val="17"/>
              </w:rPr>
              <w:t xml:space="preserve">Numer WE: 200-659-6</w:t>
            </w:r>
          </w:p>
          <w:p>
            <w:pPr>
              <w:spacing w:after="40"/>
            </w:pPr>
            <w:r>
              <w:rPr>
                <w:rFonts w:ascii="Arial" w:cs="Arial" w:eastAsia="Arial" w:hAnsi="Arial"/>
                <w:sz w:val="17"/>
                <w:szCs w:val="17"/>
              </w:rPr>
              <w:t xml:space="preserve">Numer indeksowy: 603-001-00-X</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01-2119433307-44</w:t>
            </w:r>
          </w:p>
        </w:tc>
        <w:tc>
          <w:tcPr>
            <w:tcW w:type="dxa" w:w="2800"/>
          </w:tcPr>
          <w:p>
            <w:pPr>
              <w:spacing w:after="40"/>
            </w:pPr>
            <w:r>
              <w:rPr>
                <w:rFonts w:ascii="Arial" w:cs="Arial" w:eastAsia="Arial" w:hAnsi="Arial"/>
                <w:sz w:val="17"/>
                <w:szCs w:val="17"/>
              </w:rPr>
              <w:t xml:space="preserve">Flam. Liq. 2 H225, Acute Tox. 3 H301, Acute Tox. 3 H311, Acute Tox. 3</w:t>
            </w:r>
          </w:p>
          <w:p>
            <w:pPr>
              <w:spacing w:after="40"/>
            </w:pPr>
            <w:r>
              <w:rPr>
                <w:rFonts w:ascii="Arial" w:cs="Arial" w:eastAsia="Arial" w:hAnsi="Arial"/>
                <w:sz w:val="17"/>
                <w:szCs w:val="17"/>
              </w:rPr>
              <w:t xml:space="preserve">H331, Działanie toksyczne na narządy docelowe – narażenie jednorazowe 1 H370</w:t>
            </w:r>
          </w:p>
          <w:p>
            <w:pPr>
              <w:spacing w:after="40"/>
            </w:pPr>
            <w:r>
              <w:rPr>
                <w:rFonts w:ascii="Arial" w:cs="Arial" w:eastAsia="Arial" w:hAnsi="Arial"/>
                <w:sz w:val="17"/>
                <w:szCs w:val="17"/>
              </w:rPr>
              <w:t xml:space="preserve">Działanie toksyczne na narządy docelowe – narażenie jednorazowe 2 H371: ≥ 3% - &lt; 10%</w:t>
            </w:r>
          </w:p>
          <w:p>
            <w:pPr>
              <w:spacing w:after="40"/>
            </w:pPr>
            <w:r>
              <w:rPr>
                <w:rFonts w:ascii="Arial" w:cs="Arial" w:eastAsia="Arial" w:hAnsi="Arial"/>
                <w:sz w:val="17"/>
                <w:szCs w:val="17"/>
              </w:rPr>
              <w:t xml:space="preserve">ATE (droga pokarmowa) = 100 mg/kg, ATE (na skórę) = 300 mg/kg, ATE (inhalacyjnie, pary) = 3 mg/l</w:t>
            </w:r>
          </w:p>
        </w:tc>
        <w:tc>
          <w:tcPr>
            <w:tcW w:type="dxa" w:w="1400"/>
          </w:tcPr>
          <w:p>
            <w:r>
              <w:rPr>
                <w:rFonts w:ascii="Arial" w:cs="Arial" w:eastAsia="Arial" w:hAnsi="Arial"/>
                <w:sz w:val="18"/>
                <w:szCs w:val="18"/>
              </w:rPr>
              <w:t xml:space="preserve">0 &lt; x &lt; 0,05 %</w:t>
            </w:r>
          </w:p>
        </w:tc>
      </w:tr>
    </w:tbl>
    <w:p>
      <w:pPr>
        <w:spacing w:after="150" w:before="180"/>
      </w:pPr>
      <w:r>
        <w:rPr>
          <w:rFonts w:ascii="Arial" w:cs="Arial" w:eastAsia="Arial" w:hAnsi="Arial"/>
          <w:i/>
          <w:iCs/>
          <w:sz w:val="18"/>
          <w:szCs w:val="18"/>
        </w:rPr>
        <w:t xml:space="preserve">Pełne brzmienie zwrotów H i EUH znajduje się w sekcji 16 karty charakterystyki.</w:t>
      </w:r>
    </w:p>
    <w:p>
      <w:pPr>
        <w:pBdr>
          <w:bottom w:color="00A651" w:sz="12" w:space="1"/>
        </w:pBdr>
        <w:spacing w:after="150" w:before="300"/>
      </w:pPr>
      <w:r>
        <w:rPr>
          <w:b/>
          <w:bCs/>
          <w:sz w:val="22"/>
          <w:szCs w:val="22"/>
        </w:rPr>
        <w:t xml:space="preserve">SEKCJA 4: ŚRODKI PIERWSZEJ POMOCY</w:t>
      </w:r>
    </w:p>
    <w:p>
      <w:pPr>
        <w:spacing w:after="100" w:before="200"/>
      </w:pPr>
      <w:r>
        <w:rPr>
          <w:rFonts w:ascii="Arial" w:cs="Arial" w:eastAsia="Arial" w:hAnsi="Arial"/>
          <w:b/>
          <w:bCs/>
          <w:sz w:val="20"/>
          <w:szCs w:val="20"/>
        </w:rPr>
        <w:t xml:space="preserve">4.1. Opis środków pierwszej pomocy</w:t>
      </w:r>
    </w:p>
    <w:p>
      <w:pPr>
        <w:spacing w:after="80"/>
      </w:pPr>
      <w:r>
        <w:rPr>
          <w:rFonts w:ascii="Arial" w:cs="Arial" w:eastAsia="Arial" w:hAnsi="Arial"/>
          <w:sz w:val="20"/>
          <w:szCs w:val="20"/>
        </w:rPr>
        <w:t xml:space="preserve">W razie wątpliwości lub w przypadku wystąpienia objawów skonsultować się z lekarzem i pokazać mu niniejszą kartę charakterystyki. W przypadku cięższych objawów wezwać natychmiastową pomoc medyczną.</w:t>
      </w:r>
    </w:p>
    <w:p>
      <w:pPr>
        <w:spacing w:after="80" w:before="80"/>
      </w:pPr>
      <w:r>
        <w:rPr>
          <w:rFonts w:ascii="Arial" w:cs="Arial" w:eastAsia="Arial" w:hAnsi="Arial"/>
          <w:b/>
          <w:bCs/>
          <w:sz w:val="20"/>
          <w:szCs w:val="20"/>
        </w:rPr>
        <w:t xml:space="preserve">W kontakcie ze skórą:</w:t>
      </w:r>
      <w:r>
        <w:rPr>
          <w:rFonts w:ascii="Arial" w:cs="Arial" w:eastAsia="Arial" w:hAnsi="Arial"/>
          <w:sz w:val="20"/>
          <w:szCs w:val="20"/>
        </w:rPr>
        <w:t xml:space="preserve"> Natychmiast zdjąć zanieczyszczoną odzież. Zmyć natychmiast i dokładnie dużą ilością bieżącej wody (oraz w miarę możliwości mydłem). Zasięgnąć porady lekarza. Unikać dalszego kontaktu z zanieczyszczoną odzieżą.</w:t>
      </w:r>
    </w:p>
    <w:p>
      <w:pPr>
        <w:spacing w:after="80" w:before="80"/>
      </w:pPr>
      <w:r>
        <w:rPr>
          <w:rFonts w:ascii="Arial" w:cs="Arial" w:eastAsia="Arial" w:hAnsi="Arial"/>
          <w:b/>
          <w:bCs/>
          <w:sz w:val="20"/>
          <w:szCs w:val="20"/>
        </w:rPr>
        <w:t xml:space="preserve">W kontakcie z oczami:</w:t>
      </w:r>
      <w:r>
        <w:rPr>
          <w:rFonts w:ascii="Arial" w:cs="Arial" w:eastAsia="Arial" w:hAnsi="Arial"/>
          <w:sz w:val="20"/>
          <w:szCs w:val="20"/>
        </w:rPr>
        <w:t xml:space="preserve"> Wyjąć soczewki kontaktowe, jeżeli są i można je łatwo usunąć. Płukać natychmiast dużą ilością wody przez co najmniej 15 minut, całkowicie otwierając powieki. Zasięgnąć porady/zgłosić się pod opiekę lekarza (skonsultować się z lekarzem okulistą).</w:t>
      </w:r>
    </w:p>
    <w:p>
      <w:pPr>
        <w:spacing w:after="80" w:before="80"/>
      </w:pPr>
      <w:r>
        <w:rPr>
          <w:rFonts w:ascii="Arial" w:cs="Arial" w:eastAsia="Arial" w:hAnsi="Arial"/>
          <w:b/>
          <w:bCs/>
          <w:sz w:val="20"/>
          <w:szCs w:val="20"/>
        </w:rPr>
        <w:t xml:space="preserve">W przypadku spożycia:</w:t>
      </w:r>
      <w:r>
        <w:rPr>
          <w:rFonts w:ascii="Arial" w:cs="Arial" w:eastAsia="Arial" w:hAnsi="Arial"/>
          <w:sz w:val="20"/>
          <w:szCs w:val="20"/>
        </w:rPr>
        <w:t xml:space="preserve"> Nie wywoływać wymiotów, chyba że zostało to wyraźnie zalecone przez lekarza. Nigdy nie podawać niczego doustnie osobie nieprzytomnej. Niezwłocznie zasięgnąć porady lekarza, pokazując kartę charakterystyki lub etykietę produktu.</w:t>
      </w:r>
    </w:p>
    <w:p>
      <w:pPr>
        <w:spacing w:after="80" w:before="80"/>
      </w:pPr>
      <w:r>
        <w:rPr>
          <w:rFonts w:ascii="Arial" w:cs="Arial" w:eastAsia="Arial" w:hAnsi="Arial"/>
          <w:b/>
          <w:bCs/>
          <w:sz w:val="20"/>
          <w:szCs w:val="20"/>
        </w:rPr>
        <w:t xml:space="preserve">Po narażeniu drogą oddechową:</w:t>
      </w:r>
      <w:r>
        <w:rPr>
          <w:rFonts w:ascii="Arial" w:cs="Arial" w:eastAsia="Arial" w:hAnsi="Arial"/>
          <w:sz w:val="20"/>
          <w:szCs w:val="20"/>
        </w:rPr>
        <w:t xml:space="preserve"> Wyprowadzić poszkodowanego na świeże powietrze, z dala od miejsca zdarzenia, zapewnić ciepło i spokój. Zasięgnąć porady/zgłosić się pod opiekę lekarza.</w:t>
      </w:r>
    </w:p>
    <w:p>
      <w:pPr>
        <w:spacing w:after="80"/>
      </w:pPr>
      <w:r>
        <w:rPr>
          <w:rFonts w:ascii="Arial" w:cs="Arial" w:eastAsia="Arial" w:hAnsi="Arial"/>
          <w:sz w:val="20"/>
          <w:szCs w:val="20"/>
        </w:rPr>
        <w:t xml:space="preserve">Ochrona osób udzielających pierwszej pomocy:</w:t>
      </w:r>
    </w:p>
    <w:p>
      <w:pPr>
        <w:spacing w:after="80"/>
      </w:pPr>
      <w:r>
        <w:rPr>
          <w:rFonts w:ascii="Arial" w:cs="Arial" w:eastAsia="Arial" w:hAnsi="Arial"/>
          <w:sz w:val="20"/>
          <w:szCs w:val="20"/>
        </w:rPr>
        <w:t xml:space="preserve">Dobrą praktyką jest, aby ratownicy udzielający pomocy osobie narażonej na działanie substancji lub mieszaniny chemicznej stosowali środki ochrony indywidualnej. Rodzaj ochrony zależy od stopnia zagrożenia stwarzanego przez substancję lub mieszaninę, rodzaju narażenia i stopnia skażenia. W przypadku braku innych, bardziej szczegółowych wskazań, w razie możliwości kontaktu z płynami ustrojowymi zaleca się stosowanie rękawic jednorazowych. Informacje na temat odpowiednich środków ochrony indywidualnej podano w sekcji 8.</w:t>
      </w:r>
    </w:p>
    <w:p>
      <w:pPr>
        <w:spacing w:after="100" w:before="200"/>
      </w:pPr>
      <w:r>
        <w:rPr>
          <w:rFonts w:ascii="Arial" w:cs="Arial" w:eastAsia="Arial" w:hAnsi="Arial"/>
          <w:b/>
          <w:bCs/>
          <w:sz w:val="20"/>
          <w:szCs w:val="20"/>
        </w:rPr>
        <w:t xml:space="preserve">4.2. Najważniejsze ostre i opóźnione objawy oraz skutki narażenia</w:t>
      </w:r>
    </w:p>
    <w:p>
      <w:pPr>
        <w:spacing w:after="80" w:before="80"/>
      </w:pPr>
      <w:r>
        <w:rPr>
          <w:rFonts w:ascii="Arial" w:cs="Arial" w:eastAsia="Arial" w:hAnsi="Arial"/>
          <w:b/>
          <w:bCs/>
          <w:sz w:val="20"/>
          <w:szCs w:val="20"/>
        </w:rPr>
        <w:t xml:space="preserve">W kontakcie z oczami:</w:t>
      </w:r>
      <w:r>
        <w:rPr>
          <w:rFonts w:ascii="Arial" w:cs="Arial" w:eastAsia="Arial" w:hAnsi="Arial"/>
          <w:sz w:val="20"/>
          <w:szCs w:val="20"/>
        </w:rPr>
        <w:t xml:space="preserve"> Działa drażniąco na oczy. Może powodować zaczerwienienie spojówek, pieczenie, łzawienie i ból.</w:t>
      </w:r>
    </w:p>
    <w:p>
      <w:pPr>
        <w:spacing w:after="80" w:before="80"/>
      </w:pPr>
      <w:r>
        <w:rPr>
          <w:rFonts w:ascii="Arial" w:cs="Arial" w:eastAsia="Arial" w:hAnsi="Arial"/>
          <w:b/>
          <w:bCs/>
          <w:sz w:val="20"/>
          <w:szCs w:val="20"/>
        </w:rPr>
        <w:t xml:space="preserve">W kontakcie ze skórą:</w:t>
      </w:r>
      <w:r>
        <w:rPr>
          <w:rFonts w:ascii="Arial" w:cs="Arial" w:eastAsia="Arial" w:hAnsi="Arial"/>
          <w:sz w:val="20"/>
          <w:szCs w:val="20"/>
        </w:rPr>
        <w:t xml:space="preserve"> U osób szczególnie wrażliwych może wywołać reakcję alergiczną skóry (zawiera: salicylan benzylu, kumarynę (2H-chromen-2-on), hydroksycytronellal). Przy długotrwałym kontakcie może powodować wysuszenie lub pękanie skóry.</w:t>
      </w:r>
    </w:p>
    <w:p>
      <w:pPr>
        <w:spacing w:after="80" w:before="80"/>
      </w:pPr>
      <w:r>
        <w:rPr>
          <w:rFonts w:ascii="Arial" w:cs="Arial" w:eastAsia="Arial" w:hAnsi="Arial"/>
          <w:b/>
          <w:bCs/>
          <w:sz w:val="20"/>
          <w:szCs w:val="20"/>
        </w:rPr>
        <w:t xml:space="preserve">Po narażeniu drogą oddechową:</w:t>
      </w:r>
      <w:r>
        <w:rPr>
          <w:rFonts w:ascii="Arial" w:cs="Arial" w:eastAsia="Arial" w:hAnsi="Arial"/>
          <w:sz w:val="20"/>
          <w:szCs w:val="20"/>
        </w:rPr>
        <w:t xml:space="preserve"> Wdychanie wysokich stężeń par może wywoływać podrażnienie błon śluzowych dróg oddechowych, bóle i zawroty głowy oraz uczucie senności.</w:t>
      </w:r>
    </w:p>
    <w:p>
      <w:pPr>
        <w:spacing w:after="80" w:before="80"/>
      </w:pPr>
      <w:r>
        <w:rPr>
          <w:rFonts w:ascii="Arial" w:cs="Arial" w:eastAsia="Arial" w:hAnsi="Arial"/>
          <w:b/>
          <w:bCs/>
          <w:sz w:val="20"/>
          <w:szCs w:val="20"/>
        </w:rPr>
        <w:t xml:space="preserve">W przypadku spożycia:</w:t>
      </w:r>
      <w:r>
        <w:rPr>
          <w:rFonts w:ascii="Arial" w:cs="Arial" w:eastAsia="Arial" w:hAnsi="Arial"/>
          <w:sz w:val="20"/>
          <w:szCs w:val="20"/>
        </w:rPr>
        <w:t xml:space="preserve"> Może wywołać podrażnienie układu pokarmowego, nudności, wymioty oraz objawy intoksykacji alkoholowej.</w:t>
      </w:r>
    </w:p>
    <w:p>
      <w:pPr>
        <w:spacing w:after="80"/>
      </w:pPr>
      <w:r>
        <w:rPr>
          <w:rFonts w:ascii="Arial" w:cs="Arial" w:eastAsia="Arial" w:hAnsi="Arial"/>
          <w:sz w:val="20"/>
          <w:szCs w:val="20"/>
        </w:rPr>
        <w:t xml:space="preserve">SKUTKI OPÓŹNIONE: W oparciu o dostępne dane, w warunkach prawidłowego stosowania nie są znane przypadki wystąpienia opóźnionych powikłań zdrowotnych.</w:t>
      </w:r>
    </w:p>
    <w:p>
      <w:pPr>
        <w:spacing w:after="100" w:before="200"/>
      </w:pPr>
      <w:r>
        <w:rPr>
          <w:rFonts w:ascii="Arial" w:cs="Arial" w:eastAsia="Arial" w:hAnsi="Arial"/>
          <w:b/>
          <w:bCs/>
          <w:sz w:val="20"/>
          <w:szCs w:val="20"/>
        </w:rPr>
        <w:t xml:space="preserve">4.3. Wskazania dotyczące wszelkiej natychmiastowej pomocy lekarskiej i szczególnego postępowania z poszkodowanym</w:t>
      </w:r>
    </w:p>
    <w:p>
      <w:pPr>
        <w:spacing w:after="80"/>
      </w:pPr>
      <w:r>
        <w:rPr>
          <w:rFonts w:ascii="Arial" w:cs="Arial" w:eastAsia="Arial" w:hAnsi="Arial"/>
          <w:sz w:val="20"/>
          <w:szCs w:val="20"/>
        </w:rPr>
        <w:t xml:space="preserve">W przypadku wystąpienia objawów (ostrych lub opóźnionych) skonsultować się z lekarzem.</w:t>
      </w:r>
    </w:p>
    <w:p>
      <w:pPr>
        <w:spacing w:after="80"/>
      </w:pPr>
      <w:r>
        <w:rPr>
          <w:rFonts w:ascii="Arial" w:cs="Arial" w:eastAsia="Arial" w:hAnsi="Arial"/>
          <w:sz w:val="20"/>
          <w:szCs w:val="20"/>
        </w:rPr>
        <w:t xml:space="preserve">Środki, które powinny być dostępne w miejscu pracy w celu zapewnienia natychmiastowego i specyficznego leczenia: Bieżąca woda do przemywania oczu i zmywania skóry.</w:t>
      </w:r>
    </w:p>
    <w:p>
      <w:pPr>
        <w:pBdr>
          <w:bottom w:color="00A651" w:sz="12" w:space="1"/>
        </w:pBdr>
        <w:spacing w:after="150" w:before="300"/>
      </w:pPr>
      <w:r>
        <w:rPr>
          <w:b/>
          <w:bCs/>
          <w:sz w:val="22"/>
          <w:szCs w:val="22"/>
        </w:rPr>
        <w:t xml:space="preserve">SEKCJA 5: POSTĘPOWANIE W PRZYPADKU POŻARU</w:t>
      </w:r>
    </w:p>
    <w:p>
      <w:pPr>
        <w:spacing w:after="100" w:before="200"/>
      </w:pPr>
      <w:r>
        <w:rPr>
          <w:rFonts w:ascii="Arial" w:cs="Arial" w:eastAsia="Arial" w:hAnsi="Arial"/>
          <w:b/>
          <w:bCs/>
          <w:sz w:val="20"/>
          <w:szCs w:val="20"/>
        </w:rPr>
        <w:t xml:space="preserve">5.1. Środki gaśnicze</w:t>
      </w:r>
    </w:p>
    <w:p>
      <w:pPr>
        <w:spacing w:after="80" w:before="80"/>
      </w:pPr>
      <w:r>
        <w:rPr>
          <w:rFonts w:ascii="Arial" w:cs="Arial" w:eastAsia="Arial" w:hAnsi="Arial"/>
          <w:b/>
          <w:bCs/>
          <w:sz w:val="20"/>
          <w:szCs w:val="20"/>
        </w:rPr>
        <w:t xml:space="preserve">Odpowiednie środki gaśnicze:</w:t>
      </w:r>
      <w:r>
        <w:rPr>
          <w:rFonts w:ascii="Arial" w:cs="Arial" w:eastAsia="Arial" w:hAnsi="Arial"/>
          <w:sz w:val="20"/>
          <w:szCs w:val="20"/>
        </w:rPr>
        <w:t xml:space="preserve"> piana gaśnicza, proszek gaśniczy, dwutlenek węgla.</w:t>
      </w:r>
    </w:p>
    <w:p>
      <w:pPr>
        <w:pBdr>
          <w:bottom w:color="00A651" w:sz="12" w:space="1"/>
        </w:pBdr>
        <w:spacing w:after="150" w:before="300"/>
      </w:pPr>
      <w:r>
        <w:rPr>
          <w:b/>
          <w:bCs/>
          <w:sz w:val="22"/>
          <w:szCs w:val="22"/>
        </w:rPr>
        <w:t xml:space="preserve">SEKCJA 6: POSTĘPOWANIE W PRZYPADKU NIEZAMIERZONEGO UWOLNIENIA DO ŚRODOWISKA</w:t>
      </w:r>
    </w:p>
    <w:p>
      <w:pPr>
        <w:spacing w:after="100" w:before="200"/>
      </w:pPr>
      <w:r>
        <w:rPr>
          <w:rFonts w:ascii="Arial" w:cs="Arial" w:eastAsia="Arial" w:hAnsi="Arial"/>
          <w:b/>
          <w:bCs/>
          <w:sz w:val="20"/>
          <w:szCs w:val="20"/>
        </w:rPr>
        <w:t xml:space="preserve">6.1. Indywidualne środki ostrożności: usunąć wszelkie źródła zapłonu.</w:t>
      </w:r>
    </w:p>
    <w:p>
      <w:pPr>
        <w:pBdr>
          <w:bottom w:color="00A651" w:sz="12" w:space="1"/>
        </w:pBdr>
        <w:spacing w:after="150" w:before="300"/>
      </w:pPr>
      <w:r>
        <w:rPr>
          <w:b/>
          <w:bCs/>
          <w:sz w:val="22"/>
          <w:szCs w:val="22"/>
        </w:rPr>
        <w:t xml:space="preserve">SEKCJA 7: POSTĘPOWANIE Z SUBSTANCJAMI I MIESZANINAMI ORAZ ICH MAGAZYNOWANIE</w:t>
      </w:r>
    </w:p>
    <w:p>
      <w:pPr>
        <w:spacing w:after="100" w:before="200"/>
      </w:pPr>
      <w:r>
        <w:rPr>
          <w:rFonts w:ascii="Arial" w:cs="Arial" w:eastAsia="Arial" w:hAnsi="Arial"/>
          <w:b/>
          <w:bCs/>
          <w:sz w:val="20"/>
          <w:szCs w:val="20"/>
        </w:rPr>
        <w:t xml:space="preserve">7.1. Środki ostrożności dotyczące bezpiecznego postępowania: unikać kontaktu z oczami i skórą.</w:t>
      </w:r>
    </w:p>
    <w:p>
      <w:pPr>
        <w:pBdr>
          <w:bottom w:color="00A651" w:sz="12" w:space="1"/>
        </w:pBdr>
        <w:spacing w:after="150" w:before="300"/>
      </w:pPr>
      <w:r>
        <w:rPr>
          <w:b/>
          <w:bCs/>
          <w:sz w:val="22"/>
          <w:szCs w:val="22"/>
        </w:rPr>
        <w:t xml:space="preserve">SEKCJA 8: KONTROLA NARAŻENIA/ŚRODKI OCHRONY INDYWIDUALNEJ</w:t>
      </w:r>
    </w:p>
    <w:p>
      <w:pPr>
        <w:spacing w:after="100" w:before="200"/>
      </w:pPr>
      <w:r>
        <w:rPr>
          <w:rFonts w:ascii="Arial" w:cs="Arial" w:eastAsia="Arial" w:hAnsi="Arial"/>
          <w:b/>
          <w:bCs/>
          <w:sz w:val="20"/>
          <w:szCs w:val="20"/>
        </w:rPr>
        <w:t xml:space="preserve">8.1. Parametry dotyczące kontroli</w:t>
      </w:r>
    </w:p>
    <w:p>
      <w:pPr>
        <w:spacing w:after="80"/>
      </w:pPr>
      <w:r>
        <w:rPr>
          <w:rFonts w:ascii="Arial" w:cs="Arial" w:eastAsia="Arial" w:hAnsi="Arial"/>
          <w:sz w:val="20"/>
          <w:szCs w:val="20"/>
        </w:rPr>
        <w:t xml:space="preserve">Krajowe wartości najwyższych dopuszczalnych stężeń w środowisku pracy (Polska – Dz.U. 2018 poz. 1286 z późn. zm., w tym Dz.U. 2024 poz. 1017):</w:t>
      </w:r>
    </w:p>
    <w:p>
      <w:pPr>
        <w:spacing w:after="80"/>
      </w:pPr>
      <w:r>
        <w:rPr>
          <w:rFonts w:ascii="Arial" w:cs="Arial" w:eastAsia="Arial" w:hAnsi="Arial"/>
          <w:sz w:val="20"/>
          <w:szCs w:val="20"/>
        </w:rPr>
        <w:t xml:space="preserve">Etanol [CAS: 64-17-5]:</w:t>
      </w:r>
    </w:p>
    <w:p>
      <w:pPr>
        <w:spacing w:after="60" w:before="60"/>
      </w:pPr>
      <w:r>
        <w:rPr>
          <w:rFonts w:ascii="Arial" w:cs="Arial" w:eastAsia="Arial" w:hAnsi="Arial"/>
          <w:b/>
          <w:bCs/>
          <w:sz w:val="20"/>
          <w:szCs w:val="20"/>
        </w:rPr>
        <w:t xml:space="preserve">- NDS:</w:t>
      </w:r>
      <w:r>
        <w:rPr>
          <w:rFonts w:ascii="Arial" w:cs="Arial" w:eastAsia="Arial" w:hAnsi="Arial"/>
          <w:sz w:val="20"/>
          <w:szCs w:val="20"/>
        </w:rPr>
        <w:t xml:space="preserve"> 1900 mg/m³</w:t>
      </w:r>
    </w:p>
    <w:p>
      <w:pPr>
        <w:spacing w:after="80"/>
      </w:pPr>
      <w:r>
        <w:rPr>
          <w:rFonts w:ascii="Arial" w:cs="Arial" w:eastAsia="Arial" w:hAnsi="Arial"/>
          <w:sz w:val="20"/>
          <w:szCs w:val="20"/>
        </w:rPr>
        <w:t xml:space="preserve">2,6-di-tert-butylo-4-metylofenol (BHT) [CAS: 128-37-0]:</w:t>
      </w:r>
    </w:p>
    <w:p>
      <w:pPr>
        <w:spacing w:after="60" w:before="60"/>
      </w:pPr>
      <w:r>
        <w:rPr>
          <w:rFonts w:ascii="Arial" w:cs="Arial" w:eastAsia="Arial" w:hAnsi="Arial"/>
          <w:b/>
          <w:bCs/>
          <w:sz w:val="20"/>
          <w:szCs w:val="20"/>
        </w:rPr>
        <w:t xml:space="preserve">- NDS:</w:t>
      </w:r>
      <w:r>
        <w:rPr>
          <w:rFonts w:ascii="Arial" w:cs="Arial" w:eastAsia="Arial" w:hAnsi="Arial"/>
          <w:sz w:val="20"/>
          <w:szCs w:val="20"/>
        </w:rPr>
        <w:t xml:space="preserve"> 10 mg/m³ (frakcja wdychalna)</w:t>
      </w:r>
    </w:p>
    <w:p>
      <w:pPr>
        <w:spacing w:after="60" w:before="60"/>
      </w:pPr>
      <w:r>
        <w:rPr>
          <w:rFonts w:ascii="Arial" w:cs="Arial" w:eastAsia="Arial" w:hAnsi="Arial"/>
          <w:b/>
          <w:bCs/>
          <w:sz w:val="20"/>
          <w:szCs w:val="20"/>
        </w:rPr>
        <w:t xml:space="preserve">- NDSCh:</w:t>
      </w:r>
      <w:r>
        <w:rPr>
          <w:rFonts w:ascii="Arial" w:cs="Arial" w:eastAsia="Arial" w:hAnsi="Arial"/>
          <w:sz w:val="20"/>
          <w:szCs w:val="20"/>
        </w:rPr>
        <w:t xml:space="preserve"> nie ustalono</w:t>
      </w:r>
    </w:p>
    <w:p>
      <w:pPr>
        <w:spacing w:after="80"/>
      </w:pPr>
      <w:r>
        <w:rPr>
          <w:rFonts w:ascii="Arial" w:cs="Arial" w:eastAsia="Arial" w:hAnsi="Arial"/>
          <w:sz w:val="20"/>
          <w:szCs w:val="20"/>
        </w:rPr>
        <w:t xml:space="preserve">Toluen [CAS: 108-88-3]:</w:t>
      </w:r>
    </w:p>
    <w:p>
      <w:pPr>
        <w:spacing w:after="60" w:before="60"/>
      </w:pPr>
      <w:r>
        <w:rPr>
          <w:rFonts w:ascii="Arial" w:cs="Arial" w:eastAsia="Arial" w:hAnsi="Arial"/>
          <w:b/>
          <w:bCs/>
          <w:sz w:val="20"/>
          <w:szCs w:val="20"/>
        </w:rPr>
        <w:t xml:space="preserve">- NDS:</w:t>
      </w:r>
      <w:r>
        <w:rPr>
          <w:rFonts w:ascii="Arial" w:cs="Arial" w:eastAsia="Arial" w:hAnsi="Arial"/>
          <w:sz w:val="20"/>
          <w:szCs w:val="20"/>
        </w:rPr>
        <w:t xml:space="preserve"> 100 mg/m³</w:t>
      </w:r>
    </w:p>
    <w:p>
      <w:pPr>
        <w:spacing w:after="60" w:before="60"/>
      </w:pPr>
      <w:r>
        <w:rPr>
          <w:rFonts w:ascii="Arial" w:cs="Arial" w:eastAsia="Arial" w:hAnsi="Arial"/>
          <w:b/>
          <w:bCs/>
          <w:sz w:val="20"/>
          <w:szCs w:val="20"/>
        </w:rPr>
        <w:t xml:space="preserve">- NDSCh:</w:t>
      </w:r>
      <w:r>
        <w:rPr>
          <w:rFonts w:ascii="Arial" w:cs="Arial" w:eastAsia="Arial" w:hAnsi="Arial"/>
          <w:sz w:val="20"/>
          <w:szCs w:val="20"/>
        </w:rPr>
        <w:t xml:space="preserve"> 200 mg/m³</w:t>
      </w:r>
    </w:p>
    <w:p>
      <w:pPr>
        <w:spacing w:after="60" w:before="60"/>
      </w:pPr>
      <w:r>
        <w:rPr>
          <w:rFonts w:ascii="Arial" w:cs="Arial" w:eastAsia="Arial" w:hAnsi="Arial"/>
          <w:b/>
          <w:bCs/>
          <w:sz w:val="20"/>
          <w:szCs w:val="20"/>
        </w:rPr>
        <w:t xml:space="preserve">- Uwagi:</w:t>
      </w:r>
      <w:r>
        <w:rPr>
          <w:rFonts w:ascii="Arial" w:cs="Arial" w:eastAsia="Arial" w:hAnsi="Arial"/>
          <w:sz w:val="20"/>
          <w:szCs w:val="20"/>
        </w:rPr>
        <w:t xml:space="preserve"> oznakowanie substancji notacją „skóra”</w:t>
      </w:r>
    </w:p>
    <w:p>
      <w:pPr>
        <w:spacing w:after="80"/>
      </w:pPr>
      <w:r>
        <w:rPr>
          <w:rFonts w:ascii="Arial" w:cs="Arial" w:eastAsia="Arial" w:hAnsi="Arial"/>
          <w:sz w:val="20"/>
          <w:szCs w:val="20"/>
        </w:rPr>
        <w:t xml:space="preserve">Aceton [CAS: 67-64-1]:</w:t>
      </w:r>
    </w:p>
    <w:p>
      <w:pPr>
        <w:spacing w:after="60" w:before="60"/>
      </w:pPr>
      <w:r>
        <w:rPr>
          <w:rFonts w:ascii="Arial" w:cs="Arial" w:eastAsia="Arial" w:hAnsi="Arial"/>
          <w:b/>
          <w:bCs/>
          <w:sz w:val="20"/>
          <w:szCs w:val="20"/>
        </w:rPr>
        <w:t xml:space="preserve">- NDS:</w:t>
      </w:r>
      <w:r>
        <w:rPr>
          <w:rFonts w:ascii="Arial" w:cs="Arial" w:eastAsia="Arial" w:hAnsi="Arial"/>
          <w:sz w:val="20"/>
          <w:szCs w:val="20"/>
        </w:rPr>
        <w:t xml:space="preserve"> 600 mg/m³</w:t>
      </w:r>
    </w:p>
    <w:p>
      <w:pPr>
        <w:spacing w:after="60" w:before="60"/>
      </w:pPr>
      <w:r>
        <w:rPr>
          <w:rFonts w:ascii="Arial" w:cs="Arial" w:eastAsia="Arial" w:hAnsi="Arial"/>
          <w:b/>
          <w:bCs/>
          <w:sz w:val="20"/>
          <w:szCs w:val="20"/>
        </w:rPr>
        <w:t xml:space="preserve">- NDSCh:</w:t>
      </w:r>
      <w:r>
        <w:rPr>
          <w:rFonts w:ascii="Arial" w:cs="Arial" w:eastAsia="Arial" w:hAnsi="Arial"/>
          <w:sz w:val="20"/>
          <w:szCs w:val="20"/>
        </w:rPr>
        <w:t xml:space="preserve"> 1800 mg/m³</w:t>
      </w:r>
    </w:p>
    <w:p>
      <w:pPr>
        <w:spacing w:after="80"/>
      </w:pPr>
      <w:r>
        <w:rPr>
          <w:rFonts w:ascii="Arial" w:cs="Arial" w:eastAsia="Arial" w:hAnsi="Arial"/>
          <w:sz w:val="20"/>
          <w:szCs w:val="20"/>
        </w:rPr>
        <w:t xml:space="preserve">Metanol [CAS: 67-56-1]:</w:t>
      </w:r>
    </w:p>
    <w:p>
      <w:pPr>
        <w:spacing w:after="60" w:before="60"/>
      </w:pPr>
      <w:r>
        <w:rPr>
          <w:rFonts w:ascii="Arial" w:cs="Arial" w:eastAsia="Arial" w:hAnsi="Arial"/>
          <w:b/>
          <w:bCs/>
          <w:sz w:val="20"/>
          <w:szCs w:val="20"/>
        </w:rPr>
        <w:t xml:space="preserve">- NDS:</w:t>
      </w:r>
      <w:r>
        <w:rPr>
          <w:rFonts w:ascii="Arial" w:cs="Arial" w:eastAsia="Arial" w:hAnsi="Arial"/>
          <w:sz w:val="20"/>
          <w:szCs w:val="20"/>
        </w:rPr>
        <w:t xml:space="preserve"> 100 mg/m³</w:t>
      </w:r>
    </w:p>
    <w:p>
      <w:pPr>
        <w:spacing w:after="60" w:before="60"/>
      </w:pPr>
      <w:r>
        <w:rPr>
          <w:rFonts w:ascii="Arial" w:cs="Arial" w:eastAsia="Arial" w:hAnsi="Arial"/>
          <w:b/>
          <w:bCs/>
          <w:sz w:val="20"/>
          <w:szCs w:val="20"/>
        </w:rPr>
        <w:t xml:space="preserve">- NDSCh:</w:t>
      </w:r>
      <w:r>
        <w:rPr>
          <w:rFonts w:ascii="Arial" w:cs="Arial" w:eastAsia="Arial" w:hAnsi="Arial"/>
          <w:sz w:val="20"/>
          <w:szCs w:val="20"/>
        </w:rPr>
        <w:t xml:space="preserve"> 300 mg/m³</w:t>
      </w:r>
    </w:p>
    <w:p>
      <w:pPr>
        <w:spacing w:after="60" w:before="60"/>
      </w:pPr>
      <w:r>
        <w:rPr>
          <w:rFonts w:ascii="Arial" w:cs="Arial" w:eastAsia="Arial" w:hAnsi="Arial"/>
          <w:b/>
          <w:bCs/>
          <w:sz w:val="20"/>
          <w:szCs w:val="20"/>
        </w:rPr>
        <w:t xml:space="preserve">- Uwagi:</w:t>
      </w:r>
      <w:r>
        <w:rPr>
          <w:rFonts w:ascii="Arial" w:cs="Arial" w:eastAsia="Arial" w:hAnsi="Arial"/>
          <w:sz w:val="20"/>
          <w:szCs w:val="20"/>
        </w:rPr>
        <w:t xml:space="preserve"> oznakowanie substancji notacją „skóra”</w:t>
      </w:r>
    </w:p>
    <w:p>
      <w:pPr>
        <w:spacing w:after="80" w:before="150"/>
      </w:pPr>
      <w:r>
        <w:rPr>
          <w:rFonts w:ascii="Arial" w:cs="Arial" w:eastAsia="Arial" w:hAnsi="Arial"/>
          <w:b/>
          <w:bCs/>
          <w:sz w:val="20"/>
          <w:szCs w:val="20"/>
        </w:rPr>
        <w:t xml:space="preserve">Wspólnotowe i zagraniczne dopuszczalne wartości narażenia zawodowego (OEL):</w:t>
      </w:r>
    </w:p>
    <w:p>
      <w:pPr>
        <w:spacing w:after="80" w:before="150"/>
      </w:pPr>
      <w:r>
        <w:rPr>
          <w:rFonts w:ascii="Arial" w:cs="Arial" w:eastAsia="Arial" w:hAnsi="Arial"/>
          <w:b/>
          <w:bCs/>
          <w:sz w:val="20"/>
          <w:szCs w:val="20"/>
        </w:rPr>
        <w:t xml:space="preserve">Etanol (CAS: 64-17-5):</w:t>
      </w:r>
    </w:p>
    <w:p>
      <w:pPr>
        <w:spacing w:after="80"/>
      </w:pPr>
      <w:r>
        <w:rPr>
          <w:rFonts w:ascii="Arial" w:cs="Arial" w:eastAsia="Arial" w:hAnsi="Arial"/>
          <w:sz w:val="20"/>
          <w:szCs w:val="20"/>
        </w:rPr>
        <w:t xml:space="preserve">Niemcy (AGW) / Austria (MAK): 380 mg/m³ (200 ppm) / 960 mg/m³ (500 ppm).</w:t>
      </w:r>
    </w:p>
    <w:p>
      <w:pPr>
        <w:spacing w:after="80"/>
      </w:pPr>
      <w:r>
        <w:rPr>
          <w:rFonts w:ascii="Arial" w:cs="Arial" w:eastAsia="Arial" w:hAnsi="Arial"/>
          <w:sz w:val="20"/>
          <w:szCs w:val="20"/>
        </w:rPr>
        <w:t xml:space="preserve">Pochodne poziomy niepowodujące zmian (DNEL) oraz Przewidywane stężenia niepowodujące zmian w środowisku (PNEC):</w:t>
      </w:r>
    </w:p>
    <w:p>
      <w:pPr>
        <w:spacing w:after="80"/>
      </w:pPr>
      <w:r>
        <w:rPr>
          <w:rFonts w:ascii="Arial" w:cs="Arial" w:eastAsia="Arial" w:hAnsi="Arial"/>
          <w:sz w:val="20"/>
          <w:szCs w:val="20"/>
        </w:rPr>
        <w:t xml:space="preserve">Substancja: etanol [CAS: 64-17-5]</w:t>
      </w:r>
    </w:p>
    <w:p>
      <w:pPr>
        <w:spacing w:after="80"/>
      </w:pPr>
      <w:r>
        <w:rPr>
          <w:rFonts w:ascii="Arial" w:cs="Arial" w:eastAsia="Arial" w:hAnsi="Arial"/>
          <w:sz w:val="20"/>
          <w:szCs w:val="20"/>
        </w:rPr>
        <w:t xml:space="preserve">Pochodne poziomy niepowodujące zmian (DNEL):</w:t>
      </w:r>
    </w:p>
    <w:p>
      <w:pPr>
        <w:spacing w:after="60" w:before="60"/>
      </w:pPr>
      <w:r>
        <w:rPr>
          <w:rFonts w:ascii="Arial" w:cs="Arial" w:eastAsia="Arial" w:hAnsi="Arial"/>
          <w:b/>
          <w:bCs/>
          <w:sz w:val="20"/>
          <w:szCs w:val="20"/>
        </w:rPr>
        <w:t xml:space="preserve">- Droga pokarmowa (doustnie):</w:t>
      </w:r>
      <w:r>
        <w:rPr>
          <w:rFonts w:ascii="Arial" w:cs="Arial" w:eastAsia="Arial" w:hAnsi="Arial"/>
          <w:sz w:val="20"/>
          <w:szCs w:val="20"/>
        </w:rPr>
        <w:t xml:space="preserve"> Konsumenci (skutki przewlekłe układowe): 87 mg/kg mc/dzień</w:t>
      </w:r>
    </w:p>
    <w:p>
      <w:pPr>
        <w:spacing w:after="60" w:before="60"/>
      </w:pPr>
      <w:r>
        <w:rPr>
          <w:rFonts w:ascii="Arial" w:cs="Arial" w:eastAsia="Arial" w:hAnsi="Arial"/>
          <w:b/>
          <w:bCs/>
          <w:sz w:val="20"/>
          <w:szCs w:val="20"/>
        </w:rPr>
        <w:t xml:space="preserve">- Drogi oddechowe (inhalacyjnie):</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114 mg/m³</w:t>
      </w:r>
    </w:p>
    <w:p>
      <w:pPr>
        <w:spacing w:after="60" w:before="60"/>
      </w:pPr>
      <w:r>
        <w:rPr>
          <w:rFonts w:ascii="Arial" w:cs="Arial" w:eastAsia="Arial" w:hAnsi="Arial"/>
          <w:b/>
          <w:bCs/>
          <w:sz w:val="20"/>
          <w:szCs w:val="20"/>
        </w:rPr>
        <w:t xml:space="preserve">* Pracownicy:</w:t>
      </w:r>
      <w:r>
        <w:rPr>
          <w:rFonts w:ascii="Arial" w:cs="Arial" w:eastAsia="Arial" w:hAnsi="Arial"/>
          <w:sz w:val="20"/>
          <w:szCs w:val="20"/>
        </w:rPr>
        <w:t xml:space="preserve"> skutki przewlekłe układowe: 950 mg/m³; skutki ostre miejscowe: 1900 mg/m³</w:t>
      </w:r>
    </w:p>
    <w:p>
      <w:pPr>
        <w:spacing w:after="60" w:before="60"/>
      </w:pPr>
      <w:r>
        <w:rPr>
          <w:rFonts w:ascii="Arial" w:cs="Arial" w:eastAsia="Arial" w:hAnsi="Arial"/>
          <w:b/>
          <w:bCs/>
          <w:sz w:val="20"/>
          <w:szCs w:val="20"/>
        </w:rPr>
        <w:t xml:space="preserve">- Na skórę:</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206 mg/kg mc/dzień</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343 mg/kg mc/dzień</w:t>
      </w:r>
    </w:p>
    <w:p>
      <w:pPr>
        <w:spacing w:after="80"/>
      </w:pPr>
      <w:r>
        <w:rPr>
          <w:rFonts w:ascii="Arial" w:cs="Arial" w:eastAsia="Arial" w:hAnsi="Arial"/>
          <w:sz w:val="20"/>
          <w:szCs w:val="20"/>
        </w:rPr>
        <w:t xml:space="preserve">Przewidywane stężenia niepowodujące zmian w środowisku (PNEC):</w:t>
      </w:r>
    </w:p>
    <w:p>
      <w:pPr>
        <w:spacing w:after="60" w:before="60"/>
      </w:pPr>
      <w:r>
        <w:rPr>
          <w:rFonts w:ascii="Arial" w:cs="Arial" w:eastAsia="Arial" w:hAnsi="Arial"/>
          <w:b/>
          <w:bCs/>
          <w:sz w:val="20"/>
          <w:szCs w:val="20"/>
        </w:rPr>
        <w:t xml:space="preserve">- woda słodka:</w:t>
      </w:r>
      <w:r>
        <w:rPr>
          <w:rFonts w:ascii="Arial" w:cs="Arial" w:eastAsia="Arial" w:hAnsi="Arial"/>
          <w:sz w:val="20"/>
          <w:szCs w:val="20"/>
        </w:rPr>
        <w:t xml:space="preserve"> 0,96 mg/l</w:t>
      </w:r>
    </w:p>
    <w:p>
      <w:pPr>
        <w:spacing w:after="60" w:before="60"/>
      </w:pPr>
      <w:r>
        <w:rPr>
          <w:rFonts w:ascii="Arial" w:cs="Arial" w:eastAsia="Arial" w:hAnsi="Arial"/>
          <w:b/>
          <w:bCs/>
          <w:sz w:val="20"/>
          <w:szCs w:val="20"/>
        </w:rPr>
        <w:t xml:space="preserve">- woda morska:</w:t>
      </w:r>
      <w:r>
        <w:rPr>
          <w:rFonts w:ascii="Arial" w:cs="Arial" w:eastAsia="Arial" w:hAnsi="Arial"/>
          <w:sz w:val="20"/>
          <w:szCs w:val="20"/>
        </w:rPr>
        <w:t xml:space="preserve"> 0,79 mg/l</w:t>
      </w:r>
    </w:p>
    <w:p>
      <w:pPr>
        <w:spacing w:after="60" w:before="60"/>
      </w:pPr>
      <w:r>
        <w:rPr>
          <w:rFonts w:ascii="Arial" w:cs="Arial" w:eastAsia="Arial" w:hAnsi="Arial"/>
          <w:b/>
          <w:bCs/>
          <w:sz w:val="20"/>
          <w:szCs w:val="20"/>
        </w:rPr>
        <w:t xml:space="preserve">- osady słodkowodne:</w:t>
      </w:r>
      <w:r>
        <w:rPr>
          <w:rFonts w:ascii="Arial" w:cs="Arial" w:eastAsia="Arial" w:hAnsi="Arial"/>
          <w:sz w:val="20"/>
          <w:szCs w:val="20"/>
        </w:rPr>
        <w:t xml:space="preserve"> 3,6 mg/kg</w:t>
      </w:r>
    </w:p>
    <w:p>
      <w:pPr>
        <w:spacing w:after="60" w:before="60"/>
      </w:pPr>
      <w:r>
        <w:rPr>
          <w:rFonts w:ascii="Arial" w:cs="Arial" w:eastAsia="Arial" w:hAnsi="Arial"/>
          <w:b/>
          <w:bCs/>
          <w:sz w:val="20"/>
          <w:szCs w:val="20"/>
        </w:rPr>
        <w:t xml:space="preserve">- osady morskie:</w:t>
      </w:r>
      <w:r>
        <w:rPr>
          <w:rFonts w:ascii="Arial" w:cs="Arial" w:eastAsia="Arial" w:hAnsi="Arial"/>
          <w:sz w:val="20"/>
          <w:szCs w:val="20"/>
        </w:rPr>
        <w:t xml:space="preserve"> 2,9 mg/kg</w:t>
      </w:r>
    </w:p>
    <w:p>
      <w:pPr>
        <w:spacing w:after="60" w:before="60"/>
      </w:pPr>
      <w:r>
        <w:rPr>
          <w:rFonts w:ascii="Arial" w:cs="Arial" w:eastAsia="Arial" w:hAnsi="Arial"/>
          <w:b/>
          <w:bCs/>
          <w:sz w:val="20"/>
          <w:szCs w:val="20"/>
        </w:rPr>
        <w:t xml:space="preserve">- woda (uwalnianie okresowe):</w:t>
      </w:r>
      <w:r>
        <w:rPr>
          <w:rFonts w:ascii="Arial" w:cs="Arial" w:eastAsia="Arial" w:hAnsi="Arial"/>
          <w:sz w:val="20"/>
          <w:szCs w:val="20"/>
        </w:rPr>
        <w:t xml:space="preserve"> 2,75 mg/l</w:t>
      </w:r>
    </w:p>
    <w:p>
      <w:pPr>
        <w:spacing w:after="60" w:before="60"/>
      </w:pPr>
      <w:r>
        <w:rPr>
          <w:rFonts w:ascii="Arial" w:cs="Arial" w:eastAsia="Arial" w:hAnsi="Arial"/>
          <w:b/>
          <w:bCs/>
          <w:sz w:val="20"/>
          <w:szCs w:val="20"/>
        </w:rPr>
        <w:t xml:space="preserve">- mikroorganizmy w oczyszczalni ścieków (STP):</w:t>
      </w:r>
      <w:r>
        <w:rPr>
          <w:rFonts w:ascii="Arial" w:cs="Arial" w:eastAsia="Arial" w:hAnsi="Arial"/>
          <w:sz w:val="20"/>
          <w:szCs w:val="20"/>
        </w:rPr>
        <w:t xml:space="preserve"> 580 mg/l</w:t>
      </w:r>
    </w:p>
    <w:p>
      <w:pPr>
        <w:spacing w:after="60" w:before="60"/>
      </w:pPr>
      <w:r>
        <w:rPr>
          <w:rFonts w:ascii="Arial" w:cs="Arial" w:eastAsia="Arial" w:hAnsi="Arial"/>
          <w:b/>
          <w:bCs/>
          <w:sz w:val="20"/>
          <w:szCs w:val="20"/>
        </w:rPr>
        <w:t xml:space="preserve">- łańcuch pokarmowy (zatrucie wtórne):</w:t>
      </w:r>
      <w:r>
        <w:rPr>
          <w:rFonts w:ascii="Arial" w:cs="Arial" w:eastAsia="Arial" w:hAnsi="Arial"/>
          <w:sz w:val="20"/>
          <w:szCs w:val="20"/>
        </w:rPr>
        <w:t xml:space="preserve"> 0,38 mg/kg</w:t>
      </w:r>
    </w:p>
    <w:p>
      <w:pPr>
        <w:spacing w:after="60" w:before="60"/>
      </w:pPr>
      <w:r>
        <w:rPr>
          <w:rFonts w:ascii="Arial" w:cs="Arial" w:eastAsia="Arial" w:hAnsi="Arial"/>
          <w:b/>
          <w:bCs/>
          <w:sz w:val="20"/>
          <w:szCs w:val="20"/>
        </w:rPr>
        <w:t xml:space="preserve">- środowisko glebowe (gleba):</w:t>
      </w:r>
      <w:r>
        <w:rPr>
          <w:rFonts w:ascii="Arial" w:cs="Arial" w:eastAsia="Arial" w:hAnsi="Arial"/>
          <w:sz w:val="20"/>
          <w:szCs w:val="20"/>
        </w:rPr>
        <w:t xml:space="preserve"> 0,63 mg/kg</w:t>
      </w:r>
    </w:p>
    <w:p>
      <w:pPr>
        <w:spacing w:after="80"/>
      </w:pPr>
      <w:r>
        <w:rPr>
          <w:rFonts w:ascii="Arial" w:cs="Arial" w:eastAsia="Arial" w:hAnsi="Arial"/>
          <w:sz w:val="20"/>
          <w:szCs w:val="20"/>
        </w:rPr>
        <w:t xml:space="preserve">Substancja: salicylan benzylu [CAS: 118-58-1]</w:t>
      </w:r>
    </w:p>
    <w:p>
      <w:pPr>
        <w:spacing w:after="80"/>
      </w:pPr>
      <w:r>
        <w:rPr>
          <w:rFonts w:ascii="Arial" w:cs="Arial" w:eastAsia="Arial" w:hAnsi="Arial"/>
          <w:sz w:val="20"/>
          <w:szCs w:val="20"/>
        </w:rPr>
        <w:t xml:space="preserve">Pochodne poziomy niepowodujące zmian (DNEL):</w:t>
      </w:r>
    </w:p>
    <w:p>
      <w:pPr>
        <w:spacing w:after="60" w:before="60"/>
      </w:pPr>
      <w:r>
        <w:rPr>
          <w:rFonts w:ascii="Arial" w:cs="Arial" w:eastAsia="Arial" w:hAnsi="Arial"/>
          <w:b/>
          <w:bCs/>
          <w:sz w:val="20"/>
          <w:szCs w:val="20"/>
        </w:rPr>
        <w:t xml:space="preserve">- Droga pokarmowa (doustnie):</w:t>
      </w:r>
      <w:r>
        <w:rPr>
          <w:rFonts w:ascii="Arial" w:cs="Arial" w:eastAsia="Arial" w:hAnsi="Arial"/>
          <w:sz w:val="20"/>
          <w:szCs w:val="20"/>
        </w:rPr>
        <w:t xml:space="preserve"> Konsumenci (skutki przewlekłe układowe): 0,45 mg/kg mc/dzień</w:t>
      </w:r>
    </w:p>
    <w:p>
      <w:pPr>
        <w:spacing w:after="60" w:before="60"/>
      </w:pPr>
      <w:r>
        <w:rPr>
          <w:rFonts w:ascii="Arial" w:cs="Arial" w:eastAsia="Arial" w:hAnsi="Arial"/>
          <w:b/>
          <w:bCs/>
          <w:sz w:val="20"/>
          <w:szCs w:val="20"/>
        </w:rPr>
        <w:t xml:space="preserve">- Drogi oddechowe (inhalacyjnie):</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0,78 mg/m³</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3,17 mg/m³</w:t>
      </w:r>
    </w:p>
    <w:p>
      <w:pPr>
        <w:spacing w:after="60" w:before="60"/>
      </w:pPr>
      <w:r>
        <w:rPr>
          <w:rFonts w:ascii="Arial" w:cs="Arial" w:eastAsia="Arial" w:hAnsi="Arial"/>
          <w:b/>
          <w:bCs/>
          <w:sz w:val="20"/>
          <w:szCs w:val="20"/>
        </w:rPr>
        <w:t xml:space="preserve">- Na skórę:</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0,45 mg/kg mc/dzień</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0,9 mg/kg mc/dzień</w:t>
      </w:r>
    </w:p>
    <w:p>
      <w:pPr>
        <w:spacing w:after="80"/>
      </w:pPr>
      <w:r>
        <w:rPr>
          <w:rFonts w:ascii="Arial" w:cs="Arial" w:eastAsia="Arial" w:hAnsi="Arial"/>
          <w:sz w:val="20"/>
          <w:szCs w:val="20"/>
        </w:rPr>
        <w:t xml:space="preserve">Przewidywane stężenia niepowodujące zmian w środowisku (PNEC):</w:t>
      </w:r>
    </w:p>
    <w:p>
      <w:pPr>
        <w:spacing w:after="60" w:before="60"/>
      </w:pPr>
      <w:r>
        <w:rPr>
          <w:rFonts w:ascii="Arial" w:cs="Arial" w:eastAsia="Arial" w:hAnsi="Arial"/>
          <w:b/>
          <w:bCs/>
          <w:sz w:val="20"/>
          <w:szCs w:val="20"/>
        </w:rPr>
        <w:t xml:space="preserve">- woda słodka:</w:t>
      </w:r>
      <w:r>
        <w:rPr>
          <w:rFonts w:ascii="Arial" w:cs="Arial" w:eastAsia="Arial" w:hAnsi="Arial"/>
          <w:sz w:val="20"/>
          <w:szCs w:val="20"/>
        </w:rPr>
        <w:t xml:space="preserve"> 0,001 mg/l</w:t>
      </w:r>
    </w:p>
    <w:p>
      <w:pPr>
        <w:spacing w:after="60" w:before="60"/>
      </w:pPr>
      <w:r>
        <w:rPr>
          <w:rFonts w:ascii="Arial" w:cs="Arial" w:eastAsia="Arial" w:hAnsi="Arial"/>
          <w:b/>
          <w:bCs/>
          <w:sz w:val="20"/>
          <w:szCs w:val="20"/>
        </w:rPr>
        <w:t xml:space="preserve">- woda morska:</w:t>
      </w:r>
      <w:r>
        <w:rPr>
          <w:rFonts w:ascii="Arial" w:cs="Arial" w:eastAsia="Arial" w:hAnsi="Arial"/>
          <w:sz w:val="20"/>
          <w:szCs w:val="20"/>
        </w:rPr>
        <w:t xml:space="preserve"> 0 mg/l</w:t>
      </w:r>
    </w:p>
    <w:p>
      <w:pPr>
        <w:spacing w:after="60" w:before="60"/>
      </w:pPr>
      <w:r>
        <w:rPr>
          <w:rFonts w:ascii="Arial" w:cs="Arial" w:eastAsia="Arial" w:hAnsi="Arial"/>
          <w:b/>
          <w:bCs/>
          <w:sz w:val="20"/>
          <w:szCs w:val="20"/>
        </w:rPr>
        <w:t xml:space="preserve">- osady słodkowodne:</w:t>
      </w:r>
      <w:r>
        <w:rPr>
          <w:rFonts w:ascii="Arial" w:cs="Arial" w:eastAsia="Arial" w:hAnsi="Arial"/>
          <w:sz w:val="20"/>
          <w:szCs w:val="20"/>
        </w:rPr>
        <w:t xml:space="preserve"> 0,583 mg/kg</w:t>
      </w:r>
    </w:p>
    <w:p>
      <w:pPr>
        <w:spacing w:after="60" w:before="60"/>
      </w:pPr>
      <w:r>
        <w:rPr>
          <w:rFonts w:ascii="Arial" w:cs="Arial" w:eastAsia="Arial" w:hAnsi="Arial"/>
          <w:b/>
          <w:bCs/>
          <w:sz w:val="20"/>
          <w:szCs w:val="20"/>
        </w:rPr>
        <w:t xml:space="preserve">- osady morskie:</w:t>
      </w:r>
      <w:r>
        <w:rPr>
          <w:rFonts w:ascii="Arial" w:cs="Arial" w:eastAsia="Arial" w:hAnsi="Arial"/>
          <w:sz w:val="20"/>
          <w:szCs w:val="20"/>
        </w:rPr>
        <w:t xml:space="preserve"> 0,058 mg/kg</w:t>
      </w:r>
    </w:p>
    <w:p>
      <w:pPr>
        <w:spacing w:after="60" w:before="60"/>
      </w:pPr>
      <w:r>
        <w:rPr>
          <w:rFonts w:ascii="Arial" w:cs="Arial" w:eastAsia="Arial" w:hAnsi="Arial"/>
          <w:b/>
          <w:bCs/>
          <w:sz w:val="20"/>
          <w:szCs w:val="20"/>
        </w:rPr>
        <w:t xml:space="preserve">- woda (uwalnianie okresowe):</w:t>
      </w:r>
      <w:r>
        <w:rPr>
          <w:rFonts w:ascii="Arial" w:cs="Arial" w:eastAsia="Arial" w:hAnsi="Arial"/>
          <w:sz w:val="20"/>
          <w:szCs w:val="20"/>
        </w:rPr>
        <w:t xml:space="preserve"> 0,01 mg/l</w:t>
      </w:r>
    </w:p>
    <w:p>
      <w:pPr>
        <w:spacing w:after="60" w:before="60"/>
      </w:pPr>
      <w:r>
        <w:rPr>
          <w:rFonts w:ascii="Arial" w:cs="Arial" w:eastAsia="Arial" w:hAnsi="Arial"/>
          <w:b/>
          <w:bCs/>
          <w:sz w:val="20"/>
          <w:szCs w:val="20"/>
        </w:rPr>
        <w:t xml:space="preserve">- mikroorganizmy w oczyszczalni ścieków (STP):</w:t>
      </w:r>
      <w:r>
        <w:rPr>
          <w:rFonts w:ascii="Arial" w:cs="Arial" w:eastAsia="Arial" w:hAnsi="Arial"/>
          <w:sz w:val="20"/>
          <w:szCs w:val="20"/>
        </w:rPr>
        <w:t xml:space="preserve"> 10 mg/l</w:t>
      </w:r>
    </w:p>
    <w:p>
      <w:pPr>
        <w:spacing w:after="60" w:before="60"/>
      </w:pPr>
      <w:r>
        <w:rPr>
          <w:rFonts w:ascii="Arial" w:cs="Arial" w:eastAsia="Arial" w:hAnsi="Arial"/>
          <w:b/>
          <w:bCs/>
          <w:sz w:val="20"/>
          <w:szCs w:val="20"/>
        </w:rPr>
        <w:t xml:space="preserve">- łańcuch pokarmowy (zatrucie wtórne):</w:t>
      </w:r>
      <w:r>
        <w:rPr>
          <w:rFonts w:ascii="Arial" w:cs="Arial" w:eastAsia="Arial" w:hAnsi="Arial"/>
          <w:sz w:val="20"/>
          <w:szCs w:val="20"/>
        </w:rPr>
        <w:t xml:space="preserve"> 80 mg/kg</w:t>
      </w:r>
    </w:p>
    <w:p>
      <w:pPr>
        <w:spacing w:after="60" w:before="60"/>
      </w:pPr>
      <w:r>
        <w:rPr>
          <w:rFonts w:ascii="Arial" w:cs="Arial" w:eastAsia="Arial" w:hAnsi="Arial"/>
          <w:b/>
          <w:bCs/>
          <w:sz w:val="20"/>
          <w:szCs w:val="20"/>
        </w:rPr>
        <w:t xml:space="preserve">- środowisko glebowe (gleba):</w:t>
      </w:r>
      <w:r>
        <w:rPr>
          <w:rFonts w:ascii="Arial" w:cs="Arial" w:eastAsia="Arial" w:hAnsi="Arial"/>
          <w:sz w:val="20"/>
          <w:szCs w:val="20"/>
        </w:rPr>
        <w:t xml:space="preserve"> 1,41 mg/kg</w:t>
      </w:r>
    </w:p>
    <w:p>
      <w:pPr>
        <w:spacing w:after="80"/>
      </w:pPr>
      <w:r>
        <w:rPr>
          <w:rFonts w:ascii="Arial" w:cs="Arial" w:eastAsia="Arial" w:hAnsi="Arial"/>
          <w:sz w:val="20"/>
          <w:szCs w:val="20"/>
        </w:rPr>
        <w:t xml:space="preserve">Substancja: galaksolid (1,3,4,6,7,8-heksahydro-4,6,6,7,8,8-heksametyloindeno[5,6-c]piran) [CAS: 1222-05-5]</w:t>
      </w:r>
    </w:p>
    <w:p>
      <w:pPr>
        <w:spacing w:after="80"/>
      </w:pPr>
      <w:r>
        <w:rPr>
          <w:rFonts w:ascii="Arial" w:cs="Arial" w:eastAsia="Arial" w:hAnsi="Arial"/>
          <w:sz w:val="20"/>
          <w:szCs w:val="20"/>
        </w:rPr>
        <w:t xml:space="preserve">Pochodne poziomy niepowodujące zmian (DNEL):</w:t>
      </w:r>
    </w:p>
    <w:p>
      <w:pPr>
        <w:spacing w:after="60" w:before="60"/>
      </w:pPr>
      <w:r>
        <w:rPr>
          <w:rFonts w:ascii="Arial" w:cs="Arial" w:eastAsia="Arial" w:hAnsi="Arial"/>
          <w:b/>
          <w:bCs/>
          <w:sz w:val="20"/>
          <w:szCs w:val="20"/>
        </w:rPr>
        <w:t xml:space="preserve">- Droga pokarmowa (doustnie):</w:t>
      </w:r>
      <w:r>
        <w:rPr>
          <w:rFonts w:ascii="Arial" w:cs="Arial" w:eastAsia="Arial" w:hAnsi="Arial"/>
          <w:sz w:val="20"/>
          <w:szCs w:val="20"/>
        </w:rPr>
        <w:t xml:space="preserve"> Konsumenci (skutki przewlekłe układowe): 3,8 mg/kg mc/dzień</w:t>
      </w:r>
    </w:p>
    <w:p>
      <w:pPr>
        <w:spacing w:after="60" w:before="60"/>
      </w:pPr>
      <w:r>
        <w:rPr>
          <w:rFonts w:ascii="Arial" w:cs="Arial" w:eastAsia="Arial" w:hAnsi="Arial"/>
          <w:b/>
          <w:bCs/>
          <w:sz w:val="20"/>
          <w:szCs w:val="20"/>
        </w:rPr>
        <w:t xml:space="preserve">- Drogi oddechowe (inhalacyjnie):</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6,5 mg/m³</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22 mg/m³</w:t>
      </w:r>
    </w:p>
    <w:p>
      <w:pPr>
        <w:spacing w:after="60" w:before="60"/>
      </w:pPr>
      <w:r>
        <w:rPr>
          <w:rFonts w:ascii="Arial" w:cs="Arial" w:eastAsia="Arial" w:hAnsi="Arial"/>
          <w:b/>
          <w:bCs/>
          <w:sz w:val="20"/>
          <w:szCs w:val="20"/>
        </w:rPr>
        <w:t xml:space="preserve">- Na skórę:</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36 mg/kg mc/dzień</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60 mg/kg mc/dzień</w:t>
      </w:r>
    </w:p>
    <w:p>
      <w:pPr>
        <w:spacing w:after="80"/>
      </w:pPr>
      <w:r>
        <w:rPr>
          <w:rFonts w:ascii="Arial" w:cs="Arial" w:eastAsia="Arial" w:hAnsi="Arial"/>
          <w:sz w:val="20"/>
          <w:szCs w:val="20"/>
        </w:rPr>
        <w:t xml:space="preserve">Przewidywane stężenia niepowodujące zmian w środowisku (PNEC):</w:t>
      </w:r>
    </w:p>
    <w:p>
      <w:pPr>
        <w:spacing w:after="60" w:before="60"/>
      </w:pPr>
      <w:r>
        <w:rPr>
          <w:rFonts w:ascii="Arial" w:cs="Arial" w:eastAsia="Arial" w:hAnsi="Arial"/>
          <w:b/>
          <w:bCs/>
          <w:sz w:val="20"/>
          <w:szCs w:val="20"/>
        </w:rPr>
        <w:t xml:space="preserve">- woda słodka:</w:t>
      </w:r>
      <w:r>
        <w:rPr>
          <w:rFonts w:ascii="Arial" w:cs="Arial" w:eastAsia="Arial" w:hAnsi="Arial"/>
          <w:sz w:val="20"/>
          <w:szCs w:val="20"/>
        </w:rPr>
        <w:t xml:space="preserve"> 0,0044 mg/l</w:t>
      </w:r>
    </w:p>
    <w:p>
      <w:pPr>
        <w:spacing w:after="60" w:before="60"/>
      </w:pPr>
      <w:r>
        <w:rPr>
          <w:rFonts w:ascii="Arial" w:cs="Arial" w:eastAsia="Arial" w:hAnsi="Arial"/>
          <w:b/>
          <w:bCs/>
          <w:sz w:val="20"/>
          <w:szCs w:val="20"/>
        </w:rPr>
        <w:t xml:space="preserve">- woda morska:</w:t>
      </w:r>
      <w:r>
        <w:rPr>
          <w:rFonts w:ascii="Arial" w:cs="Arial" w:eastAsia="Arial" w:hAnsi="Arial"/>
          <w:sz w:val="20"/>
          <w:szCs w:val="20"/>
        </w:rPr>
        <w:t xml:space="preserve"> 0,00044 mg/l</w:t>
      </w:r>
    </w:p>
    <w:p>
      <w:pPr>
        <w:spacing w:after="60" w:before="60"/>
      </w:pPr>
      <w:r>
        <w:rPr>
          <w:rFonts w:ascii="Arial" w:cs="Arial" w:eastAsia="Arial" w:hAnsi="Arial"/>
          <w:b/>
          <w:bCs/>
          <w:sz w:val="20"/>
          <w:szCs w:val="20"/>
        </w:rPr>
        <w:t xml:space="preserve">- osady słodkowodne:</w:t>
      </w:r>
      <w:r>
        <w:rPr>
          <w:rFonts w:ascii="Arial" w:cs="Arial" w:eastAsia="Arial" w:hAnsi="Arial"/>
          <w:sz w:val="20"/>
          <w:szCs w:val="20"/>
        </w:rPr>
        <w:t xml:space="preserve"> 2 mg/kg/d</w:t>
      </w:r>
    </w:p>
    <w:p>
      <w:pPr>
        <w:spacing w:after="60" w:before="60"/>
      </w:pPr>
      <w:r>
        <w:rPr>
          <w:rFonts w:ascii="Arial" w:cs="Arial" w:eastAsia="Arial" w:hAnsi="Arial"/>
          <w:b/>
          <w:bCs/>
          <w:sz w:val="20"/>
          <w:szCs w:val="20"/>
        </w:rPr>
        <w:t xml:space="preserve">- osady morskie:</w:t>
      </w:r>
      <w:r>
        <w:rPr>
          <w:rFonts w:ascii="Arial" w:cs="Arial" w:eastAsia="Arial" w:hAnsi="Arial"/>
          <w:sz w:val="20"/>
          <w:szCs w:val="20"/>
        </w:rPr>
        <w:t xml:space="preserve"> 0,394 mg/kg/d</w:t>
      </w:r>
    </w:p>
    <w:p>
      <w:pPr>
        <w:spacing w:after="60" w:before="60"/>
      </w:pPr>
      <w:r>
        <w:rPr>
          <w:rFonts w:ascii="Arial" w:cs="Arial" w:eastAsia="Arial" w:hAnsi="Arial"/>
          <w:b/>
          <w:bCs/>
          <w:sz w:val="20"/>
          <w:szCs w:val="20"/>
        </w:rPr>
        <w:t xml:space="preserve">- woda (uwalnianie okresowe):</w:t>
      </w:r>
      <w:r>
        <w:rPr>
          <w:rFonts w:ascii="Arial" w:cs="Arial" w:eastAsia="Arial" w:hAnsi="Arial"/>
          <w:sz w:val="20"/>
          <w:szCs w:val="20"/>
        </w:rPr>
        <w:t xml:space="preserve"> 0,03 mg/l</w:t>
      </w:r>
    </w:p>
    <w:p>
      <w:pPr>
        <w:spacing w:after="60" w:before="60"/>
      </w:pPr>
      <w:r>
        <w:rPr>
          <w:rFonts w:ascii="Arial" w:cs="Arial" w:eastAsia="Arial" w:hAnsi="Arial"/>
          <w:b/>
          <w:bCs/>
          <w:sz w:val="20"/>
          <w:szCs w:val="20"/>
        </w:rPr>
        <w:t xml:space="preserve">- mikroorganizmy w oczyszczalni ścieków (STP):</w:t>
      </w:r>
      <w:r>
        <w:rPr>
          <w:rFonts w:ascii="Arial" w:cs="Arial" w:eastAsia="Arial" w:hAnsi="Arial"/>
          <w:sz w:val="20"/>
          <w:szCs w:val="20"/>
        </w:rPr>
        <w:t xml:space="preserve"> 1 mg/l</w:t>
      </w:r>
    </w:p>
    <w:p>
      <w:pPr>
        <w:spacing w:after="60" w:before="60"/>
      </w:pPr>
      <w:r>
        <w:rPr>
          <w:rFonts w:ascii="Arial" w:cs="Arial" w:eastAsia="Arial" w:hAnsi="Arial"/>
          <w:b/>
          <w:bCs/>
          <w:sz w:val="20"/>
          <w:szCs w:val="20"/>
        </w:rPr>
        <w:t xml:space="preserve">- łańcuch pokarmowy (zatrucie wtórne):</w:t>
      </w:r>
      <w:r>
        <w:rPr>
          <w:rFonts w:ascii="Arial" w:cs="Arial" w:eastAsia="Arial" w:hAnsi="Arial"/>
          <w:sz w:val="20"/>
          <w:szCs w:val="20"/>
        </w:rPr>
        <w:t xml:space="preserve"> 3,3 mg/kg food</w:t>
      </w:r>
    </w:p>
    <w:p>
      <w:pPr>
        <w:spacing w:after="60" w:before="60"/>
      </w:pPr>
      <w:r>
        <w:rPr>
          <w:rFonts w:ascii="Arial" w:cs="Arial" w:eastAsia="Arial" w:hAnsi="Arial"/>
          <w:b/>
          <w:bCs/>
          <w:sz w:val="20"/>
          <w:szCs w:val="20"/>
        </w:rPr>
        <w:t xml:space="preserve">- środowisko glebowe (gleba):</w:t>
      </w:r>
      <w:r>
        <w:rPr>
          <w:rFonts w:ascii="Arial" w:cs="Arial" w:eastAsia="Arial" w:hAnsi="Arial"/>
          <w:sz w:val="20"/>
          <w:szCs w:val="20"/>
        </w:rPr>
        <w:t xml:space="preserve"> 0,31 mg/kg/d</w:t>
      </w:r>
    </w:p>
    <w:p>
      <w:pPr>
        <w:spacing w:after="80"/>
      </w:pPr>
      <w:r>
        <w:rPr>
          <w:rFonts w:ascii="Arial" w:cs="Arial" w:eastAsia="Arial" w:hAnsi="Arial"/>
          <w:sz w:val="20"/>
          <w:szCs w:val="20"/>
        </w:rPr>
        <w:t xml:space="preserve">Substancja: kumaryna (2H-chromen-2-on) [CAS: 91-64-5]</w:t>
      </w:r>
    </w:p>
    <w:p>
      <w:pPr>
        <w:spacing w:after="80"/>
      </w:pPr>
      <w:r>
        <w:rPr>
          <w:rFonts w:ascii="Arial" w:cs="Arial" w:eastAsia="Arial" w:hAnsi="Arial"/>
          <w:sz w:val="20"/>
          <w:szCs w:val="20"/>
        </w:rPr>
        <w:t xml:space="preserve">Pochodne poziomy niepowodujące zmian (DNEL):</w:t>
      </w:r>
    </w:p>
    <w:p>
      <w:pPr>
        <w:spacing w:after="60" w:before="60"/>
      </w:pPr>
      <w:r>
        <w:rPr>
          <w:rFonts w:ascii="Arial" w:cs="Arial" w:eastAsia="Arial" w:hAnsi="Arial"/>
          <w:b/>
          <w:bCs/>
          <w:sz w:val="20"/>
          <w:szCs w:val="20"/>
        </w:rPr>
        <w:t xml:space="preserve">- Droga pokarmowa (doustnie):</w:t>
      </w:r>
      <w:r>
        <w:rPr>
          <w:rFonts w:ascii="Arial" w:cs="Arial" w:eastAsia="Arial" w:hAnsi="Arial"/>
          <w:sz w:val="20"/>
          <w:szCs w:val="20"/>
        </w:rPr>
        <w:t xml:space="preserve"> Konsumenci (skutki przewlekłe układowe): 0,39 mg/kg mc/dzień</w:t>
      </w:r>
    </w:p>
    <w:p>
      <w:pPr>
        <w:spacing w:after="60" w:before="60"/>
      </w:pPr>
      <w:r>
        <w:rPr>
          <w:rFonts w:ascii="Arial" w:cs="Arial" w:eastAsia="Arial" w:hAnsi="Arial"/>
          <w:b/>
          <w:bCs/>
          <w:sz w:val="20"/>
          <w:szCs w:val="20"/>
        </w:rPr>
        <w:t xml:space="preserve">- Drogi oddechowe (inhalacyjnie):</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1,69 mg/m³</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6,78 mg/m³</w:t>
      </w:r>
    </w:p>
    <w:p>
      <w:pPr>
        <w:spacing w:after="60" w:before="60"/>
      </w:pPr>
      <w:r>
        <w:rPr>
          <w:rFonts w:ascii="Arial" w:cs="Arial" w:eastAsia="Arial" w:hAnsi="Arial"/>
          <w:b/>
          <w:bCs/>
          <w:sz w:val="20"/>
          <w:szCs w:val="20"/>
        </w:rPr>
        <w:t xml:space="preserve">- Na skórę:</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0,39 mg/kg mc/dzień</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0,79 mg/kg mc/dzień</w:t>
      </w:r>
    </w:p>
    <w:p>
      <w:pPr>
        <w:spacing w:after="80"/>
      </w:pPr>
      <w:r>
        <w:rPr>
          <w:rFonts w:ascii="Arial" w:cs="Arial" w:eastAsia="Arial" w:hAnsi="Arial"/>
          <w:sz w:val="20"/>
          <w:szCs w:val="20"/>
        </w:rPr>
        <w:t xml:space="preserve">Przewidywane stężenia niepowodujące zmian w środowisku (PNEC):</w:t>
      </w:r>
    </w:p>
    <w:p>
      <w:pPr>
        <w:spacing w:after="60" w:before="60"/>
      </w:pPr>
      <w:r>
        <w:rPr>
          <w:rFonts w:ascii="Arial" w:cs="Arial" w:eastAsia="Arial" w:hAnsi="Arial"/>
          <w:b/>
          <w:bCs/>
          <w:sz w:val="20"/>
          <w:szCs w:val="20"/>
        </w:rPr>
        <w:t xml:space="preserve">- woda słodka:</w:t>
      </w:r>
      <w:r>
        <w:rPr>
          <w:rFonts w:ascii="Arial" w:cs="Arial" w:eastAsia="Arial" w:hAnsi="Arial"/>
          <w:sz w:val="20"/>
          <w:szCs w:val="20"/>
        </w:rPr>
        <w:t xml:space="preserve"> 0,019 mg/l</w:t>
      </w:r>
    </w:p>
    <w:p>
      <w:pPr>
        <w:spacing w:after="60" w:before="60"/>
      </w:pPr>
      <w:r>
        <w:rPr>
          <w:rFonts w:ascii="Arial" w:cs="Arial" w:eastAsia="Arial" w:hAnsi="Arial"/>
          <w:b/>
          <w:bCs/>
          <w:sz w:val="20"/>
          <w:szCs w:val="20"/>
        </w:rPr>
        <w:t xml:space="preserve">- woda morska:</w:t>
      </w:r>
      <w:r>
        <w:rPr>
          <w:rFonts w:ascii="Arial" w:cs="Arial" w:eastAsia="Arial" w:hAnsi="Arial"/>
          <w:sz w:val="20"/>
          <w:szCs w:val="20"/>
        </w:rPr>
        <w:t xml:space="preserve"> 0,0019 mg/l</w:t>
      </w:r>
    </w:p>
    <w:p>
      <w:pPr>
        <w:spacing w:after="60" w:before="60"/>
      </w:pPr>
      <w:r>
        <w:rPr>
          <w:rFonts w:ascii="Arial" w:cs="Arial" w:eastAsia="Arial" w:hAnsi="Arial"/>
          <w:b/>
          <w:bCs/>
          <w:sz w:val="20"/>
          <w:szCs w:val="20"/>
        </w:rPr>
        <w:t xml:space="preserve">- osady słodkowodne:</w:t>
      </w:r>
      <w:r>
        <w:rPr>
          <w:rFonts w:ascii="Arial" w:cs="Arial" w:eastAsia="Arial" w:hAnsi="Arial"/>
          <w:sz w:val="20"/>
          <w:szCs w:val="20"/>
        </w:rPr>
        <w:t xml:space="preserve"> 0,15 mg/kg</w:t>
      </w:r>
    </w:p>
    <w:p>
      <w:pPr>
        <w:spacing w:after="60" w:before="60"/>
      </w:pPr>
      <w:r>
        <w:rPr>
          <w:rFonts w:ascii="Arial" w:cs="Arial" w:eastAsia="Arial" w:hAnsi="Arial"/>
          <w:b/>
          <w:bCs/>
          <w:sz w:val="20"/>
          <w:szCs w:val="20"/>
        </w:rPr>
        <w:t xml:space="preserve">- osady morskie:</w:t>
      </w:r>
      <w:r>
        <w:rPr>
          <w:rFonts w:ascii="Arial" w:cs="Arial" w:eastAsia="Arial" w:hAnsi="Arial"/>
          <w:sz w:val="20"/>
          <w:szCs w:val="20"/>
        </w:rPr>
        <w:t xml:space="preserve"> 0,015 mg/kg</w:t>
      </w:r>
    </w:p>
    <w:p>
      <w:pPr>
        <w:spacing w:after="60" w:before="60"/>
      </w:pPr>
      <w:r>
        <w:rPr>
          <w:rFonts w:ascii="Arial" w:cs="Arial" w:eastAsia="Arial" w:hAnsi="Arial"/>
          <w:b/>
          <w:bCs/>
          <w:sz w:val="20"/>
          <w:szCs w:val="20"/>
        </w:rPr>
        <w:t xml:space="preserve">- woda (uwalnianie okresowe):</w:t>
      </w:r>
      <w:r>
        <w:rPr>
          <w:rFonts w:ascii="Arial" w:cs="Arial" w:eastAsia="Arial" w:hAnsi="Arial"/>
          <w:sz w:val="20"/>
          <w:szCs w:val="20"/>
        </w:rPr>
        <w:t xml:space="preserve"> 0,0142 mg/l</w:t>
      </w:r>
    </w:p>
    <w:p>
      <w:pPr>
        <w:spacing w:after="60" w:before="60"/>
      </w:pPr>
      <w:r>
        <w:rPr>
          <w:rFonts w:ascii="Arial" w:cs="Arial" w:eastAsia="Arial" w:hAnsi="Arial"/>
          <w:b/>
          <w:bCs/>
          <w:sz w:val="20"/>
          <w:szCs w:val="20"/>
        </w:rPr>
        <w:t xml:space="preserve">- mikroorganizmy w oczyszczalni ścieków (STP):</w:t>
      </w:r>
      <w:r>
        <w:rPr>
          <w:rFonts w:ascii="Arial" w:cs="Arial" w:eastAsia="Arial" w:hAnsi="Arial"/>
          <w:sz w:val="20"/>
          <w:szCs w:val="20"/>
        </w:rPr>
        <w:t xml:space="preserve"> 6,4 mg/l</w:t>
      </w:r>
    </w:p>
    <w:p>
      <w:pPr>
        <w:spacing w:after="60" w:before="60"/>
      </w:pPr>
      <w:r>
        <w:rPr>
          <w:rFonts w:ascii="Arial" w:cs="Arial" w:eastAsia="Arial" w:hAnsi="Arial"/>
          <w:b/>
          <w:bCs/>
          <w:sz w:val="20"/>
          <w:szCs w:val="20"/>
        </w:rPr>
        <w:t xml:space="preserve">- łańcuch pokarmowy (zatrucie wtórne):</w:t>
      </w:r>
      <w:r>
        <w:rPr>
          <w:rFonts w:ascii="Arial" w:cs="Arial" w:eastAsia="Arial" w:hAnsi="Arial"/>
          <w:sz w:val="20"/>
          <w:szCs w:val="20"/>
        </w:rPr>
        <w:t xml:space="preserve"> 30,7 mg/kg</w:t>
      </w:r>
    </w:p>
    <w:p>
      <w:pPr>
        <w:spacing w:after="60" w:before="60"/>
      </w:pPr>
      <w:r>
        <w:rPr>
          <w:rFonts w:ascii="Arial" w:cs="Arial" w:eastAsia="Arial" w:hAnsi="Arial"/>
          <w:b/>
          <w:bCs/>
          <w:sz w:val="20"/>
          <w:szCs w:val="20"/>
        </w:rPr>
        <w:t xml:space="preserve">- środowisko glebowe (gleba):</w:t>
      </w:r>
      <w:r>
        <w:rPr>
          <w:rFonts w:ascii="Arial" w:cs="Arial" w:eastAsia="Arial" w:hAnsi="Arial"/>
          <w:sz w:val="20"/>
          <w:szCs w:val="20"/>
        </w:rPr>
        <w:t xml:space="preserve"> 0,018 mg/kg</w:t>
      </w:r>
    </w:p>
    <w:p>
      <w:pPr>
        <w:spacing w:after="80"/>
      </w:pPr>
      <w:r>
        <w:rPr>
          <w:rFonts w:ascii="Arial" w:cs="Arial" w:eastAsia="Arial" w:hAnsi="Arial"/>
          <w:sz w:val="20"/>
          <w:szCs w:val="20"/>
        </w:rPr>
        <w:t xml:space="preserve">Substancja: 2,6-di-tert-butylo-4-metylofenol (BHT) [CAS: 128-37-0]</w:t>
      </w:r>
    </w:p>
    <w:p>
      <w:pPr>
        <w:spacing w:after="80"/>
      </w:pPr>
      <w:r>
        <w:rPr>
          <w:rFonts w:ascii="Arial" w:cs="Arial" w:eastAsia="Arial" w:hAnsi="Arial"/>
          <w:sz w:val="20"/>
          <w:szCs w:val="20"/>
        </w:rPr>
        <w:t xml:space="preserve">Pochodne poziomy niepowodujące zmian (DNEL):</w:t>
      </w:r>
    </w:p>
    <w:p>
      <w:pPr>
        <w:spacing w:after="60" w:before="60"/>
      </w:pPr>
      <w:r>
        <w:rPr>
          <w:rFonts w:ascii="Arial" w:cs="Arial" w:eastAsia="Arial" w:hAnsi="Arial"/>
          <w:b/>
          <w:bCs/>
          <w:sz w:val="20"/>
          <w:szCs w:val="20"/>
        </w:rPr>
        <w:t xml:space="preserve">- Droga pokarmowa (doustnie):</w:t>
      </w:r>
      <w:r>
        <w:rPr>
          <w:rFonts w:ascii="Arial" w:cs="Arial" w:eastAsia="Arial" w:hAnsi="Arial"/>
          <w:sz w:val="20"/>
          <w:szCs w:val="20"/>
        </w:rPr>
        <w:t xml:space="preserve"> Konsumenci (skutki przewlekłe układowe): 0,25 mg/kg mc/dzień</w:t>
      </w:r>
    </w:p>
    <w:p>
      <w:pPr>
        <w:spacing w:after="60" w:before="60"/>
      </w:pPr>
      <w:r>
        <w:rPr>
          <w:rFonts w:ascii="Arial" w:cs="Arial" w:eastAsia="Arial" w:hAnsi="Arial"/>
          <w:b/>
          <w:bCs/>
          <w:sz w:val="20"/>
          <w:szCs w:val="20"/>
        </w:rPr>
        <w:t xml:space="preserve">- Drogi oddechowe (inhalacyjnie):</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0,86 mg/m³</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3,5 mg/m³</w:t>
      </w:r>
    </w:p>
    <w:p>
      <w:pPr>
        <w:spacing w:after="60" w:before="60"/>
      </w:pPr>
      <w:r>
        <w:rPr>
          <w:rFonts w:ascii="Arial" w:cs="Arial" w:eastAsia="Arial" w:hAnsi="Arial"/>
          <w:b/>
          <w:bCs/>
          <w:sz w:val="20"/>
          <w:szCs w:val="20"/>
        </w:rPr>
        <w:t xml:space="preserve">- Na skórę:</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0,25 mg/kg mc/dzień</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0,5 mg/kg mc/dzień</w:t>
      </w:r>
    </w:p>
    <w:p>
      <w:pPr>
        <w:spacing w:after="80"/>
      </w:pPr>
      <w:r>
        <w:rPr>
          <w:rFonts w:ascii="Arial" w:cs="Arial" w:eastAsia="Arial" w:hAnsi="Arial"/>
          <w:sz w:val="20"/>
          <w:szCs w:val="20"/>
        </w:rPr>
        <w:t xml:space="preserve">Przewidywane stężenia niepowodujące zmian w środowisku (PNEC):</w:t>
      </w:r>
    </w:p>
    <w:p>
      <w:pPr>
        <w:spacing w:after="60" w:before="60"/>
      </w:pPr>
      <w:r>
        <w:rPr>
          <w:rFonts w:ascii="Arial" w:cs="Arial" w:eastAsia="Arial" w:hAnsi="Arial"/>
          <w:b/>
          <w:bCs/>
          <w:sz w:val="20"/>
          <w:szCs w:val="20"/>
        </w:rPr>
        <w:t xml:space="preserve">- woda słodka:</w:t>
      </w:r>
      <w:r>
        <w:rPr>
          <w:rFonts w:ascii="Arial" w:cs="Arial" w:eastAsia="Arial" w:hAnsi="Arial"/>
          <w:sz w:val="20"/>
          <w:szCs w:val="20"/>
        </w:rPr>
        <w:t xml:space="preserve"> 0,000199 mg/l</w:t>
      </w:r>
    </w:p>
    <w:p>
      <w:pPr>
        <w:spacing w:after="60" w:before="60"/>
      </w:pPr>
      <w:r>
        <w:rPr>
          <w:rFonts w:ascii="Arial" w:cs="Arial" w:eastAsia="Arial" w:hAnsi="Arial"/>
          <w:b/>
          <w:bCs/>
          <w:sz w:val="20"/>
          <w:szCs w:val="20"/>
        </w:rPr>
        <w:t xml:space="preserve">- woda morska:</w:t>
      </w:r>
      <w:r>
        <w:rPr>
          <w:rFonts w:ascii="Arial" w:cs="Arial" w:eastAsia="Arial" w:hAnsi="Arial"/>
          <w:sz w:val="20"/>
          <w:szCs w:val="20"/>
        </w:rPr>
        <w:t xml:space="preserve"> 0,02  μg/l</w:t>
      </w:r>
    </w:p>
    <w:p>
      <w:pPr>
        <w:spacing w:after="60" w:before="60"/>
      </w:pPr>
      <w:r>
        <w:rPr>
          <w:rFonts w:ascii="Arial" w:cs="Arial" w:eastAsia="Arial" w:hAnsi="Arial"/>
          <w:b/>
          <w:bCs/>
          <w:sz w:val="20"/>
          <w:szCs w:val="20"/>
        </w:rPr>
        <w:t xml:space="preserve">- osady słodkowodne:</w:t>
      </w:r>
      <w:r>
        <w:rPr>
          <w:rFonts w:ascii="Arial" w:cs="Arial" w:eastAsia="Arial" w:hAnsi="Arial"/>
          <w:sz w:val="20"/>
          <w:szCs w:val="20"/>
        </w:rPr>
        <w:t xml:space="preserve"> 0,0996 mg/kg</w:t>
      </w:r>
    </w:p>
    <w:p>
      <w:pPr>
        <w:spacing w:after="60" w:before="60"/>
      </w:pPr>
      <w:r>
        <w:rPr>
          <w:rFonts w:ascii="Arial" w:cs="Arial" w:eastAsia="Arial" w:hAnsi="Arial"/>
          <w:b/>
          <w:bCs/>
          <w:sz w:val="20"/>
          <w:szCs w:val="20"/>
        </w:rPr>
        <w:t xml:space="preserve">- osady morskie:</w:t>
      </w:r>
      <w:r>
        <w:rPr>
          <w:rFonts w:ascii="Arial" w:cs="Arial" w:eastAsia="Arial" w:hAnsi="Arial"/>
          <w:sz w:val="20"/>
          <w:szCs w:val="20"/>
        </w:rPr>
        <w:t xml:space="preserve"> 0,00996 mg/kg</w:t>
      </w:r>
    </w:p>
    <w:p>
      <w:pPr>
        <w:spacing w:after="60" w:before="60"/>
      </w:pPr>
      <w:r>
        <w:rPr>
          <w:rFonts w:ascii="Arial" w:cs="Arial" w:eastAsia="Arial" w:hAnsi="Arial"/>
          <w:b/>
          <w:bCs/>
          <w:sz w:val="20"/>
          <w:szCs w:val="20"/>
        </w:rPr>
        <w:t xml:space="preserve">- woda (uwalnianie okresowe):</w:t>
      </w:r>
      <w:r>
        <w:rPr>
          <w:rFonts w:ascii="Arial" w:cs="Arial" w:eastAsia="Arial" w:hAnsi="Arial"/>
          <w:sz w:val="20"/>
          <w:szCs w:val="20"/>
        </w:rPr>
        <w:t xml:space="preserve"> 0,00199 mg/l</w:t>
      </w:r>
    </w:p>
    <w:p>
      <w:pPr>
        <w:spacing w:after="60" w:before="60"/>
      </w:pPr>
      <w:r>
        <w:rPr>
          <w:rFonts w:ascii="Arial" w:cs="Arial" w:eastAsia="Arial" w:hAnsi="Arial"/>
          <w:b/>
          <w:bCs/>
          <w:sz w:val="20"/>
          <w:szCs w:val="20"/>
        </w:rPr>
        <w:t xml:space="preserve">- mikroorganizmy w oczyszczalni ścieków (STP):</w:t>
      </w:r>
      <w:r>
        <w:rPr>
          <w:rFonts w:ascii="Arial" w:cs="Arial" w:eastAsia="Arial" w:hAnsi="Arial"/>
          <w:sz w:val="20"/>
          <w:szCs w:val="20"/>
        </w:rPr>
        <w:t xml:space="preserve"> 0,17 mg/l</w:t>
      </w:r>
    </w:p>
    <w:p>
      <w:pPr>
        <w:spacing w:after="60" w:before="60"/>
      </w:pPr>
      <w:r>
        <w:rPr>
          <w:rFonts w:ascii="Arial" w:cs="Arial" w:eastAsia="Arial" w:hAnsi="Arial"/>
          <w:b/>
          <w:bCs/>
          <w:sz w:val="20"/>
          <w:szCs w:val="20"/>
        </w:rPr>
        <w:t xml:space="preserve">- łańcuch pokarmowy (zatrucie wtórne):</w:t>
      </w:r>
      <w:r>
        <w:rPr>
          <w:rFonts w:ascii="Arial" w:cs="Arial" w:eastAsia="Arial" w:hAnsi="Arial"/>
          <w:sz w:val="20"/>
          <w:szCs w:val="20"/>
        </w:rPr>
        <w:t xml:space="preserve"> 8,33 mg/kg</w:t>
      </w:r>
    </w:p>
    <w:p>
      <w:pPr>
        <w:spacing w:after="60" w:before="60"/>
      </w:pPr>
      <w:r>
        <w:rPr>
          <w:rFonts w:ascii="Arial" w:cs="Arial" w:eastAsia="Arial" w:hAnsi="Arial"/>
          <w:b/>
          <w:bCs/>
          <w:sz w:val="20"/>
          <w:szCs w:val="20"/>
        </w:rPr>
        <w:t xml:space="preserve">- środowisko glebowe (gleba):</w:t>
      </w:r>
      <w:r>
        <w:rPr>
          <w:rFonts w:ascii="Arial" w:cs="Arial" w:eastAsia="Arial" w:hAnsi="Arial"/>
          <w:sz w:val="20"/>
          <w:szCs w:val="20"/>
        </w:rPr>
        <w:t xml:space="preserve"> 0,04769 mg/kg</w:t>
      </w:r>
    </w:p>
    <w:p>
      <w:pPr>
        <w:spacing w:after="80"/>
      </w:pPr>
      <w:r>
        <w:rPr>
          <w:rFonts w:ascii="Arial" w:cs="Arial" w:eastAsia="Arial" w:hAnsi="Arial"/>
          <w:sz w:val="20"/>
          <w:szCs w:val="20"/>
        </w:rPr>
        <w:t xml:space="preserve">Substancja: hydroksycytronellal [CAS: 107-75-5]</w:t>
      </w:r>
    </w:p>
    <w:p>
      <w:pPr>
        <w:spacing w:after="80"/>
      </w:pPr>
      <w:r>
        <w:rPr>
          <w:rFonts w:ascii="Arial" w:cs="Arial" w:eastAsia="Arial" w:hAnsi="Arial"/>
          <w:sz w:val="20"/>
          <w:szCs w:val="20"/>
        </w:rPr>
        <w:t xml:space="preserve">Pochodne poziomy niepowodujące zmian (DNEL):</w:t>
      </w:r>
    </w:p>
    <w:p>
      <w:pPr>
        <w:spacing w:after="60" w:before="60"/>
      </w:pPr>
      <w:r>
        <w:rPr>
          <w:rFonts w:ascii="Arial" w:cs="Arial" w:eastAsia="Arial" w:hAnsi="Arial"/>
          <w:b/>
          <w:bCs/>
          <w:sz w:val="20"/>
          <w:szCs w:val="20"/>
        </w:rPr>
        <w:t xml:space="preserve">- Droga pokarmowa (doustnie):</w:t>
      </w:r>
      <w:r>
        <w:rPr>
          <w:rFonts w:ascii="Arial" w:cs="Arial" w:eastAsia="Arial" w:hAnsi="Arial"/>
          <w:sz w:val="20"/>
          <w:szCs w:val="20"/>
        </w:rPr>
        <w:t xml:space="preserve"> Konsumenci (skutki przewlekłe układowe): 0,6 mg/kg mc/dzień</w:t>
      </w:r>
    </w:p>
    <w:p>
      <w:pPr>
        <w:spacing w:after="60" w:before="60"/>
      </w:pPr>
      <w:r>
        <w:rPr>
          <w:rFonts w:ascii="Arial" w:cs="Arial" w:eastAsia="Arial" w:hAnsi="Arial"/>
          <w:b/>
          <w:bCs/>
          <w:sz w:val="20"/>
          <w:szCs w:val="20"/>
        </w:rPr>
        <w:t xml:space="preserve">- Drogi oddechowe (inhalacyjnie):</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5,4 mg/m³</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18 mg/m³</w:t>
      </w:r>
    </w:p>
    <w:p>
      <w:pPr>
        <w:spacing w:after="60" w:before="60"/>
      </w:pPr>
      <w:r>
        <w:rPr>
          <w:rFonts w:ascii="Arial" w:cs="Arial" w:eastAsia="Arial" w:hAnsi="Arial"/>
          <w:b/>
          <w:bCs/>
          <w:sz w:val="20"/>
          <w:szCs w:val="20"/>
        </w:rPr>
        <w:t xml:space="preserve">- Na skórę:</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1,1 mg/kg mc/dzień</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1,9 mg/kg mc/dzień</w:t>
      </w:r>
    </w:p>
    <w:p>
      <w:pPr>
        <w:spacing w:after="80"/>
      </w:pPr>
      <w:r>
        <w:rPr>
          <w:rFonts w:ascii="Arial" w:cs="Arial" w:eastAsia="Arial" w:hAnsi="Arial"/>
          <w:sz w:val="20"/>
          <w:szCs w:val="20"/>
        </w:rPr>
        <w:t xml:space="preserve">Przewidywane stężenia niepowodujące zmian w środowisku (PNEC):</w:t>
      </w:r>
    </w:p>
    <w:p>
      <w:pPr>
        <w:spacing w:after="60" w:before="60"/>
      </w:pPr>
      <w:r>
        <w:rPr>
          <w:rFonts w:ascii="Arial" w:cs="Arial" w:eastAsia="Arial" w:hAnsi="Arial"/>
          <w:b/>
          <w:bCs/>
          <w:sz w:val="20"/>
          <w:szCs w:val="20"/>
        </w:rPr>
        <w:t xml:space="preserve">- woda słodka:</w:t>
      </w:r>
      <w:r>
        <w:rPr>
          <w:rFonts w:ascii="Arial" w:cs="Arial" w:eastAsia="Arial" w:hAnsi="Arial"/>
          <w:sz w:val="20"/>
          <w:szCs w:val="20"/>
        </w:rPr>
        <w:t xml:space="preserve"> 0,0316 mg/l</w:t>
      </w:r>
    </w:p>
    <w:p>
      <w:pPr>
        <w:spacing w:after="60" w:before="60"/>
      </w:pPr>
      <w:r>
        <w:rPr>
          <w:rFonts w:ascii="Arial" w:cs="Arial" w:eastAsia="Arial" w:hAnsi="Arial"/>
          <w:b/>
          <w:bCs/>
          <w:sz w:val="20"/>
          <w:szCs w:val="20"/>
        </w:rPr>
        <w:t xml:space="preserve">- woda morska:</w:t>
      </w:r>
      <w:r>
        <w:rPr>
          <w:rFonts w:ascii="Arial" w:cs="Arial" w:eastAsia="Arial" w:hAnsi="Arial"/>
          <w:sz w:val="20"/>
          <w:szCs w:val="20"/>
        </w:rPr>
        <w:t xml:space="preserve"> 0,00316 mg/l</w:t>
      </w:r>
    </w:p>
    <w:p>
      <w:pPr>
        <w:spacing w:after="60" w:before="60"/>
      </w:pPr>
      <w:r>
        <w:rPr>
          <w:rFonts w:ascii="Arial" w:cs="Arial" w:eastAsia="Arial" w:hAnsi="Arial"/>
          <w:b/>
          <w:bCs/>
          <w:sz w:val="20"/>
          <w:szCs w:val="20"/>
        </w:rPr>
        <w:t xml:space="preserve">- osady słodkowodne:</w:t>
      </w:r>
      <w:r>
        <w:rPr>
          <w:rFonts w:ascii="Arial" w:cs="Arial" w:eastAsia="Arial" w:hAnsi="Arial"/>
          <w:sz w:val="20"/>
          <w:szCs w:val="20"/>
        </w:rPr>
        <w:t xml:space="preserve"> 0,145 mg/kg</w:t>
      </w:r>
    </w:p>
    <w:p>
      <w:pPr>
        <w:spacing w:after="60" w:before="60"/>
      </w:pPr>
      <w:r>
        <w:rPr>
          <w:rFonts w:ascii="Arial" w:cs="Arial" w:eastAsia="Arial" w:hAnsi="Arial"/>
          <w:b/>
          <w:bCs/>
          <w:sz w:val="20"/>
          <w:szCs w:val="20"/>
        </w:rPr>
        <w:t xml:space="preserve">- osady morskie:</w:t>
      </w:r>
      <w:r>
        <w:rPr>
          <w:rFonts w:ascii="Arial" w:cs="Arial" w:eastAsia="Arial" w:hAnsi="Arial"/>
          <w:sz w:val="20"/>
          <w:szCs w:val="20"/>
        </w:rPr>
        <w:t xml:space="preserve"> 0,015 mg/kg</w:t>
      </w:r>
    </w:p>
    <w:p>
      <w:pPr>
        <w:spacing w:after="60" w:before="60"/>
      </w:pPr>
      <w:r>
        <w:rPr>
          <w:rFonts w:ascii="Arial" w:cs="Arial" w:eastAsia="Arial" w:hAnsi="Arial"/>
          <w:b/>
          <w:bCs/>
          <w:sz w:val="20"/>
          <w:szCs w:val="20"/>
        </w:rPr>
        <w:t xml:space="preserve">- woda (uwalnianie okresowe):</w:t>
      </w:r>
      <w:r>
        <w:rPr>
          <w:rFonts w:ascii="Arial" w:cs="Arial" w:eastAsia="Arial" w:hAnsi="Arial"/>
          <w:sz w:val="20"/>
          <w:szCs w:val="20"/>
        </w:rPr>
        <w:t xml:space="preserve"> 0,316 mg/l</w:t>
      </w:r>
    </w:p>
    <w:p>
      <w:pPr>
        <w:spacing w:after="60" w:before="60"/>
      </w:pPr>
      <w:r>
        <w:rPr>
          <w:rFonts w:ascii="Arial" w:cs="Arial" w:eastAsia="Arial" w:hAnsi="Arial"/>
          <w:b/>
          <w:bCs/>
          <w:sz w:val="20"/>
          <w:szCs w:val="20"/>
        </w:rPr>
        <w:t xml:space="preserve">- mikroorganizmy w oczyszczalni ścieków (STP):</w:t>
      </w:r>
      <w:r>
        <w:rPr>
          <w:rFonts w:ascii="Arial" w:cs="Arial" w:eastAsia="Arial" w:hAnsi="Arial"/>
          <w:sz w:val="20"/>
          <w:szCs w:val="20"/>
        </w:rPr>
        <w:t xml:space="preserve"> 10 mg/l</w:t>
      </w:r>
    </w:p>
    <w:p>
      <w:pPr>
        <w:spacing w:after="60" w:before="60"/>
      </w:pPr>
      <w:r>
        <w:rPr>
          <w:rFonts w:ascii="Arial" w:cs="Arial" w:eastAsia="Arial" w:hAnsi="Arial"/>
          <w:b/>
          <w:bCs/>
          <w:sz w:val="20"/>
          <w:szCs w:val="20"/>
        </w:rPr>
        <w:t xml:space="preserve">- środowisko glebowe (gleba):</w:t>
      </w:r>
      <w:r>
        <w:rPr>
          <w:rFonts w:ascii="Arial" w:cs="Arial" w:eastAsia="Arial" w:hAnsi="Arial"/>
          <w:sz w:val="20"/>
          <w:szCs w:val="20"/>
        </w:rPr>
        <w:t xml:space="preserve"> 0,011 mg/kg</w:t>
      </w:r>
    </w:p>
    <w:p>
      <w:pPr>
        <w:spacing w:after="80"/>
      </w:pPr>
      <w:r>
        <w:rPr>
          <w:rFonts w:ascii="Arial" w:cs="Arial" w:eastAsia="Arial" w:hAnsi="Arial"/>
          <w:sz w:val="20"/>
          <w:szCs w:val="20"/>
        </w:rPr>
        <w:t xml:space="preserve">Substancja: toluen [CAS: 108-88-3]</w:t>
      </w:r>
    </w:p>
    <w:p>
      <w:pPr>
        <w:spacing w:after="80"/>
      </w:pPr>
      <w:r>
        <w:rPr>
          <w:rFonts w:ascii="Arial" w:cs="Arial" w:eastAsia="Arial" w:hAnsi="Arial"/>
          <w:sz w:val="20"/>
          <w:szCs w:val="20"/>
        </w:rPr>
        <w:t xml:space="preserve">Pochodne poziomy niepowodujące zmian (DNEL):</w:t>
      </w:r>
    </w:p>
    <w:p>
      <w:pPr>
        <w:spacing w:after="60" w:before="60"/>
      </w:pPr>
      <w:r>
        <w:rPr>
          <w:rFonts w:ascii="Arial" w:cs="Arial" w:eastAsia="Arial" w:hAnsi="Arial"/>
          <w:b/>
          <w:bCs/>
          <w:sz w:val="20"/>
          <w:szCs w:val="20"/>
        </w:rPr>
        <w:t xml:space="preserve">- Droga pokarmowa (doustnie):</w:t>
      </w:r>
      <w:r>
        <w:rPr>
          <w:rFonts w:ascii="Arial" w:cs="Arial" w:eastAsia="Arial" w:hAnsi="Arial"/>
          <w:sz w:val="20"/>
          <w:szCs w:val="20"/>
        </w:rPr>
        <w:t xml:space="preserve"> Konsumenci (skutki przewlekłe układowe): 8,13 mg/kg mc/dzień</w:t>
      </w:r>
    </w:p>
    <w:p>
      <w:pPr>
        <w:spacing w:after="60" w:before="60"/>
      </w:pPr>
      <w:r>
        <w:rPr>
          <w:rFonts w:ascii="Arial" w:cs="Arial" w:eastAsia="Arial" w:hAnsi="Arial"/>
          <w:b/>
          <w:bCs/>
          <w:sz w:val="20"/>
          <w:szCs w:val="20"/>
        </w:rPr>
        <w:t xml:space="preserve">- Drogi oddechowe (inhalacyjnie):</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w:t>
      </w:r>
      <w:r>
        <w:rPr>
          <w:rFonts w:ascii="Arial" w:cs="Arial" w:eastAsia="Arial" w:hAnsi="Arial"/>
          <w:sz w:val="20"/>
          <w:szCs w:val="20"/>
        </w:rPr>
        <w:t xml:space="preserve"> ostre miejscowe: 226 mg/m³, ostre układowe: 226 mg/m³, przewlekłe miejscowe: 56,5 mg/m³, przewlekłe układowe: 56,5 mg/m³</w:t>
      </w:r>
    </w:p>
    <w:p>
      <w:pPr>
        <w:spacing w:after="60" w:before="60"/>
      </w:pPr>
      <w:r>
        <w:rPr>
          <w:rFonts w:ascii="Arial" w:cs="Arial" w:eastAsia="Arial" w:hAnsi="Arial"/>
          <w:b/>
          <w:bCs/>
          <w:sz w:val="20"/>
          <w:szCs w:val="20"/>
        </w:rPr>
        <w:t xml:space="preserve">* Pracownicy:</w:t>
      </w:r>
      <w:r>
        <w:rPr>
          <w:rFonts w:ascii="Arial" w:cs="Arial" w:eastAsia="Arial" w:hAnsi="Arial"/>
          <w:sz w:val="20"/>
          <w:szCs w:val="20"/>
        </w:rPr>
        <w:t xml:space="preserve"> ostre miejscowe: 384 mg/m³, ostre układowe: 384 mg/m³, przewlekłe miejscowe: 192 mg/m³, przewlekłe układowe: 192 mg/m³</w:t>
      </w:r>
    </w:p>
    <w:p>
      <w:pPr>
        <w:spacing w:after="60" w:before="60"/>
      </w:pPr>
      <w:r>
        <w:rPr>
          <w:rFonts w:ascii="Arial" w:cs="Arial" w:eastAsia="Arial" w:hAnsi="Arial"/>
          <w:b/>
          <w:bCs/>
          <w:sz w:val="20"/>
          <w:szCs w:val="20"/>
        </w:rPr>
        <w:t xml:space="preserve">- Na skórę:</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226 mg/kg mc/dzień</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384 mg/kg mc/dzień</w:t>
      </w:r>
    </w:p>
    <w:p>
      <w:pPr>
        <w:spacing w:after="80"/>
      </w:pPr>
      <w:r>
        <w:rPr>
          <w:rFonts w:ascii="Arial" w:cs="Arial" w:eastAsia="Arial" w:hAnsi="Arial"/>
          <w:sz w:val="20"/>
          <w:szCs w:val="20"/>
        </w:rPr>
        <w:t xml:space="preserve">Przewidywane stężenia niepowodujące zmian w środowisku (PNEC):</w:t>
      </w:r>
    </w:p>
    <w:p>
      <w:pPr>
        <w:spacing w:after="60" w:before="60"/>
      </w:pPr>
      <w:r>
        <w:rPr>
          <w:rFonts w:ascii="Arial" w:cs="Arial" w:eastAsia="Arial" w:hAnsi="Arial"/>
          <w:b/>
          <w:bCs/>
          <w:sz w:val="20"/>
          <w:szCs w:val="20"/>
        </w:rPr>
        <w:t xml:space="preserve">- woda słodka:</w:t>
      </w:r>
      <w:r>
        <w:rPr>
          <w:rFonts w:ascii="Arial" w:cs="Arial" w:eastAsia="Arial" w:hAnsi="Arial"/>
          <w:sz w:val="20"/>
          <w:szCs w:val="20"/>
        </w:rPr>
        <w:t xml:space="preserve"> 0,68 mg/l</w:t>
      </w:r>
    </w:p>
    <w:p>
      <w:pPr>
        <w:spacing w:after="60" w:before="60"/>
      </w:pPr>
      <w:r>
        <w:rPr>
          <w:rFonts w:ascii="Arial" w:cs="Arial" w:eastAsia="Arial" w:hAnsi="Arial"/>
          <w:b/>
          <w:bCs/>
          <w:sz w:val="20"/>
          <w:szCs w:val="20"/>
        </w:rPr>
        <w:t xml:space="preserve">- woda morska:</w:t>
      </w:r>
      <w:r>
        <w:rPr>
          <w:rFonts w:ascii="Arial" w:cs="Arial" w:eastAsia="Arial" w:hAnsi="Arial"/>
          <w:sz w:val="20"/>
          <w:szCs w:val="20"/>
        </w:rPr>
        <w:t xml:space="preserve"> 0,68 mg/l</w:t>
      </w:r>
    </w:p>
    <w:p>
      <w:pPr>
        <w:spacing w:after="60" w:before="60"/>
      </w:pPr>
      <w:r>
        <w:rPr>
          <w:rFonts w:ascii="Arial" w:cs="Arial" w:eastAsia="Arial" w:hAnsi="Arial"/>
          <w:b/>
          <w:bCs/>
          <w:sz w:val="20"/>
          <w:szCs w:val="20"/>
        </w:rPr>
        <w:t xml:space="preserve">- osady słodkowodne:</w:t>
      </w:r>
      <w:r>
        <w:rPr>
          <w:rFonts w:ascii="Arial" w:cs="Arial" w:eastAsia="Arial" w:hAnsi="Arial"/>
          <w:sz w:val="20"/>
          <w:szCs w:val="20"/>
        </w:rPr>
        <w:t xml:space="preserve"> 16,39 mg/kg/d</w:t>
      </w:r>
    </w:p>
    <w:p>
      <w:pPr>
        <w:spacing w:after="60" w:before="60"/>
      </w:pPr>
      <w:r>
        <w:rPr>
          <w:rFonts w:ascii="Arial" w:cs="Arial" w:eastAsia="Arial" w:hAnsi="Arial"/>
          <w:b/>
          <w:bCs/>
          <w:sz w:val="20"/>
          <w:szCs w:val="20"/>
        </w:rPr>
        <w:t xml:space="preserve">- osady morskie:</w:t>
      </w:r>
      <w:r>
        <w:rPr>
          <w:rFonts w:ascii="Arial" w:cs="Arial" w:eastAsia="Arial" w:hAnsi="Arial"/>
          <w:sz w:val="20"/>
          <w:szCs w:val="20"/>
        </w:rPr>
        <w:t xml:space="preserve"> 16,39 mg/kg/d</w:t>
      </w:r>
    </w:p>
    <w:p>
      <w:pPr>
        <w:spacing w:after="60" w:before="60"/>
      </w:pPr>
      <w:r>
        <w:rPr>
          <w:rFonts w:ascii="Arial" w:cs="Arial" w:eastAsia="Arial" w:hAnsi="Arial"/>
          <w:b/>
          <w:bCs/>
          <w:sz w:val="20"/>
          <w:szCs w:val="20"/>
        </w:rPr>
        <w:t xml:space="preserve">- woda (uwalnianie okresowe):</w:t>
      </w:r>
      <w:r>
        <w:rPr>
          <w:rFonts w:ascii="Arial" w:cs="Arial" w:eastAsia="Arial" w:hAnsi="Arial"/>
          <w:sz w:val="20"/>
          <w:szCs w:val="20"/>
        </w:rPr>
        <w:t xml:space="preserve"> 0,68 mg/l</w:t>
      </w:r>
    </w:p>
    <w:p>
      <w:pPr>
        <w:spacing w:after="60" w:before="60"/>
      </w:pPr>
      <w:r>
        <w:rPr>
          <w:rFonts w:ascii="Arial" w:cs="Arial" w:eastAsia="Arial" w:hAnsi="Arial"/>
          <w:b/>
          <w:bCs/>
          <w:sz w:val="20"/>
          <w:szCs w:val="20"/>
        </w:rPr>
        <w:t xml:space="preserve">- mikroorganizmy w oczyszczalni ścieków (STP):</w:t>
      </w:r>
      <w:r>
        <w:rPr>
          <w:rFonts w:ascii="Arial" w:cs="Arial" w:eastAsia="Arial" w:hAnsi="Arial"/>
          <w:sz w:val="20"/>
          <w:szCs w:val="20"/>
        </w:rPr>
        <w:t xml:space="preserve"> 13,61 mg/l</w:t>
      </w:r>
    </w:p>
    <w:p>
      <w:pPr>
        <w:spacing w:after="60" w:before="60"/>
      </w:pPr>
      <w:r>
        <w:rPr>
          <w:rFonts w:ascii="Arial" w:cs="Arial" w:eastAsia="Arial" w:hAnsi="Arial"/>
          <w:b/>
          <w:bCs/>
          <w:sz w:val="20"/>
          <w:szCs w:val="20"/>
        </w:rPr>
        <w:t xml:space="preserve">- łańcuch pokarmowy (zatrucie wtórne):</w:t>
      </w:r>
      <w:r>
        <w:rPr>
          <w:rFonts w:ascii="Arial" w:cs="Arial" w:eastAsia="Arial" w:hAnsi="Arial"/>
          <w:sz w:val="20"/>
          <w:szCs w:val="20"/>
        </w:rPr>
        <w:t xml:space="preserve"> 2,89 mg/kg soil dw</w:t>
      </w:r>
    </w:p>
    <w:p>
      <w:pPr>
        <w:spacing w:after="80"/>
      </w:pPr>
      <w:r>
        <w:rPr>
          <w:rFonts w:ascii="Arial" w:cs="Arial" w:eastAsia="Arial" w:hAnsi="Arial"/>
          <w:sz w:val="20"/>
          <w:szCs w:val="20"/>
        </w:rPr>
        <w:t xml:space="preserve">Substancja: metanol [CAS: 67-56-1]</w:t>
      </w:r>
    </w:p>
    <w:p>
      <w:pPr>
        <w:spacing w:after="80"/>
      </w:pPr>
      <w:r>
        <w:rPr>
          <w:rFonts w:ascii="Arial" w:cs="Arial" w:eastAsia="Arial" w:hAnsi="Arial"/>
          <w:sz w:val="20"/>
          <w:szCs w:val="20"/>
        </w:rPr>
        <w:t xml:space="preserve">Pochodne poziomy niepowodujące zmian (DNEL):</w:t>
      </w:r>
    </w:p>
    <w:p>
      <w:pPr>
        <w:spacing w:after="60" w:before="60"/>
      </w:pPr>
      <w:r>
        <w:rPr>
          <w:rFonts w:ascii="Arial" w:cs="Arial" w:eastAsia="Arial" w:hAnsi="Arial"/>
          <w:b/>
          <w:bCs/>
          <w:sz w:val="20"/>
          <w:szCs w:val="20"/>
        </w:rPr>
        <w:t xml:space="preserve">- Droga pokarmowa (doustnie):</w:t>
      </w:r>
      <w:r>
        <w:rPr>
          <w:rFonts w:ascii="Arial" w:cs="Arial" w:eastAsia="Arial" w:hAnsi="Arial"/>
          <w:sz w:val="20"/>
          <w:szCs w:val="20"/>
        </w:rPr>
        <w:t xml:space="preserve"> Konsumenci (skutki przewlekłe układowe): 4 mg/kg mc/dzień</w:t>
      </w:r>
    </w:p>
    <w:p>
      <w:pPr>
        <w:spacing w:after="60" w:before="60"/>
      </w:pPr>
      <w:r>
        <w:rPr>
          <w:rFonts w:ascii="Arial" w:cs="Arial" w:eastAsia="Arial" w:hAnsi="Arial"/>
          <w:b/>
          <w:bCs/>
          <w:sz w:val="20"/>
          <w:szCs w:val="20"/>
        </w:rPr>
        <w:t xml:space="preserve">- Drogi oddechowe (inhalacyjnie):</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w:t>
      </w:r>
      <w:r>
        <w:rPr>
          <w:rFonts w:ascii="Arial" w:cs="Arial" w:eastAsia="Arial" w:hAnsi="Arial"/>
          <w:sz w:val="20"/>
          <w:szCs w:val="20"/>
        </w:rPr>
        <w:t xml:space="preserve"> ostre miejscowe: 26 mg/m³, ostre układowe: 26 mg/m³, przewlekłe miejscowe: 26 mg/m³, przewlekłe układowe: 26 mg/m³</w:t>
      </w:r>
    </w:p>
    <w:p>
      <w:pPr>
        <w:spacing w:after="60" w:before="60"/>
      </w:pPr>
      <w:r>
        <w:rPr>
          <w:rFonts w:ascii="Arial" w:cs="Arial" w:eastAsia="Arial" w:hAnsi="Arial"/>
          <w:b/>
          <w:bCs/>
          <w:sz w:val="20"/>
          <w:szCs w:val="20"/>
        </w:rPr>
        <w:t xml:space="preserve">* Pracownicy:</w:t>
      </w:r>
      <w:r>
        <w:rPr>
          <w:rFonts w:ascii="Arial" w:cs="Arial" w:eastAsia="Arial" w:hAnsi="Arial"/>
          <w:sz w:val="20"/>
          <w:szCs w:val="20"/>
        </w:rPr>
        <w:t xml:space="preserve"> ostre miejscowe: 130 mg/m³, ostre układowe: 130 mg/m³, przewlekłe miejscowe: 130 mg/m³, przewlekłe układowe: 130 mg/m³</w:t>
      </w:r>
    </w:p>
    <w:p>
      <w:pPr>
        <w:spacing w:after="60" w:before="60"/>
      </w:pPr>
      <w:r>
        <w:rPr>
          <w:rFonts w:ascii="Arial" w:cs="Arial" w:eastAsia="Arial" w:hAnsi="Arial"/>
          <w:b/>
          <w:bCs/>
          <w:sz w:val="20"/>
          <w:szCs w:val="20"/>
        </w:rPr>
        <w:t xml:space="preserve">- Na skórę:</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w:t>
      </w:r>
      <w:r>
        <w:rPr>
          <w:rFonts w:ascii="Arial" w:cs="Arial" w:eastAsia="Arial" w:hAnsi="Arial"/>
          <w:sz w:val="20"/>
          <w:szCs w:val="20"/>
        </w:rPr>
        <w:t xml:space="preserve"> skutki ostre układowe: 4 mg/kg mc/dzień; skutki przewlekłe układowe: 4 mg/kg mc/dzień</w:t>
      </w:r>
    </w:p>
    <w:p>
      <w:pPr>
        <w:spacing w:after="60" w:before="60"/>
      </w:pPr>
      <w:r>
        <w:rPr>
          <w:rFonts w:ascii="Arial" w:cs="Arial" w:eastAsia="Arial" w:hAnsi="Arial"/>
          <w:b/>
          <w:bCs/>
          <w:sz w:val="20"/>
          <w:szCs w:val="20"/>
        </w:rPr>
        <w:t xml:space="preserve">* Pracownicy:</w:t>
      </w:r>
      <w:r>
        <w:rPr>
          <w:rFonts w:ascii="Arial" w:cs="Arial" w:eastAsia="Arial" w:hAnsi="Arial"/>
          <w:sz w:val="20"/>
          <w:szCs w:val="20"/>
        </w:rPr>
        <w:t xml:space="preserve"> skutki ostre układowe: 20 mg/kg mc/dzień; skutki przewlekłe układowe: 20 mg/kg mc/dzień</w:t>
      </w:r>
    </w:p>
    <w:p>
      <w:pPr>
        <w:spacing w:after="80"/>
      </w:pPr>
      <w:r>
        <w:rPr>
          <w:rFonts w:ascii="Arial" w:cs="Arial" w:eastAsia="Arial" w:hAnsi="Arial"/>
          <w:sz w:val="20"/>
          <w:szCs w:val="20"/>
        </w:rPr>
        <w:t xml:space="preserve">Przewidywane stężenia niepowodujące zmian w środowisku (PNEC):</w:t>
      </w:r>
    </w:p>
    <w:p>
      <w:pPr>
        <w:spacing w:after="60" w:before="60"/>
      </w:pPr>
      <w:r>
        <w:rPr>
          <w:rFonts w:ascii="Arial" w:cs="Arial" w:eastAsia="Arial" w:hAnsi="Arial"/>
          <w:b/>
          <w:bCs/>
          <w:sz w:val="20"/>
          <w:szCs w:val="20"/>
        </w:rPr>
        <w:t xml:space="preserve">- woda słodka:</w:t>
      </w:r>
      <w:r>
        <w:rPr>
          <w:rFonts w:ascii="Arial" w:cs="Arial" w:eastAsia="Arial" w:hAnsi="Arial"/>
          <w:sz w:val="20"/>
          <w:szCs w:val="20"/>
        </w:rPr>
        <w:t xml:space="preserve"> 20,8 mg/l</w:t>
      </w:r>
    </w:p>
    <w:p>
      <w:pPr>
        <w:spacing w:after="60" w:before="60"/>
      </w:pPr>
      <w:r>
        <w:rPr>
          <w:rFonts w:ascii="Arial" w:cs="Arial" w:eastAsia="Arial" w:hAnsi="Arial"/>
          <w:b/>
          <w:bCs/>
          <w:sz w:val="20"/>
          <w:szCs w:val="20"/>
        </w:rPr>
        <w:t xml:space="preserve">- woda morska:</w:t>
      </w:r>
      <w:r>
        <w:rPr>
          <w:rFonts w:ascii="Arial" w:cs="Arial" w:eastAsia="Arial" w:hAnsi="Arial"/>
          <w:sz w:val="20"/>
          <w:szCs w:val="20"/>
        </w:rPr>
        <w:t xml:space="preserve"> 2,08 mg/l</w:t>
      </w:r>
    </w:p>
    <w:p>
      <w:pPr>
        <w:spacing w:after="60" w:before="60"/>
      </w:pPr>
      <w:r>
        <w:rPr>
          <w:rFonts w:ascii="Arial" w:cs="Arial" w:eastAsia="Arial" w:hAnsi="Arial"/>
          <w:b/>
          <w:bCs/>
          <w:sz w:val="20"/>
          <w:szCs w:val="20"/>
        </w:rPr>
        <w:t xml:space="preserve">- osady słodkowodne:</w:t>
      </w:r>
      <w:r>
        <w:rPr>
          <w:rFonts w:ascii="Arial" w:cs="Arial" w:eastAsia="Arial" w:hAnsi="Arial"/>
          <w:sz w:val="20"/>
          <w:szCs w:val="20"/>
        </w:rPr>
        <w:t xml:space="preserve"> 77 mg/kg</w:t>
      </w:r>
    </w:p>
    <w:p>
      <w:pPr>
        <w:spacing w:after="60" w:before="60"/>
      </w:pPr>
      <w:r>
        <w:rPr>
          <w:rFonts w:ascii="Arial" w:cs="Arial" w:eastAsia="Arial" w:hAnsi="Arial"/>
          <w:b/>
          <w:bCs/>
          <w:sz w:val="20"/>
          <w:szCs w:val="20"/>
        </w:rPr>
        <w:t xml:space="preserve">- osady morskie:</w:t>
      </w:r>
      <w:r>
        <w:rPr>
          <w:rFonts w:ascii="Arial" w:cs="Arial" w:eastAsia="Arial" w:hAnsi="Arial"/>
          <w:sz w:val="20"/>
          <w:szCs w:val="20"/>
        </w:rPr>
        <w:t xml:space="preserve"> 7,7 mg/kg</w:t>
      </w:r>
    </w:p>
    <w:p>
      <w:pPr>
        <w:spacing w:after="60" w:before="60"/>
      </w:pPr>
      <w:r>
        <w:rPr>
          <w:rFonts w:ascii="Arial" w:cs="Arial" w:eastAsia="Arial" w:hAnsi="Arial"/>
          <w:b/>
          <w:bCs/>
          <w:sz w:val="20"/>
          <w:szCs w:val="20"/>
        </w:rPr>
        <w:t xml:space="preserve">- woda (uwalnianie okresowe):</w:t>
      </w:r>
      <w:r>
        <w:rPr>
          <w:rFonts w:ascii="Arial" w:cs="Arial" w:eastAsia="Arial" w:hAnsi="Arial"/>
          <w:sz w:val="20"/>
          <w:szCs w:val="20"/>
        </w:rPr>
        <w:t xml:space="preserve"> 1540 mg/l</w:t>
      </w:r>
    </w:p>
    <w:p>
      <w:pPr>
        <w:spacing w:after="60" w:before="60"/>
      </w:pPr>
      <w:r>
        <w:rPr>
          <w:rFonts w:ascii="Arial" w:cs="Arial" w:eastAsia="Arial" w:hAnsi="Arial"/>
          <w:b/>
          <w:bCs/>
          <w:sz w:val="20"/>
          <w:szCs w:val="20"/>
        </w:rPr>
        <w:t xml:space="preserve">- mikroorganizmy w oczyszczalni ścieków (STP):</w:t>
      </w:r>
      <w:r>
        <w:rPr>
          <w:rFonts w:ascii="Arial" w:cs="Arial" w:eastAsia="Arial" w:hAnsi="Arial"/>
          <w:sz w:val="20"/>
          <w:szCs w:val="20"/>
        </w:rPr>
        <w:t xml:space="preserve"> 100 mg/l</w:t>
      </w:r>
    </w:p>
    <w:p>
      <w:pPr>
        <w:spacing w:after="60" w:before="60"/>
      </w:pPr>
      <w:r>
        <w:rPr>
          <w:rFonts w:ascii="Arial" w:cs="Arial" w:eastAsia="Arial" w:hAnsi="Arial"/>
          <w:b/>
          <w:bCs/>
          <w:sz w:val="20"/>
          <w:szCs w:val="20"/>
        </w:rPr>
        <w:t xml:space="preserve">- środowisko glebowe (gleba):</w:t>
      </w:r>
      <w:r>
        <w:rPr>
          <w:rFonts w:ascii="Arial" w:cs="Arial" w:eastAsia="Arial" w:hAnsi="Arial"/>
          <w:sz w:val="20"/>
          <w:szCs w:val="20"/>
        </w:rPr>
        <w:t xml:space="preserve"> 100 mg/kg</w:t>
      </w:r>
    </w:p>
    <w:p>
      <w:pPr>
        <w:spacing w:after="80" w:before="80"/>
      </w:pPr>
      <w:r>
        <w:rPr>
          <w:rFonts w:ascii="Arial" w:cs="Arial" w:eastAsia="Arial" w:hAnsi="Arial"/>
          <w:b/>
          <w:bCs/>
          <w:sz w:val="20"/>
          <w:szCs w:val="20"/>
        </w:rPr>
        <w:t xml:space="preserve">Zalecane procedury monitorowania:</w:t>
      </w:r>
      <w:r>
        <w:rPr>
          <w:rFonts w:ascii="Arial" w:cs="Arial" w:eastAsia="Arial" w:hAnsi="Arial"/>
          <w:sz w:val="20"/>
          <w:szCs w:val="20"/>
        </w:rPr>
        <w:t xml:space="preserve"> Należy stosować procedury monitorowania stężeń niebezpiecznych substancji w powietrzu na stanowiskach pracy oraz procedury kontroli wentylacji zgodnie z odpowiednimi Polskimi Normami.</w:t>
      </w:r>
    </w:p>
    <w:p>
      <w:pPr>
        <w:spacing w:after="100" w:before="200"/>
      </w:pPr>
      <w:r>
        <w:rPr>
          <w:rFonts w:ascii="Arial" w:cs="Arial" w:eastAsia="Arial" w:hAnsi="Arial"/>
          <w:b/>
          <w:bCs/>
          <w:sz w:val="20"/>
          <w:szCs w:val="20"/>
        </w:rPr>
        <w:t xml:space="preserve">8.2. Kontrola narażenia</w:t>
      </w:r>
    </w:p>
    <w:p>
      <w:pPr>
        <w:spacing w:after="80" w:before="80"/>
      </w:pPr>
      <w:r>
        <w:rPr>
          <w:rFonts w:ascii="Arial" w:cs="Arial" w:eastAsia="Arial" w:hAnsi="Arial"/>
          <w:b/>
          <w:bCs/>
          <w:sz w:val="20"/>
          <w:szCs w:val="20"/>
        </w:rPr>
        <w:t xml:space="preserve">Ochrona oczu:</w:t>
      </w:r>
      <w:r>
        <w:rPr>
          <w:rFonts w:ascii="Arial" w:cs="Arial" w:eastAsia="Arial" w:hAnsi="Arial"/>
          <w:sz w:val="20"/>
          <w:szCs w:val="20"/>
        </w:rPr>
        <w:t xml:space="preserve"> Nosić okulary ochronne w szczelnej obudowie lub gogle ochronne zgodne z normą PN-EN 166.</w:t>
      </w:r>
    </w:p>
    <w:p>
      <w:pPr>
        <w:spacing w:after="80" w:before="80"/>
      </w:pPr>
      <w:r>
        <w:rPr>
          <w:rFonts w:ascii="Arial" w:cs="Arial" w:eastAsia="Arial" w:hAnsi="Arial"/>
          <w:b/>
          <w:bCs/>
          <w:sz w:val="20"/>
          <w:szCs w:val="20"/>
        </w:rPr>
        <w:t xml:space="preserve">Ochrona skóry:</w:t>
      </w:r>
      <w:r>
        <w:rPr>
          <w:rFonts w:ascii="Arial" w:cs="Arial" w:eastAsia="Arial" w:hAnsi="Arial"/>
          <w:sz w:val="20"/>
          <w:szCs w:val="20"/>
        </w:rPr>
        <w:t xml:space="preserve"> Stosować odpowiednią odzież roboczą chroniącą przed kontaktem z chemikaliami.</w:t>
      </w:r>
    </w:p>
    <w:p>
      <w:pPr>
        <w:spacing w:after="80" w:before="80"/>
      </w:pPr>
      <w:r>
        <w:rPr>
          <w:rFonts w:ascii="Arial" w:cs="Arial" w:eastAsia="Arial" w:hAnsi="Arial"/>
          <w:b/>
          <w:bCs/>
          <w:sz w:val="20"/>
          <w:szCs w:val="20"/>
        </w:rPr>
        <w:t xml:space="preserve">Ochrona rąk:</w:t>
      </w:r>
      <w:r>
        <w:rPr>
          <w:rFonts w:ascii="Arial" w:cs="Arial" w:eastAsia="Arial" w:hAnsi="Arial"/>
          <w:sz w:val="20"/>
          <w:szCs w:val="20"/>
        </w:rPr>
        <w:t xml:space="preserve"> Stosować rękawice ochronne odporne na działanie chemikaliów (np. z kauczuku nitrylowego lub neoprenu) zgodne z normą PN-EN ISO 374-1. Czas przebicia i grubość materiału należy skonsultować z dostawcą rękawic.</w:t>
      </w:r>
    </w:p>
    <w:p>
      <w:pPr>
        <w:spacing w:after="80" w:before="80"/>
      </w:pPr>
      <w:r>
        <w:rPr>
          <w:rFonts w:ascii="Arial" w:cs="Arial" w:eastAsia="Arial" w:hAnsi="Arial"/>
          <w:b/>
          <w:bCs/>
          <w:sz w:val="20"/>
          <w:szCs w:val="20"/>
        </w:rPr>
        <w:t xml:space="preserve">Ochrona dróg oddechowych:</w:t>
      </w:r>
      <w:r>
        <w:rPr>
          <w:rFonts w:ascii="Arial" w:cs="Arial" w:eastAsia="Arial" w:hAnsi="Arial"/>
          <w:sz w:val="20"/>
          <w:szCs w:val="20"/>
        </w:rPr>
        <w:t xml:space="preserve"> W normalnych warunkach stosowania przy właściwej wentylacji nie jest wymagana. W przypadku niedostatecznej wentylacji lub przekroczenia dopuszczalnych stężeń NDS stosować odpowiedni sprzęt ochrony dróg oddechowych z pochłaniaczem par typu A (norma PN-EN 14387).</w:t>
      </w:r>
    </w:p>
    <w:p>
      <w:pPr>
        <w:spacing w:after="80" w:before="80"/>
      </w:pPr>
      <w:r>
        <w:rPr>
          <w:rFonts w:ascii="Arial" w:cs="Arial" w:eastAsia="Arial" w:hAnsi="Arial"/>
          <w:b/>
          <w:bCs/>
          <w:sz w:val="20"/>
          <w:szCs w:val="20"/>
        </w:rPr>
        <w:t xml:space="preserve">Zagrożenia termiczne:</w:t>
      </w:r>
      <w:r>
        <w:rPr>
          <w:rFonts w:ascii="Arial" w:cs="Arial" w:eastAsia="Arial" w:hAnsi="Arial"/>
          <w:sz w:val="20"/>
          <w:szCs w:val="20"/>
        </w:rPr>
        <w:t xml:space="preserve"> Nie dotyczy.</w:t>
      </w:r>
    </w:p>
    <w:p>
      <w:pPr>
        <w:spacing w:after="80" w:before="80"/>
      </w:pPr>
      <w:r>
        <w:rPr>
          <w:rFonts w:ascii="Arial" w:cs="Arial" w:eastAsia="Arial" w:hAnsi="Arial"/>
          <w:b/>
          <w:bCs/>
          <w:sz w:val="20"/>
          <w:szCs w:val="20"/>
        </w:rPr>
        <w:t xml:space="preserve">Kontrola narażenia środowiska:</w:t>
      </w:r>
      <w:r>
        <w:rPr>
          <w:rFonts w:ascii="Arial" w:cs="Arial" w:eastAsia="Arial" w:hAnsi="Arial"/>
          <w:sz w:val="20"/>
          <w:szCs w:val="20"/>
        </w:rPr>
        <w:t xml:space="preserve"> Nie dopuścić do przedostania się dużych ilości produktu do kanalizacji, wód powierzchniowych ani gruntowych.</w:t>
      </w:r>
    </w:p>
    <w:p>
      <w:pPr>
        <w:spacing w:after="80" w:before="80"/>
      </w:pPr>
      <w:r>
        <w:rPr>
          <w:rFonts w:ascii="Arial" w:cs="Arial" w:eastAsia="Arial" w:hAnsi="Arial"/>
          <w:b/>
          <w:bCs/>
          <w:sz w:val="20"/>
          <w:szCs w:val="20"/>
        </w:rPr>
        <w:t xml:space="preserve">Środki higieniczne i techniczne:</w:t>
      </w:r>
      <w:r>
        <w:rPr>
          <w:rFonts w:ascii="Arial" w:cs="Arial" w:eastAsia="Arial" w:hAnsi="Arial"/>
          <w:sz w:val="20"/>
          <w:szCs w:val="20"/>
        </w:rPr>
        <w:t xml:space="preserve"> Zapewnić odpowiednią wentylację ogólną i miejscową na stanowiskach pracy. Myć ręce po zakończeniu pracy z produktem. Nie jeść i nie pić podczas stosowania.</w:t>
      </w:r>
    </w:p>
    <w:p>
      <w:pPr>
        <w:pBdr>
          <w:bottom w:color="00A651" w:sz="12" w:space="1"/>
        </w:pBdr>
        <w:spacing w:after="150" w:before="300"/>
      </w:pPr>
      <w:r>
        <w:rPr>
          <w:b/>
          <w:bCs/>
          <w:sz w:val="22"/>
          <w:szCs w:val="22"/>
        </w:rPr>
        <w:t xml:space="preserve">SEKCJA 9: WŁAŚCIWOŚCI FIZYCZNE I CHEMICZNE</w:t>
      </w:r>
    </w:p>
    <w:p>
      <w:pPr>
        <w:spacing w:after="100" w:before="200"/>
      </w:pPr>
      <w:r>
        <w:rPr>
          <w:rFonts w:ascii="Arial" w:cs="Arial" w:eastAsia="Arial" w:hAnsi="Arial"/>
          <w:b/>
          <w:bCs/>
          <w:sz w:val="20"/>
          <w:szCs w:val="20"/>
        </w:rPr>
        <w:t xml:space="preserve">9.1. Informacje na temat podstawowych właściwości fizycznych i chemicznych</w:t>
      </w:r>
    </w:p>
    <w:p>
      <w:pPr>
        <w:spacing w:after="80" w:before="80"/>
      </w:pPr>
      <w:r>
        <w:rPr>
          <w:rFonts w:ascii="Arial" w:cs="Arial" w:eastAsia="Arial" w:hAnsi="Arial"/>
          <w:b/>
          <w:bCs/>
          <w:sz w:val="20"/>
          <w:szCs w:val="20"/>
        </w:rPr>
        <w:t xml:space="preserve">Stan skupienia:</w:t>
      </w:r>
      <w:r>
        <w:rPr>
          <w:rFonts w:ascii="Arial" w:cs="Arial" w:eastAsia="Arial" w:hAnsi="Arial"/>
          <w:sz w:val="20"/>
          <w:szCs w:val="20"/>
        </w:rPr>
        <w:t xml:space="preserve"> ciecz (metoda wewnętrzna)</w:t>
      </w:r>
    </w:p>
    <w:p>
      <w:pPr>
        <w:spacing w:after="80" w:before="80"/>
      </w:pPr>
      <w:r>
        <w:rPr>
          <w:rFonts w:ascii="Arial" w:cs="Arial" w:eastAsia="Arial" w:hAnsi="Arial"/>
          <w:b/>
          <w:bCs/>
          <w:sz w:val="20"/>
          <w:szCs w:val="20"/>
        </w:rPr>
        <w:t xml:space="preserve">Kolor:</w:t>
      </w:r>
      <w:r>
        <w:rPr>
          <w:rFonts w:ascii="Arial" w:cs="Arial" w:eastAsia="Arial" w:hAnsi="Arial"/>
          <w:sz w:val="20"/>
          <w:szCs w:val="20"/>
        </w:rPr>
        <w:t xml:space="preserve"> jasnoniebieski (ocena wizualna)</w:t>
      </w:r>
    </w:p>
    <w:p>
      <w:pPr>
        <w:spacing w:after="80" w:before="80"/>
      </w:pPr>
      <w:r>
        <w:rPr>
          <w:rFonts w:ascii="Arial" w:cs="Arial" w:eastAsia="Arial" w:hAnsi="Arial"/>
          <w:b/>
          <w:bCs/>
          <w:sz w:val="20"/>
          <w:szCs w:val="20"/>
        </w:rPr>
        <w:t xml:space="preserve">Zapach:</w:t>
      </w:r>
      <w:r>
        <w:rPr>
          <w:rFonts w:ascii="Arial" w:cs="Arial" w:eastAsia="Arial" w:hAnsi="Arial"/>
          <w:sz w:val="20"/>
          <w:szCs w:val="20"/>
        </w:rPr>
        <w:t xml:space="preserve"> charakterystyczny (metoda wewnętrzna)</w:t>
      </w:r>
    </w:p>
    <w:p>
      <w:pPr>
        <w:spacing w:after="80" w:before="80"/>
      </w:pPr>
      <w:r>
        <w:rPr>
          <w:rFonts w:ascii="Arial" w:cs="Arial" w:eastAsia="Arial" w:hAnsi="Arial"/>
          <w:b/>
          <w:bCs/>
          <w:sz w:val="20"/>
          <w:szCs w:val="20"/>
        </w:rPr>
        <w:t xml:space="preserve">Temperatura topnienia/krzepnięcia:</w:t>
      </w:r>
      <w:r>
        <w:rPr>
          <w:rFonts w:ascii="Arial" w:cs="Arial" w:eastAsia="Arial" w:hAnsi="Arial"/>
          <w:sz w:val="20"/>
          <w:szCs w:val="20"/>
        </w:rPr>
        <w:t xml:space="preserve"> -114 °C (metoda: HSDB 2015; INRS 2011)</w:t>
      </w:r>
    </w:p>
    <w:p>
      <w:pPr>
        <w:spacing w:after="80" w:before="80"/>
      </w:pPr>
      <w:r>
        <w:rPr>
          <w:rFonts w:ascii="Arial" w:cs="Arial" w:eastAsia="Arial" w:hAnsi="Arial"/>
          <w:b/>
          <w:bCs/>
          <w:sz w:val="20"/>
          <w:szCs w:val="20"/>
        </w:rPr>
        <w:t xml:space="preserve">Temperatura wrzenia lub początkowa temperatura wrzenia i zakres temperatur wrzenia:</w:t>
      </w:r>
      <w:r>
        <w:rPr>
          <w:rFonts w:ascii="Arial" w:cs="Arial" w:eastAsia="Arial" w:hAnsi="Arial"/>
          <w:sz w:val="20"/>
          <w:szCs w:val="20"/>
        </w:rPr>
        <w:t xml:space="preserve"> 78,5 °C (metoda: HSDB 2015; INRS 2011)</w:t>
      </w:r>
    </w:p>
    <w:p>
      <w:pPr>
        <w:spacing w:after="80" w:before="80"/>
      </w:pPr>
      <w:r>
        <w:rPr>
          <w:rFonts w:ascii="Arial" w:cs="Arial" w:eastAsia="Arial" w:hAnsi="Arial"/>
          <w:b/>
          <w:bCs/>
          <w:sz w:val="20"/>
          <w:szCs w:val="20"/>
        </w:rPr>
        <w:t xml:space="preserve">Palność materiałów:</w:t>
      </w:r>
      <w:r>
        <w:rPr>
          <w:rFonts w:ascii="Arial" w:cs="Arial" w:eastAsia="Arial" w:hAnsi="Arial"/>
          <w:sz w:val="20"/>
          <w:szCs w:val="20"/>
        </w:rPr>
        <w:t xml:space="preserve"> wysoce łatwopalna ciecz i pary</w:t>
      </w:r>
    </w:p>
    <w:p>
      <w:pPr>
        <w:spacing w:after="80" w:before="80"/>
      </w:pPr>
      <w:r>
        <w:rPr>
          <w:rFonts w:ascii="Arial" w:cs="Arial" w:eastAsia="Arial" w:hAnsi="Arial"/>
          <w:b/>
          <w:bCs/>
          <w:sz w:val="20"/>
          <w:szCs w:val="20"/>
        </w:rPr>
        <w:t xml:space="preserve">Dolna i górna granica wybuchowości:</w:t>
      </w:r>
      <w:r>
        <w:rPr>
          <w:rFonts w:ascii="Arial" w:cs="Arial" w:eastAsia="Arial" w:hAnsi="Arial"/>
          <w:sz w:val="20"/>
          <w:szCs w:val="20"/>
        </w:rPr>
        <w:t xml:space="preserve"> Dolna granica wybuchowości (DGW): 3,3 % (v/v); Górna granica wybuchowości (GGW): 19 % (v/v)</w:t>
      </w:r>
    </w:p>
    <w:p>
      <w:pPr>
        <w:spacing w:after="80" w:before="80"/>
      </w:pPr>
      <w:r>
        <w:rPr>
          <w:rFonts w:ascii="Arial" w:cs="Arial" w:eastAsia="Arial" w:hAnsi="Arial"/>
          <w:b/>
          <w:bCs/>
          <w:sz w:val="20"/>
          <w:szCs w:val="20"/>
        </w:rPr>
        <w:t xml:space="preserve">Temperatura zapłonu:</w:t>
      </w:r>
      <w:r>
        <w:rPr>
          <w:rFonts w:ascii="Arial" w:cs="Arial" w:eastAsia="Arial" w:hAnsi="Arial"/>
          <w:sz w:val="20"/>
          <w:szCs w:val="20"/>
        </w:rPr>
        <w:t xml:space="preserve"> 18 °C (metoda: ISO 3679:2023)</w:t>
      </w:r>
    </w:p>
    <w:p>
      <w:pPr>
        <w:spacing w:after="80" w:before="80"/>
      </w:pPr>
      <w:r>
        <w:rPr>
          <w:rFonts w:ascii="Arial" w:cs="Arial" w:eastAsia="Arial" w:hAnsi="Arial"/>
          <w:b/>
          <w:bCs/>
          <w:sz w:val="20"/>
          <w:szCs w:val="20"/>
        </w:rPr>
        <w:t xml:space="preserve">Temperatura samozapłonu:</w:t>
      </w:r>
      <w:r>
        <w:rPr>
          <w:rFonts w:ascii="Arial" w:cs="Arial" w:eastAsia="Arial" w:hAnsi="Arial"/>
          <w:sz w:val="20"/>
          <w:szCs w:val="20"/>
        </w:rPr>
        <w:t xml:space="preserve"> 363 °C (metoda wewnętrzna)</w:t>
      </w:r>
    </w:p>
    <w:p>
      <w:pPr>
        <w:spacing w:after="80" w:before="80"/>
      </w:pPr>
      <w:r>
        <w:rPr>
          <w:rFonts w:ascii="Arial" w:cs="Arial" w:eastAsia="Arial" w:hAnsi="Arial"/>
          <w:b/>
          <w:bCs/>
          <w:sz w:val="20"/>
          <w:szCs w:val="20"/>
        </w:rPr>
        <w:t xml:space="preserve">Temperatura rozkładu:</w:t>
      </w:r>
      <w:r>
        <w:rPr>
          <w:rFonts w:ascii="Arial" w:cs="Arial" w:eastAsia="Arial" w:hAnsi="Arial"/>
          <w:sz w:val="20"/>
          <w:szCs w:val="20"/>
        </w:rPr>
        <w:t xml:space="preserve"> brak danych</w:t>
      </w:r>
    </w:p>
    <w:p>
      <w:pPr>
        <w:spacing w:after="80" w:before="80"/>
      </w:pPr>
      <w:r>
        <w:rPr>
          <w:rFonts w:ascii="Arial" w:cs="Arial" w:eastAsia="Arial" w:hAnsi="Arial"/>
          <w:b/>
          <w:bCs/>
          <w:sz w:val="20"/>
          <w:szCs w:val="20"/>
        </w:rPr>
        <w:t xml:space="preserve">pH:</w:t>
      </w:r>
      <w:r>
        <w:rPr>
          <w:rFonts w:ascii="Arial" w:cs="Arial" w:eastAsia="Arial" w:hAnsi="Arial"/>
          <w:sz w:val="20"/>
          <w:szCs w:val="20"/>
        </w:rPr>
        <w:t xml:space="preserve"> brak danych</w:t>
      </w:r>
    </w:p>
    <w:p>
      <w:pPr>
        <w:spacing w:after="80" w:before="80"/>
      </w:pPr>
      <w:r>
        <w:rPr>
          <w:rFonts w:ascii="Arial" w:cs="Arial" w:eastAsia="Arial" w:hAnsi="Arial"/>
          <w:b/>
          <w:bCs/>
          <w:sz w:val="20"/>
          <w:szCs w:val="20"/>
        </w:rPr>
        <w:t xml:space="preserve">Lepkość kinematyczna:</w:t>
      </w:r>
      <w:r>
        <w:rPr>
          <w:rFonts w:ascii="Arial" w:cs="Arial" w:eastAsia="Arial" w:hAnsi="Arial"/>
          <w:sz w:val="20"/>
          <w:szCs w:val="20"/>
        </w:rPr>
        <w:t xml:space="preserve"> brak danych</w:t>
      </w:r>
    </w:p>
    <w:p>
      <w:pPr>
        <w:spacing w:after="80" w:before="80"/>
      </w:pPr>
      <w:r>
        <w:rPr>
          <w:rFonts w:ascii="Arial" w:cs="Arial" w:eastAsia="Arial" w:hAnsi="Arial"/>
          <w:b/>
          <w:bCs/>
          <w:sz w:val="20"/>
          <w:szCs w:val="20"/>
        </w:rPr>
        <w:t xml:space="preserve">Rozpuszczalność w wodzie:</w:t>
      </w:r>
      <w:r>
        <w:rPr>
          <w:rFonts w:ascii="Arial" w:cs="Arial" w:eastAsia="Arial" w:hAnsi="Arial"/>
          <w:sz w:val="20"/>
          <w:szCs w:val="20"/>
        </w:rPr>
        <w:t xml:space="preserve"> rozpuszczalny w wodzie</w:t>
      </w:r>
    </w:p>
    <w:p>
      <w:pPr>
        <w:spacing w:after="80" w:before="80"/>
      </w:pPr>
      <w:r>
        <w:rPr>
          <w:rFonts w:ascii="Arial" w:cs="Arial" w:eastAsia="Arial" w:hAnsi="Arial"/>
          <w:b/>
          <w:bCs/>
          <w:sz w:val="20"/>
          <w:szCs w:val="20"/>
        </w:rPr>
        <w:t xml:space="preserve">Rozpuszczalność w innych rozpuszczalnikach:</w:t>
      </w:r>
      <w:r>
        <w:rPr>
          <w:rFonts w:ascii="Arial" w:cs="Arial" w:eastAsia="Arial" w:hAnsi="Arial"/>
          <w:sz w:val="20"/>
          <w:szCs w:val="20"/>
        </w:rPr>
        <w:t xml:space="preserve"> nie dotyczy</w:t>
      </w:r>
    </w:p>
    <w:p>
      <w:pPr>
        <w:spacing w:after="80" w:before="80"/>
      </w:pPr>
      <w:r>
        <w:rPr>
          <w:rFonts w:ascii="Arial" w:cs="Arial" w:eastAsia="Arial" w:hAnsi="Arial"/>
          <w:b/>
          <w:bCs/>
          <w:sz w:val="20"/>
          <w:szCs w:val="20"/>
        </w:rPr>
        <w:t xml:space="preserve">Współczynnik podziału n-oktanol/woda (wartość współczynnika log):</w:t>
      </w:r>
      <w:r>
        <w:rPr>
          <w:rFonts w:ascii="Arial" w:cs="Arial" w:eastAsia="Arial" w:hAnsi="Arial"/>
          <w:sz w:val="20"/>
          <w:szCs w:val="20"/>
        </w:rPr>
        <w:t xml:space="preserve"> -0,35 (metoda wewnętrzna)</w:t>
      </w:r>
    </w:p>
    <w:p>
      <w:pPr>
        <w:spacing w:after="80" w:before="80"/>
      </w:pPr>
      <w:r>
        <w:rPr>
          <w:rFonts w:ascii="Arial" w:cs="Arial" w:eastAsia="Arial" w:hAnsi="Arial"/>
          <w:b/>
          <w:bCs/>
          <w:sz w:val="20"/>
          <w:szCs w:val="20"/>
        </w:rPr>
        <w:t xml:space="preserve">Prężność pary:</w:t>
      </w:r>
      <w:r>
        <w:rPr>
          <w:rFonts w:ascii="Arial" w:cs="Arial" w:eastAsia="Arial" w:hAnsi="Arial"/>
          <w:sz w:val="20"/>
          <w:szCs w:val="20"/>
        </w:rPr>
        <w:t xml:space="preserve"> 5,9 kPa (metoda: INRS, 2011)</w:t>
      </w:r>
    </w:p>
    <w:p>
      <w:pPr>
        <w:spacing w:after="80" w:before="80"/>
      </w:pPr>
      <w:r>
        <w:rPr>
          <w:rFonts w:ascii="Arial" w:cs="Arial" w:eastAsia="Arial" w:hAnsi="Arial"/>
          <w:b/>
          <w:bCs/>
          <w:sz w:val="20"/>
          <w:szCs w:val="20"/>
        </w:rPr>
        <w:t xml:space="preserve">Gęstość lub gęstość względna:</w:t>
      </w:r>
      <w:r>
        <w:rPr>
          <w:rFonts w:ascii="Arial" w:cs="Arial" w:eastAsia="Arial" w:hAnsi="Arial"/>
          <w:sz w:val="20"/>
          <w:szCs w:val="20"/>
        </w:rPr>
        <w:t xml:space="preserve"> brak danych</w:t>
      </w:r>
    </w:p>
    <w:p>
      <w:pPr>
        <w:spacing w:after="80" w:before="80"/>
      </w:pPr>
      <w:r>
        <w:rPr>
          <w:rFonts w:ascii="Arial" w:cs="Arial" w:eastAsia="Arial" w:hAnsi="Arial"/>
          <w:b/>
          <w:bCs/>
          <w:sz w:val="20"/>
          <w:szCs w:val="20"/>
        </w:rPr>
        <w:t xml:space="preserve">Względna gęstość pary:</w:t>
      </w:r>
      <w:r>
        <w:rPr>
          <w:rFonts w:ascii="Arial" w:cs="Arial" w:eastAsia="Arial" w:hAnsi="Arial"/>
          <w:sz w:val="20"/>
          <w:szCs w:val="20"/>
        </w:rPr>
        <w:t xml:space="preserve"> 1,6 (metoda: HSDB, 2015; INRS, 2011)</w:t>
      </w:r>
    </w:p>
    <w:p>
      <w:pPr>
        <w:spacing w:after="80" w:before="80"/>
      </w:pPr>
      <w:r>
        <w:rPr>
          <w:rFonts w:ascii="Arial" w:cs="Arial" w:eastAsia="Arial" w:hAnsi="Arial"/>
          <w:b/>
          <w:bCs/>
          <w:sz w:val="20"/>
          <w:szCs w:val="20"/>
        </w:rPr>
        <w:t xml:space="preserve">Charakterystyka cząsteczek:</w:t>
      </w:r>
      <w:r>
        <w:rPr>
          <w:rFonts w:ascii="Arial" w:cs="Arial" w:eastAsia="Arial" w:hAnsi="Arial"/>
          <w:sz w:val="20"/>
          <w:szCs w:val="20"/>
        </w:rPr>
        <w:t xml:space="preserve"> nie dotyczy (produkt płynny)</w:t>
      </w:r>
    </w:p>
    <w:p>
      <w:pPr>
        <w:spacing w:after="100" w:before="200"/>
      </w:pPr>
      <w:r>
        <w:rPr>
          <w:rFonts w:ascii="Arial" w:cs="Arial" w:eastAsia="Arial" w:hAnsi="Arial"/>
          <w:b/>
          <w:bCs/>
          <w:sz w:val="20"/>
          <w:szCs w:val="20"/>
        </w:rPr>
        <w:t xml:space="preserve">9.2. Inne informacje</w:t>
      </w:r>
    </w:p>
    <w:p>
      <w:pPr>
        <w:spacing w:after="80" w:before="80"/>
      </w:pPr>
      <w:r>
        <w:rPr>
          <w:rFonts w:ascii="Arial" w:cs="Arial" w:eastAsia="Arial" w:hAnsi="Arial"/>
          <w:b/>
          <w:bCs/>
          <w:sz w:val="20"/>
          <w:szCs w:val="20"/>
        </w:rPr>
        <w:t xml:space="preserve">Lotne Związki Organiczne (LZO / VOC):</w:t>
      </w:r>
      <w:r>
        <w:rPr>
          <w:rFonts w:ascii="Arial" w:cs="Arial" w:eastAsia="Arial" w:hAnsi="Arial"/>
          <w:sz w:val="20"/>
          <w:szCs w:val="20"/>
        </w:rPr>
        <w:t xml:space="preserve"> ok. 76–78% (ok. 664 g/l)</w:t>
      </w:r>
    </w:p>
    <w:p>
      <w:pPr>
        <w:spacing w:after="100" w:before="200"/>
      </w:pPr>
      <w:r>
        <w:rPr>
          <w:rFonts w:ascii="Arial" w:cs="Arial" w:eastAsia="Arial" w:hAnsi="Arial"/>
          <w:b/>
          <w:bCs/>
          <w:sz w:val="20"/>
          <w:szCs w:val="20"/>
        </w:rPr>
        <w:t xml:space="preserve">9.2.1. Informacje dotyczące klas zagrożenia fizycznego: Brak dodatkowych danych badawczych.</w:t>
      </w:r>
    </w:p>
    <w:p>
      <w:pPr>
        <w:spacing w:after="100" w:before="200"/>
      </w:pPr>
      <w:r>
        <w:rPr>
          <w:rFonts w:ascii="Arial" w:cs="Arial" w:eastAsia="Arial" w:hAnsi="Arial"/>
          <w:b/>
          <w:bCs/>
          <w:sz w:val="20"/>
          <w:szCs w:val="20"/>
        </w:rPr>
        <w:t xml:space="preserve">9.2.2. Inne właściwości bezpieczeństwa: Zawartość LZO (VOC): ok. 76–78% (ok. 664 g/l).</w:t>
      </w:r>
    </w:p>
    <w:p>
      <w:pPr>
        <w:pBdr>
          <w:bottom w:color="00A651" w:sz="12" w:space="1"/>
        </w:pBdr>
        <w:spacing w:after="150" w:before="300"/>
      </w:pPr>
      <w:r>
        <w:rPr>
          <w:b/>
          <w:bCs/>
          <w:sz w:val="22"/>
          <w:szCs w:val="22"/>
        </w:rPr>
        <w:t xml:space="preserve">SEKCJA 10: STABILNOŚĆ I REAKTYWNOŚĆ</w:t>
      </w:r>
    </w:p>
    <w:p>
      <w:pPr>
        <w:spacing w:after="100" w:before="200"/>
      </w:pPr>
      <w:r>
        <w:rPr>
          <w:rFonts w:ascii="Arial" w:cs="Arial" w:eastAsia="Arial" w:hAnsi="Arial"/>
          <w:b/>
          <w:bCs/>
          <w:sz w:val="20"/>
          <w:szCs w:val="20"/>
        </w:rPr>
        <w:t xml:space="preserve">10.1. Reaktywność: brak szczególnych zagrożeń.</w:t>
      </w:r>
    </w:p>
    <w:p>
      <w:pPr>
        <w:pBdr>
          <w:bottom w:color="00A651" w:sz="12" w:space="1"/>
        </w:pBdr>
        <w:spacing w:after="150" w:before="300"/>
      </w:pPr>
      <w:r>
        <w:rPr>
          <w:b/>
          <w:bCs/>
          <w:sz w:val="22"/>
          <w:szCs w:val="22"/>
        </w:rPr>
        <w:t xml:space="preserve">SEKCJA 11: INFORMACJE TOKSYKOLOGICZNE</w:t>
      </w:r>
    </w:p>
    <w:p>
      <w:pPr>
        <w:spacing w:after="80"/>
      </w:pPr>
      <w:r>
        <w:rPr>
          <w:rFonts w:ascii="Arial" w:cs="Arial" w:eastAsia="Arial" w:hAnsi="Arial"/>
          <w:sz w:val="20"/>
          <w:szCs w:val="20"/>
        </w:rPr>
        <w:t xml:space="preserve">Wobec braku danych doświadczalnych dla samego produktu, zagrożenia dla zdrowia ocenia się zgodnie z właściwościami substancji składowych, z zastosowaniem kryteriów określonych w obowiązujących przepisach dotyczących klasyfikacji.</w:t>
      </w:r>
    </w:p>
    <w:p>
      <w:pPr>
        <w:spacing w:after="80"/>
      </w:pPr>
      <w:r>
        <w:rPr>
          <w:rFonts w:ascii="Arial" w:cs="Arial" w:eastAsia="Arial" w:hAnsi="Arial"/>
          <w:sz w:val="20"/>
          <w:szCs w:val="20"/>
        </w:rPr>
        <w:t xml:space="preserve">W związku z tym w celu oceny skutków toksykologicznych narażenia na produkt należy uwzględnić stężenia poszczególnych substancji niebezpiecznych wymienionych w sekcji 3.</w:t>
      </w:r>
    </w:p>
    <w:p>
      <w:pPr>
        <w:spacing w:after="100" w:before="200"/>
      </w:pPr>
      <w:r>
        <w:rPr>
          <w:rFonts w:ascii="Arial" w:cs="Arial" w:eastAsia="Arial" w:hAnsi="Arial"/>
          <w:b/>
          <w:bCs/>
          <w:sz w:val="20"/>
          <w:szCs w:val="20"/>
        </w:rPr>
        <w:t xml:space="preserve">11.1. Informacje na temat klas zagrożenia zdefiniowanych w rozporządzeniu (WE) nr 1272/2008</w:t>
      </w:r>
    </w:p>
    <w:p>
      <w:pPr>
        <w:spacing w:after="80"/>
      </w:pPr>
      <w:r>
        <w:rPr>
          <w:rFonts w:ascii="Arial" w:cs="Arial" w:eastAsia="Arial" w:hAnsi="Arial"/>
          <w:sz w:val="20"/>
          <w:szCs w:val="20"/>
        </w:rPr>
        <w:t xml:space="preserve">Metabolizm, toksykokinetyka, mechanizm działania i inne informacje:</w:t>
      </w:r>
    </w:p>
    <w:p>
      <w:pPr>
        <w:spacing w:after="80"/>
      </w:pPr>
      <w:r>
        <w:rPr>
          <w:rFonts w:ascii="Arial" w:cs="Arial" w:eastAsia="Arial" w:hAnsi="Arial"/>
          <w:sz w:val="20"/>
          <w:szCs w:val="20"/>
        </w:rPr>
        <w:t xml:space="preserve">Brak dostępnych informacji.</w:t>
      </w:r>
    </w:p>
    <w:p>
      <w:pPr>
        <w:spacing w:after="80"/>
      </w:pPr>
      <w:r>
        <w:rPr>
          <w:rFonts w:ascii="Arial" w:cs="Arial" w:eastAsia="Arial" w:hAnsi="Arial"/>
          <w:sz w:val="20"/>
          <w:szCs w:val="20"/>
        </w:rPr>
        <w:t xml:space="preserve">Informacje dotyczące prawdopodobnych dróg narażenia:</w:t>
      </w:r>
    </w:p>
    <w:p>
      <w:pPr>
        <w:spacing w:after="80"/>
      </w:pPr>
      <w:r>
        <w:rPr>
          <w:rFonts w:ascii="Arial" w:cs="Arial" w:eastAsia="Arial" w:hAnsi="Arial"/>
          <w:sz w:val="20"/>
          <w:szCs w:val="20"/>
        </w:rPr>
        <w:t xml:space="preserve">METANOL:</w:t>
      </w:r>
    </w:p>
    <w:p>
      <w:pPr>
        <w:spacing w:after="80"/>
      </w:pPr>
      <w:r>
        <w:rPr>
          <w:rFonts w:ascii="Arial" w:cs="Arial" w:eastAsia="Arial" w:hAnsi="Arial"/>
          <w:sz w:val="20"/>
          <w:szCs w:val="20"/>
        </w:rPr>
        <w:t xml:space="preserve">PRACOWNICY: przez drogi oddechowe (inhalacyjnie); kontakt ze skórą.</w:t>
      </w:r>
    </w:p>
    <w:p>
      <w:pPr>
        <w:spacing w:after="80"/>
      </w:pPr>
      <w:r>
        <w:rPr>
          <w:rFonts w:ascii="Arial" w:cs="Arial" w:eastAsia="Arial" w:hAnsi="Arial"/>
          <w:sz w:val="20"/>
          <w:szCs w:val="20"/>
        </w:rPr>
        <w:t xml:space="preserve">LUDNOŚĆ: spożycie skażonej żywności lub wody; kontakt ze skórą w przypadku produktów zawierających substancję.</w:t>
      </w:r>
    </w:p>
    <w:p>
      <w:pPr>
        <w:spacing w:after="80"/>
      </w:pPr>
      <w:r>
        <w:rPr>
          <w:rFonts w:ascii="Arial" w:cs="Arial" w:eastAsia="Arial" w:hAnsi="Arial"/>
          <w:sz w:val="20"/>
          <w:szCs w:val="20"/>
        </w:rPr>
        <w:t xml:space="preserve">TOLUEN:</w:t>
      </w:r>
    </w:p>
    <w:p>
      <w:pPr>
        <w:spacing w:after="80"/>
      </w:pPr>
      <w:r>
        <w:rPr>
          <w:rFonts w:ascii="Arial" w:cs="Arial" w:eastAsia="Arial" w:hAnsi="Arial"/>
          <w:sz w:val="20"/>
          <w:szCs w:val="20"/>
        </w:rPr>
        <w:t xml:space="preserve">PRACOWNICY: przez drogi oddechowe (inhalacyjnie); kontakt ze skórą.</w:t>
      </w:r>
    </w:p>
    <w:p>
      <w:pPr>
        <w:spacing w:after="80"/>
      </w:pPr>
      <w:r>
        <w:rPr>
          <w:rFonts w:ascii="Arial" w:cs="Arial" w:eastAsia="Arial" w:hAnsi="Arial"/>
          <w:sz w:val="20"/>
          <w:szCs w:val="20"/>
        </w:rPr>
        <w:t xml:space="preserve">LUDNOŚĆ: spożycie skażonej żywności lub wody; wdychanie powietrza otoczenia; kontakt ze skórą w przypadku produktów zawierających substancję.</w:t>
      </w:r>
    </w:p>
    <w:p>
      <w:pPr>
        <w:spacing w:after="80"/>
      </w:pPr>
      <w:r>
        <w:rPr>
          <w:rFonts w:ascii="Arial" w:cs="Arial" w:eastAsia="Arial" w:hAnsi="Arial"/>
          <w:sz w:val="20"/>
          <w:szCs w:val="20"/>
        </w:rPr>
        <w:t xml:space="preserve">Opóźnione, bezpośrednie oraz przewlekłe skutki krótko- i długotrwałego narażenia:</w:t>
      </w:r>
    </w:p>
    <w:p>
      <w:pPr>
        <w:spacing w:after="80"/>
      </w:pPr>
      <w:r>
        <w:rPr>
          <w:rFonts w:ascii="Arial" w:cs="Arial" w:eastAsia="Arial" w:hAnsi="Arial"/>
          <w:sz w:val="20"/>
          <w:szCs w:val="20"/>
        </w:rPr>
        <w:t xml:space="preserve">METANOL:</w:t>
      </w:r>
    </w:p>
    <w:p>
      <w:pPr>
        <w:spacing w:after="80"/>
      </w:pPr>
      <w:r>
        <w:rPr>
          <w:rFonts w:ascii="Arial" w:cs="Arial" w:eastAsia="Arial" w:hAnsi="Arial"/>
          <w:sz w:val="20"/>
          <w:szCs w:val="20"/>
        </w:rPr>
        <w:t xml:space="preserve">Minimalną śmiertelną dawkę dla człowieka drogą pokarmową szacuje się w zakresie od 300 do 1000 mg/kg mc. Spożycie 4–10 ml substancji może spowodować trwałą ślepotę u dorosłego człowieka (IPCS).</w:t>
      </w:r>
    </w:p>
    <w:p>
      <w:pPr>
        <w:spacing w:after="80"/>
      </w:pPr>
      <w:r>
        <w:rPr>
          <w:rFonts w:ascii="Arial" w:cs="Arial" w:eastAsia="Arial" w:hAnsi="Arial"/>
          <w:sz w:val="20"/>
          <w:szCs w:val="20"/>
        </w:rPr>
        <w:t xml:space="preserve">TOLUEN:</w:t>
      </w:r>
    </w:p>
    <w:p>
      <w:pPr>
        <w:spacing w:after="80"/>
      </w:pPr>
      <w:r>
        <w:rPr>
          <w:rFonts w:ascii="Arial" w:cs="Arial" w:eastAsia="Arial" w:hAnsi="Arial"/>
          <w:sz w:val="20"/>
          <w:szCs w:val="20"/>
        </w:rPr>
        <w:t xml:space="preserve">Działanie toksyczne na ośrodkowy i obwodowy układ nerwowy z encefalopatią i zapaleniem wielonerwowym; działanie drażniące na skórę, spojówki, rogówkę i drogi oddechowe.</w:t>
      </w:r>
    </w:p>
    <w:p>
      <w:pPr>
        <w:spacing w:after="80"/>
      </w:pPr>
      <w:r>
        <w:rPr>
          <w:rFonts w:ascii="Arial" w:cs="Arial" w:eastAsia="Arial" w:hAnsi="Arial"/>
          <w:sz w:val="20"/>
          <w:szCs w:val="20"/>
        </w:rPr>
        <w:t xml:space="preserve">Skutki wzajemnego oddziaływania:</w:t>
      </w:r>
    </w:p>
    <w:p>
      <w:pPr>
        <w:spacing w:after="80"/>
      </w:pPr>
      <w:r>
        <w:rPr>
          <w:rFonts w:ascii="Arial" w:cs="Arial" w:eastAsia="Arial" w:hAnsi="Arial"/>
          <w:sz w:val="20"/>
          <w:szCs w:val="20"/>
        </w:rPr>
        <w:t xml:space="preserve">TOLUEN:</w:t>
      </w:r>
    </w:p>
    <w:p>
      <w:pPr>
        <w:spacing w:after="80"/>
      </w:pPr>
      <w:r>
        <w:rPr>
          <w:rFonts w:ascii="Arial" w:cs="Arial" w:eastAsia="Arial" w:hAnsi="Arial"/>
          <w:sz w:val="20"/>
          <w:szCs w:val="20"/>
        </w:rPr>
        <w:t xml:space="preserve">Niektóre leki i inne związki przemysłowe mogą zakłócać metabolizm toluenu.</w:t>
      </w:r>
    </w:p>
    <w:p>
      <w:pPr>
        <w:spacing w:after="80"/>
      </w:pPr>
      <w:r>
        <w:rPr>
          <w:rFonts w:ascii="Arial" w:cs="Arial" w:eastAsia="Arial" w:hAnsi="Arial"/>
          <w:sz w:val="20"/>
          <w:szCs w:val="20"/>
        </w:rPr>
        <w:t xml:space="preserve">Toksyczność ostra:</w:t>
      </w:r>
    </w:p>
    <w:p>
      <w:pPr>
        <w:spacing w:after="80"/>
      </w:pPr>
      <w:r>
        <w:rPr>
          <w:rFonts w:ascii="Arial" w:cs="Arial" w:eastAsia="Arial" w:hAnsi="Arial"/>
          <w:sz w:val="20"/>
          <w:szCs w:val="20"/>
        </w:rPr>
        <w:t xml:space="preserve">ATE mieszaniny (inhalacyjnie): Nie sklasyfikowano (brak istotnych składników podlegających sumowaniu powyżej progów odcięcia)</w:t>
      </w:r>
    </w:p>
    <w:p>
      <w:pPr>
        <w:spacing w:after="80"/>
      </w:pPr>
      <w:r>
        <w:rPr>
          <w:rFonts w:ascii="Arial" w:cs="Arial" w:eastAsia="Arial" w:hAnsi="Arial"/>
          <w:sz w:val="20"/>
          <w:szCs w:val="20"/>
        </w:rPr>
        <w:t xml:space="preserve">ATE mieszaniny (droga pokarmowa): Nie sklasyfikowano (brak istotnych składników podlegających sumowaniu powyżej progów odcięcia)</w:t>
      </w:r>
    </w:p>
    <w:p>
      <w:pPr>
        <w:spacing w:after="80"/>
      </w:pPr>
      <w:r>
        <w:rPr>
          <w:rFonts w:ascii="Arial" w:cs="Arial" w:eastAsia="Arial" w:hAnsi="Arial"/>
          <w:sz w:val="20"/>
          <w:szCs w:val="20"/>
        </w:rPr>
        <w:t xml:space="preserve">ATE mieszaniny (skóra): Nie sklasyfikowano (brak istotnych składników podlegających sumowaniu powyżej progów odcięcia)</w:t>
      </w:r>
    </w:p>
    <w:p>
      <w:pPr>
        <w:spacing w:after="80"/>
      </w:pPr>
      <w:r>
        <w:rPr>
          <w:rFonts w:ascii="Arial" w:cs="Arial" w:eastAsia="Arial" w:hAnsi="Arial"/>
          <w:sz w:val="20"/>
          <w:szCs w:val="20"/>
        </w:rPr>
        <w:t xml:space="preserve">Dane dotyczące składników:</w:t>
      </w:r>
    </w:p>
    <w:p>
      <w:pPr>
        <w:spacing w:after="80"/>
      </w:pPr>
      <w:r>
        <w:rPr>
          <w:rFonts w:ascii="Arial" w:cs="Arial" w:eastAsia="Arial" w:hAnsi="Arial"/>
          <w:sz w:val="20"/>
          <w:szCs w:val="20"/>
        </w:rPr>
        <w:t xml:space="preserve">Etanol:</w:t>
      </w:r>
    </w:p>
    <w:p>
      <w:pPr>
        <w:spacing w:after="80"/>
      </w:pPr>
      <w:r>
        <w:rPr>
          <w:rFonts w:ascii="Arial" w:cs="Arial" w:eastAsia="Arial" w:hAnsi="Arial"/>
          <w:sz w:val="20"/>
          <w:szCs w:val="20"/>
        </w:rPr>
        <w:t xml:space="preserve">LD50 (droga pokarmowa, szczur): &gt; 5000 mg/kg mc.</w:t>
      </w:r>
    </w:p>
    <w:p>
      <w:pPr>
        <w:spacing w:after="80"/>
      </w:pPr>
      <w:r>
        <w:rPr>
          <w:rFonts w:ascii="Arial" w:cs="Arial" w:eastAsia="Arial" w:hAnsi="Arial"/>
          <w:sz w:val="20"/>
          <w:szCs w:val="20"/>
        </w:rPr>
        <w:t xml:space="preserve">LC50 (drogi oddechowe, pary, szczur): &gt; 50 mg/l/4h</w:t>
      </w:r>
    </w:p>
    <w:p>
      <w:pPr>
        <w:spacing w:after="80"/>
      </w:pPr>
      <w:r>
        <w:rPr>
          <w:rFonts w:ascii="Arial" w:cs="Arial" w:eastAsia="Arial" w:hAnsi="Arial"/>
          <w:sz w:val="20"/>
          <w:szCs w:val="20"/>
        </w:rPr>
        <w:t xml:space="preserve">Salicylan benzylu:</w:t>
      </w:r>
    </w:p>
    <w:p>
      <w:pPr>
        <w:spacing w:after="80"/>
      </w:pPr>
      <w:r>
        <w:rPr>
          <w:rFonts w:ascii="Arial" w:cs="Arial" w:eastAsia="Arial" w:hAnsi="Arial"/>
          <w:sz w:val="20"/>
          <w:szCs w:val="20"/>
        </w:rPr>
        <w:t xml:space="preserve">LD50 (na skórę, królik): &gt; 2000 mg/kg mc.</w:t>
      </w:r>
    </w:p>
    <w:p>
      <w:pPr>
        <w:spacing w:after="80"/>
      </w:pPr>
      <w:r>
        <w:rPr>
          <w:rFonts w:ascii="Arial" w:cs="Arial" w:eastAsia="Arial" w:hAnsi="Arial"/>
          <w:sz w:val="20"/>
          <w:szCs w:val="20"/>
        </w:rPr>
        <w:t xml:space="preserve">LD50 (droga pokarmowa, szczur): &gt; 2000 mg/kg mc.</w:t>
      </w:r>
    </w:p>
    <w:p>
      <w:pPr>
        <w:spacing w:after="80"/>
      </w:pPr>
      <w:r>
        <w:rPr>
          <w:rFonts w:ascii="Arial" w:cs="Arial" w:eastAsia="Arial" w:hAnsi="Arial"/>
          <w:sz w:val="20"/>
          <w:szCs w:val="20"/>
        </w:rPr>
        <w:t xml:space="preserve">Galaksolid:</w:t>
      </w:r>
    </w:p>
    <w:p>
      <w:pPr>
        <w:spacing w:after="80"/>
      </w:pPr>
      <w:r>
        <w:rPr>
          <w:rFonts w:ascii="Arial" w:cs="Arial" w:eastAsia="Arial" w:hAnsi="Arial"/>
          <w:sz w:val="20"/>
          <w:szCs w:val="20"/>
        </w:rPr>
        <w:t xml:space="preserve">LD50 (na skórę, królik): &gt; 5000 mg/kg mc.</w:t>
      </w:r>
    </w:p>
    <w:p>
      <w:pPr>
        <w:spacing w:after="80"/>
      </w:pPr>
      <w:r>
        <w:rPr>
          <w:rFonts w:ascii="Arial" w:cs="Arial" w:eastAsia="Arial" w:hAnsi="Arial"/>
          <w:sz w:val="20"/>
          <w:szCs w:val="20"/>
        </w:rPr>
        <w:t xml:space="preserve">LD50 (droga pokarmowa, szczur): &gt; 4640 mg/kg mc.</w:t>
      </w:r>
    </w:p>
    <w:p>
      <w:pPr>
        <w:spacing w:after="80"/>
      </w:pPr>
      <w:r>
        <w:rPr>
          <w:rFonts w:ascii="Arial" w:cs="Arial" w:eastAsia="Arial" w:hAnsi="Arial"/>
          <w:sz w:val="20"/>
          <w:szCs w:val="20"/>
        </w:rPr>
        <w:t xml:space="preserve">Kumaryna:</w:t>
      </w:r>
    </w:p>
    <w:p>
      <w:pPr>
        <w:spacing w:after="80"/>
      </w:pPr>
      <w:r>
        <w:rPr>
          <w:rFonts w:ascii="Arial" w:cs="Arial" w:eastAsia="Arial" w:hAnsi="Arial"/>
          <w:sz w:val="20"/>
          <w:szCs w:val="20"/>
        </w:rPr>
        <w:t xml:space="preserve">LD50 (na skórę, szczur): 293 mg/kg mc.</w:t>
      </w:r>
    </w:p>
    <w:p>
      <w:pPr>
        <w:spacing w:after="80"/>
      </w:pPr>
      <w:r>
        <w:rPr>
          <w:rFonts w:ascii="Arial" w:cs="Arial" w:eastAsia="Arial" w:hAnsi="Arial"/>
          <w:sz w:val="20"/>
          <w:szCs w:val="20"/>
        </w:rPr>
        <w:t xml:space="preserve">LD50 (droga pokarmowa, szczur): 290 mg/kg mc.</w:t>
      </w:r>
    </w:p>
    <w:p>
      <w:pPr>
        <w:spacing w:after="80"/>
      </w:pPr>
      <w:r>
        <w:rPr>
          <w:rFonts w:ascii="Arial" w:cs="Arial" w:eastAsia="Arial" w:hAnsi="Arial"/>
          <w:sz w:val="20"/>
          <w:szCs w:val="20"/>
        </w:rPr>
        <w:t xml:space="preserve">LC50 (drogi oddechowe, aerozole/pyły, szczur): 293 mg/m³</w:t>
      </w:r>
    </w:p>
    <w:p>
      <w:pPr>
        <w:spacing w:after="80"/>
      </w:pPr>
      <w:r>
        <w:rPr>
          <w:rFonts w:ascii="Arial" w:cs="Arial" w:eastAsia="Arial" w:hAnsi="Arial"/>
          <w:sz w:val="20"/>
          <w:szCs w:val="20"/>
        </w:rPr>
        <w:t xml:space="preserve">2,6-di-tert-butylo-4-metylofenol (BHT):</w:t>
      </w:r>
    </w:p>
    <w:p>
      <w:pPr>
        <w:spacing w:after="80"/>
      </w:pPr>
      <w:r>
        <w:rPr>
          <w:rFonts w:ascii="Arial" w:cs="Arial" w:eastAsia="Arial" w:hAnsi="Arial"/>
          <w:sz w:val="20"/>
          <w:szCs w:val="20"/>
        </w:rPr>
        <w:t xml:space="preserve">LD50 (na skórę, szczur): &gt; 2000 mg/kg mc.</w:t>
      </w:r>
    </w:p>
    <w:p>
      <w:pPr>
        <w:spacing w:after="80"/>
      </w:pPr>
      <w:r>
        <w:rPr>
          <w:rFonts w:ascii="Arial" w:cs="Arial" w:eastAsia="Arial" w:hAnsi="Arial"/>
          <w:sz w:val="20"/>
          <w:szCs w:val="20"/>
        </w:rPr>
        <w:t xml:space="preserve">LD50 (droga pokarmowa, szczur): 2930 mg/kg mc.</w:t>
      </w:r>
    </w:p>
    <w:p>
      <w:pPr>
        <w:spacing w:after="80"/>
      </w:pPr>
      <w:r>
        <w:rPr>
          <w:rFonts w:ascii="Arial" w:cs="Arial" w:eastAsia="Arial" w:hAnsi="Arial"/>
          <w:sz w:val="20"/>
          <w:szCs w:val="20"/>
        </w:rPr>
        <w:t xml:space="preserve">Hydroksycytronellal:</w:t>
      </w:r>
    </w:p>
    <w:p>
      <w:pPr>
        <w:spacing w:after="80"/>
      </w:pPr>
      <w:r>
        <w:rPr>
          <w:rFonts w:ascii="Arial" w:cs="Arial" w:eastAsia="Arial" w:hAnsi="Arial"/>
          <w:sz w:val="20"/>
          <w:szCs w:val="20"/>
        </w:rPr>
        <w:t xml:space="preserve">LD50 (na skórę, królik): &gt; 2000 mg/kg mc.</w:t>
      </w:r>
    </w:p>
    <w:p>
      <w:pPr>
        <w:spacing w:after="80"/>
      </w:pPr>
      <w:r>
        <w:rPr>
          <w:rFonts w:ascii="Arial" w:cs="Arial" w:eastAsia="Arial" w:hAnsi="Arial"/>
          <w:sz w:val="20"/>
          <w:szCs w:val="20"/>
        </w:rPr>
        <w:t xml:space="preserve">LD50 (droga pokarmowa, szczur): &gt; 5000 mg/kg mc.</w:t>
      </w:r>
    </w:p>
    <w:p>
      <w:pPr>
        <w:spacing w:after="80"/>
      </w:pPr>
      <w:r>
        <w:rPr>
          <w:rFonts w:ascii="Arial" w:cs="Arial" w:eastAsia="Arial" w:hAnsi="Arial"/>
          <w:sz w:val="20"/>
          <w:szCs w:val="20"/>
        </w:rPr>
        <w:t xml:space="preserve">Metanol:</w:t>
      </w:r>
    </w:p>
    <w:p>
      <w:pPr>
        <w:spacing w:after="80"/>
      </w:pPr>
      <w:r>
        <w:rPr>
          <w:rFonts w:ascii="Arial" w:cs="Arial" w:eastAsia="Arial" w:hAnsi="Arial"/>
          <w:sz w:val="20"/>
          <w:szCs w:val="20"/>
        </w:rPr>
        <w:t xml:space="preserve">LD50 (droga pokarmowa, szczur): &gt; 1187 mg/kg mc.</w:t>
      </w:r>
    </w:p>
    <w:p>
      <w:pPr>
        <w:spacing w:after="80"/>
      </w:pPr>
      <w:r>
        <w:rPr>
          <w:rFonts w:ascii="Arial" w:cs="Arial" w:eastAsia="Arial" w:hAnsi="Arial"/>
          <w:sz w:val="20"/>
          <w:szCs w:val="20"/>
        </w:rPr>
        <w:t xml:space="preserve">LC50 (drogi oddechowe, pary, szczur): 43,68 mg/l/6h</w:t>
      </w:r>
    </w:p>
    <w:p>
      <w:pPr>
        <w:spacing w:after="80"/>
      </w:pPr>
      <w:r>
        <w:rPr>
          <w:rFonts w:ascii="Arial" w:cs="Arial" w:eastAsia="Arial" w:hAnsi="Arial"/>
          <w:sz w:val="20"/>
          <w:szCs w:val="20"/>
        </w:rPr>
        <w:t xml:space="preserve">Toluen:</w:t>
      </w:r>
    </w:p>
    <w:p>
      <w:pPr>
        <w:spacing w:after="80"/>
      </w:pPr>
      <w:r>
        <w:rPr>
          <w:rFonts w:ascii="Arial" w:cs="Arial" w:eastAsia="Arial" w:hAnsi="Arial"/>
          <w:sz w:val="20"/>
          <w:szCs w:val="20"/>
        </w:rPr>
        <w:t xml:space="preserve">LD50 (na skórę, królik): &gt; 5000 mg/kg mc.</w:t>
      </w:r>
    </w:p>
    <w:p>
      <w:pPr>
        <w:spacing w:after="80"/>
      </w:pPr>
      <w:r>
        <w:rPr>
          <w:rFonts w:ascii="Arial" w:cs="Arial" w:eastAsia="Arial" w:hAnsi="Arial"/>
          <w:sz w:val="20"/>
          <w:szCs w:val="20"/>
        </w:rPr>
        <w:t xml:space="preserve">LD50 (droga pokarmowa, szczur): &gt; 5000 mg/kg mc.</w:t>
      </w:r>
    </w:p>
    <w:p>
      <w:pPr>
        <w:spacing w:after="80"/>
      </w:pPr>
      <w:r>
        <w:rPr>
          <w:rFonts w:ascii="Arial" w:cs="Arial" w:eastAsia="Arial" w:hAnsi="Arial"/>
          <w:sz w:val="20"/>
          <w:szCs w:val="20"/>
        </w:rPr>
        <w:t xml:space="preserve">LC50 (drogi oddechowe, pary, człowiek): 100 ppm</w:t>
      </w:r>
    </w:p>
    <w:p>
      <w:pPr>
        <w:spacing w:after="80"/>
      </w:pPr>
      <w:r>
        <w:rPr>
          <w:rFonts w:ascii="Arial" w:cs="Arial" w:eastAsia="Arial" w:hAnsi="Arial"/>
          <w:sz w:val="20"/>
          <w:szCs w:val="20"/>
        </w:rPr>
        <w:t xml:space="preserve">Działanie żrące/drażniące na skórę:</w:t>
      </w:r>
    </w:p>
    <w:p>
      <w:pPr>
        <w:spacing w:after="80"/>
      </w:pPr>
      <w:r>
        <w:rPr>
          <w:rFonts w:ascii="Arial" w:cs="Arial" w:eastAsia="Arial" w:hAnsi="Arial"/>
          <w:sz w:val="20"/>
          <w:szCs w:val="20"/>
        </w:rPr>
        <w:t xml:space="preserve">W oparciu o dostępne dane kryteria klasyfikacji nie są spełnione.</w:t>
      </w:r>
    </w:p>
    <w:p>
      <w:pPr>
        <w:spacing w:after="80"/>
      </w:pPr>
      <w:r>
        <w:rPr>
          <w:rFonts w:ascii="Arial" w:cs="Arial" w:eastAsia="Arial" w:hAnsi="Arial"/>
          <w:sz w:val="20"/>
          <w:szCs w:val="20"/>
        </w:rPr>
        <w:t xml:space="preserve">Poważne uszkodzenie oczu/działanie drażniące na oczy:</w:t>
      </w:r>
    </w:p>
    <w:p>
      <w:pPr>
        <w:spacing w:after="80"/>
      </w:pPr>
      <w:r>
        <w:rPr>
          <w:rFonts w:ascii="Arial" w:cs="Arial" w:eastAsia="Arial" w:hAnsi="Arial"/>
          <w:sz w:val="20"/>
          <w:szCs w:val="20"/>
        </w:rPr>
        <w:t xml:space="preserve">Działa drażniąco na oczy (zaklasyfikowano na podstawie stężenia etanolu ≥ 50%).</w:t>
      </w:r>
    </w:p>
    <w:p>
      <w:pPr>
        <w:spacing w:after="80"/>
      </w:pPr>
      <w:r>
        <w:rPr>
          <w:rFonts w:ascii="Arial" w:cs="Arial" w:eastAsia="Arial" w:hAnsi="Arial"/>
          <w:sz w:val="20"/>
          <w:szCs w:val="20"/>
        </w:rPr>
        <w:t xml:space="preserve">Działanie uczulające na drogi oddechowe lub skórę:</w:t>
      </w:r>
    </w:p>
    <w:p>
      <w:pPr>
        <w:spacing w:after="80"/>
      </w:pPr>
      <w:r>
        <w:rPr>
          <w:rFonts w:ascii="Arial" w:cs="Arial" w:eastAsia="Arial" w:hAnsi="Arial"/>
          <w:sz w:val="20"/>
          <w:szCs w:val="20"/>
        </w:rPr>
        <w:t xml:space="preserve">Może powodować wystąpienie reakcji alergicznej skóry.</w:t>
      </w:r>
    </w:p>
    <w:p>
      <w:pPr>
        <w:spacing w:after="80"/>
      </w:pPr>
      <w:r>
        <w:rPr>
          <w:rFonts w:ascii="Arial" w:cs="Arial" w:eastAsia="Arial" w:hAnsi="Arial"/>
          <w:sz w:val="20"/>
          <w:szCs w:val="20"/>
        </w:rPr>
        <w:t xml:space="preserve">Zawiera: hydroksycytronellal, kumarynę, salicylan benzylu.</w:t>
      </w:r>
    </w:p>
    <w:p>
      <w:pPr>
        <w:spacing w:after="80"/>
      </w:pPr>
      <w:r>
        <w:rPr>
          <w:rFonts w:ascii="Arial" w:cs="Arial" w:eastAsia="Arial" w:hAnsi="Arial"/>
          <w:sz w:val="20"/>
          <w:szCs w:val="20"/>
        </w:rPr>
        <w:t xml:space="preserve">Działanie mutagenne na komórki rozrodcze:</w:t>
      </w:r>
    </w:p>
    <w:p>
      <w:pPr>
        <w:spacing w:after="80"/>
      </w:pPr>
      <w:r>
        <w:rPr>
          <w:rFonts w:ascii="Arial" w:cs="Arial" w:eastAsia="Arial" w:hAnsi="Arial"/>
          <w:sz w:val="20"/>
          <w:szCs w:val="20"/>
        </w:rPr>
        <w:t xml:space="preserve">W oparciu o dostępne dane kryteria klasyfikacji nie są spełnione.</w:t>
      </w:r>
    </w:p>
    <w:p>
      <w:pPr>
        <w:spacing w:after="80"/>
      </w:pPr>
      <w:r>
        <w:rPr>
          <w:rFonts w:ascii="Arial" w:cs="Arial" w:eastAsia="Arial" w:hAnsi="Arial"/>
          <w:sz w:val="20"/>
          <w:szCs w:val="20"/>
        </w:rPr>
        <w:t xml:space="preserve">Rakotwórczość:</w:t>
      </w:r>
    </w:p>
    <w:p>
      <w:pPr>
        <w:spacing w:after="80"/>
      </w:pPr>
      <w:r>
        <w:rPr>
          <w:rFonts w:ascii="Arial" w:cs="Arial" w:eastAsia="Arial" w:hAnsi="Arial"/>
          <w:sz w:val="20"/>
          <w:szCs w:val="20"/>
        </w:rPr>
        <w:t xml:space="preserve">W oparciu o dostępne dane kryteria klasyfikacji nie są spełnione.</w:t>
      </w:r>
    </w:p>
    <w:p>
      <w:pPr>
        <w:spacing w:after="80"/>
      </w:pPr>
      <w:r>
        <w:rPr>
          <w:rFonts w:ascii="Arial" w:cs="Arial" w:eastAsia="Arial" w:hAnsi="Arial"/>
          <w:sz w:val="20"/>
          <w:szCs w:val="20"/>
        </w:rPr>
        <w:t xml:space="preserve">Toluen: Zaklasyfikowany do Grupy 3 (nie można zakwalifikować jako rakotwórczy dla ludzi) przez Międzynarodową Agencję Badań nad Rakiem (IARC, 1999). Agencja EPA (USA) stwierdza, że dane są niewystarczające do oceny potencjału rakotwórczego.</w:t>
      </w:r>
    </w:p>
    <w:p>
      <w:pPr>
        <w:spacing w:after="80"/>
      </w:pPr>
      <w:r>
        <w:rPr>
          <w:rFonts w:ascii="Arial" w:cs="Arial" w:eastAsia="Arial" w:hAnsi="Arial"/>
          <w:sz w:val="20"/>
          <w:szCs w:val="20"/>
        </w:rPr>
        <w:t xml:space="preserve">Szkodliwe działanie na rozrodczość:</w:t>
      </w:r>
    </w:p>
    <w:p>
      <w:pPr>
        <w:spacing w:after="80"/>
      </w:pPr>
      <w:r>
        <w:rPr>
          <w:rFonts w:ascii="Arial" w:cs="Arial" w:eastAsia="Arial" w:hAnsi="Arial"/>
          <w:sz w:val="20"/>
          <w:szCs w:val="20"/>
        </w:rPr>
        <w:t xml:space="preserve">W oparciu o dostępne dane kryteria klasyfikacji nie są spełnione.</w:t>
      </w:r>
    </w:p>
    <w:p>
      <w:pPr>
        <w:spacing w:after="80"/>
      </w:pPr>
      <w:r>
        <w:rPr>
          <w:rFonts w:ascii="Arial" w:cs="Arial" w:eastAsia="Arial" w:hAnsi="Arial"/>
          <w:sz w:val="20"/>
          <w:szCs w:val="20"/>
        </w:rPr>
        <w:t xml:space="preserve">Działanie toksyczne na narządy docelowe – narażenie jednorazowe (STOT SE):</w:t>
      </w:r>
    </w:p>
    <w:p>
      <w:pPr>
        <w:spacing w:after="80"/>
      </w:pPr>
      <w:r>
        <w:rPr>
          <w:rFonts w:ascii="Arial" w:cs="Arial" w:eastAsia="Arial" w:hAnsi="Arial"/>
          <w:sz w:val="20"/>
          <w:szCs w:val="20"/>
        </w:rPr>
        <w:t xml:space="preserve">W oparciu o dostępne dane kryteria klasyfikacji nie są spełnione.</w:t>
      </w:r>
    </w:p>
    <w:p>
      <w:pPr>
        <w:spacing w:after="80"/>
      </w:pPr>
      <w:r>
        <w:rPr>
          <w:rFonts w:ascii="Arial" w:cs="Arial" w:eastAsia="Arial" w:hAnsi="Arial"/>
          <w:sz w:val="20"/>
          <w:szCs w:val="20"/>
        </w:rPr>
        <w:t xml:space="preserve">Działanie toksyczne na narządy docelowe – narażenie powtarzane (STOT RE):</w:t>
      </w:r>
    </w:p>
    <w:p>
      <w:pPr>
        <w:spacing w:after="80"/>
      </w:pPr>
      <w:r>
        <w:rPr>
          <w:rFonts w:ascii="Arial" w:cs="Arial" w:eastAsia="Arial" w:hAnsi="Arial"/>
          <w:sz w:val="20"/>
          <w:szCs w:val="20"/>
        </w:rPr>
        <w:t xml:space="preserve">W oparciu o dostępne dane kryteria klasyfikacji nie są spełnione.</w:t>
      </w:r>
    </w:p>
    <w:p>
      <w:pPr>
        <w:spacing w:after="80"/>
      </w:pPr>
      <w:r>
        <w:rPr>
          <w:rFonts w:ascii="Arial" w:cs="Arial" w:eastAsia="Arial" w:hAnsi="Arial"/>
          <w:sz w:val="20"/>
          <w:szCs w:val="20"/>
        </w:rPr>
        <w:t xml:space="preserve">Zagrożenie spowodowane aspiracją:</w:t>
      </w:r>
    </w:p>
    <w:p>
      <w:pPr>
        <w:spacing w:after="80"/>
      </w:pPr>
      <w:r>
        <w:rPr>
          <w:rFonts w:ascii="Arial" w:cs="Arial" w:eastAsia="Arial" w:hAnsi="Arial"/>
          <w:sz w:val="20"/>
          <w:szCs w:val="20"/>
        </w:rPr>
        <w:t xml:space="preserve">W oparciu o dostępne dane kryteria klasyfikacji nie są spełnione.</w:t>
      </w:r>
    </w:p>
    <w:p>
      <w:pPr>
        <w:spacing w:after="100" w:before="200"/>
      </w:pPr>
      <w:r>
        <w:rPr>
          <w:rFonts w:ascii="Arial" w:cs="Arial" w:eastAsia="Arial" w:hAnsi="Arial"/>
          <w:b/>
          <w:bCs/>
          <w:sz w:val="20"/>
          <w:szCs w:val="20"/>
        </w:rPr>
        <w:t xml:space="preserve">11.2. Informacje o innych zagrożeniach</w:t>
      </w:r>
    </w:p>
    <w:p>
      <w:pPr>
        <w:spacing w:after="100" w:before="200"/>
      </w:pPr>
      <w:r>
        <w:rPr>
          <w:rFonts w:ascii="Arial" w:cs="Arial" w:eastAsia="Arial" w:hAnsi="Arial"/>
          <w:b/>
          <w:bCs/>
          <w:sz w:val="20"/>
          <w:szCs w:val="20"/>
        </w:rPr>
        <w:t xml:space="preserve">11.2.1. Właściwości zaburzające funkcjonowanie układu hormonalnego:</w:t>
      </w:r>
    </w:p>
    <w:p>
      <w:pPr>
        <w:spacing w:after="80"/>
      </w:pPr>
      <w:r>
        <w:rPr>
          <w:rFonts w:ascii="Arial" w:cs="Arial" w:eastAsia="Arial" w:hAnsi="Arial"/>
          <w:sz w:val="20"/>
          <w:szCs w:val="20"/>
        </w:rPr>
        <w:t xml:space="preserve">W oparciu o dostępne dane produkt nie zawiera substancji wymienionych w głównych europejskich wykazach potencjalnych lub podejrzewanych substancji zaburzających funkcjonowanie układu hormonalnego w odniesieniu do zdrowia ludzkiego podlegających ocenie.</w:t>
      </w:r>
    </w:p>
    <w:p>
      <w:pPr>
        <w:spacing w:after="100" w:before="200"/>
      </w:pPr>
      <w:r>
        <w:rPr>
          <w:rFonts w:ascii="Arial" w:cs="Arial" w:eastAsia="Arial" w:hAnsi="Arial"/>
          <w:b/>
          <w:bCs/>
          <w:sz w:val="20"/>
          <w:szCs w:val="20"/>
        </w:rPr>
        <w:t xml:space="preserve">11.2.2. Inne informacje:</w:t>
      </w:r>
    </w:p>
    <w:p>
      <w:pPr>
        <w:spacing w:after="80"/>
      </w:pPr>
      <w:r>
        <w:rPr>
          <w:rFonts w:ascii="Arial" w:cs="Arial" w:eastAsia="Arial" w:hAnsi="Arial"/>
          <w:sz w:val="20"/>
          <w:szCs w:val="20"/>
        </w:rPr>
        <w:t xml:space="preserve">Brak dodatkowych informacji.</w:t>
      </w:r>
    </w:p>
    <w:p>
      <w:pPr>
        <w:pBdr>
          <w:bottom w:color="00A651" w:sz="12" w:space="1"/>
        </w:pBdr>
        <w:spacing w:after="150" w:before="300"/>
      </w:pPr>
      <w:r>
        <w:rPr>
          <w:b/>
          <w:bCs/>
          <w:sz w:val="22"/>
          <w:szCs w:val="22"/>
        </w:rPr>
        <w:t xml:space="preserve">SEKCJA 12: INFORMACJE EKOLOGICZNE</w:t>
      </w:r>
    </w:p>
    <w:p>
      <w:pPr>
        <w:spacing w:after="100" w:before="200"/>
      </w:pPr>
      <w:r>
        <w:rPr>
          <w:rFonts w:ascii="Arial" w:cs="Arial" w:eastAsia="Arial" w:hAnsi="Arial"/>
          <w:b/>
          <w:bCs/>
          <w:sz w:val="20"/>
          <w:szCs w:val="20"/>
        </w:rPr>
        <w:t xml:space="preserve">12.1. Toksyczność</w:t>
      </w:r>
    </w:p>
    <w:p>
      <w:pPr>
        <w:spacing w:after="80"/>
      </w:pPr>
      <w:r>
        <w:rPr>
          <w:rFonts w:ascii="Arial" w:cs="Arial" w:eastAsia="Arial" w:hAnsi="Arial"/>
          <w:sz w:val="20"/>
          <w:szCs w:val="20"/>
        </w:rPr>
        <w:t xml:space="preserve">Stosować dobrą praktykę zawodową, unikając przedostawania się produktu do środowiska.</w:t>
      </w:r>
    </w:p>
    <w:p>
      <w:pPr>
        <w:spacing w:after="80" w:before="150"/>
      </w:pPr>
      <w:r>
        <w:rPr>
          <w:rFonts w:ascii="Arial" w:cs="Arial" w:eastAsia="Arial" w:hAnsi="Arial"/>
          <w:b/>
          <w:bCs/>
          <w:sz w:val="20"/>
          <w:szCs w:val="20"/>
        </w:rPr>
        <w:t xml:space="preserve">Właściwości ekotoksykologiczne mieszaniny:</w:t>
      </w:r>
    </w:p>
    <w:p>
      <w:pPr>
        <w:spacing w:after="80"/>
      </w:pPr>
      <w:r>
        <w:rPr>
          <w:rFonts w:ascii="Arial" w:cs="Arial" w:eastAsia="Arial" w:hAnsi="Arial"/>
          <w:sz w:val="20"/>
          <w:szCs w:val="20"/>
        </w:rPr>
        <w:t xml:space="preserve">Mieszanina jest zaklasyfikowana jako stwarzająca zagrożenie dla środowiska wodnego – kategoria przewlekła 3 (Aquatic Chronic 3, H412) na podstawie metody obliczeniowej sumowania stężeń składników.</w:t>
      </w:r>
    </w:p>
    <w:p>
      <w:pPr>
        <w:spacing w:after="80"/>
      </w:pPr>
      <w:r>
        <w:rPr>
          <w:rFonts w:ascii="Arial" w:cs="Arial" w:eastAsia="Arial" w:hAnsi="Arial"/>
          <w:sz w:val="20"/>
          <w:szCs w:val="20"/>
        </w:rPr>
        <w:t xml:space="preserve">Brak danych doświadczalnych dla samej mieszaniny.</w:t>
      </w:r>
    </w:p>
    <w:p>
      <w:pPr>
        <w:spacing w:after="80" w:before="150"/>
      </w:pPr>
      <w:r>
        <w:rPr>
          <w:rFonts w:ascii="Arial" w:cs="Arial" w:eastAsia="Arial" w:hAnsi="Arial"/>
          <w:b/>
          <w:bCs/>
          <w:sz w:val="20"/>
          <w:szCs w:val="20"/>
        </w:rPr>
        <w:t xml:space="preserve">Informacje ekotoksykologiczne o składnikach:</w:t>
      </w:r>
    </w:p>
    <w:p>
      <w:pPr>
        <w:spacing w:after="80" w:before="150"/>
      </w:pPr>
      <w:r>
        <w:rPr>
          <w:rFonts w:ascii="Arial" w:cs="Arial" w:eastAsia="Arial" w:hAnsi="Arial"/>
          <w:b/>
          <w:bCs/>
          <w:sz w:val="20"/>
          <w:szCs w:val="20"/>
        </w:rPr>
        <w:t xml:space="preserve">etanol (CAS: 64-17-5):</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 14200 mg/l/(96 h)</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 454 mg/l/(48 h)</w:t>
      </w:r>
    </w:p>
    <w:p>
      <w:pPr>
        <w:spacing w:after="60" w:before="60"/>
      </w:pPr>
      <w:r>
        <w:rPr>
          <w:rFonts w:ascii="Arial" w:cs="Arial" w:eastAsia="Arial" w:hAnsi="Arial"/>
          <w:b/>
          <w:bCs/>
          <w:sz w:val="20"/>
          <w:szCs w:val="20"/>
        </w:rPr>
        <w:t xml:space="preserve">- EC50 (glony / rośliny wodne):</w:t>
      </w:r>
      <w:r>
        <w:rPr>
          <w:rFonts w:ascii="Arial" w:cs="Arial" w:eastAsia="Arial" w:hAnsi="Arial"/>
          <w:sz w:val="20"/>
          <w:szCs w:val="20"/>
        </w:rPr>
        <w:t xml:space="preserve"> 275 mg/l/(72 h)</w:t>
      </w:r>
    </w:p>
    <w:p>
      <w:pPr>
        <w:spacing w:after="60" w:before="60"/>
      </w:pPr>
      <w:r>
        <w:rPr>
          <w:rFonts w:ascii="Arial" w:cs="Arial" w:eastAsia="Arial" w:hAnsi="Arial"/>
          <w:b/>
          <w:bCs/>
          <w:sz w:val="20"/>
          <w:szCs w:val="20"/>
        </w:rPr>
        <w:t xml:space="preserve">- NOEC (przewlekła, ryby):</w:t>
      </w:r>
      <w:r>
        <w:rPr>
          <w:rFonts w:ascii="Arial" w:cs="Arial" w:eastAsia="Arial" w:hAnsi="Arial"/>
          <w:sz w:val="20"/>
          <w:szCs w:val="20"/>
        </w:rPr>
        <w:t xml:space="preserve"> 250 mg/l</w:t>
      </w:r>
    </w:p>
    <w:p>
      <w:pPr>
        <w:spacing w:after="60" w:before="60"/>
      </w:pPr>
      <w:r>
        <w:rPr>
          <w:rFonts w:ascii="Arial" w:cs="Arial" w:eastAsia="Arial" w:hAnsi="Arial"/>
          <w:b/>
          <w:bCs/>
          <w:sz w:val="20"/>
          <w:szCs w:val="20"/>
        </w:rPr>
        <w:t xml:space="preserve">- NOEC (przewlekła, skorupiaki):</w:t>
      </w:r>
      <w:r>
        <w:rPr>
          <w:rFonts w:ascii="Arial" w:cs="Arial" w:eastAsia="Arial" w:hAnsi="Arial"/>
          <w:sz w:val="20"/>
          <w:szCs w:val="20"/>
        </w:rPr>
        <w:t xml:space="preserve"> 96 mg/l</w:t>
      </w:r>
    </w:p>
    <w:p>
      <w:pPr>
        <w:spacing w:after="60" w:before="60"/>
      </w:pPr>
      <w:r>
        <w:rPr>
          <w:rFonts w:ascii="Arial" w:cs="Arial" w:eastAsia="Arial" w:hAnsi="Arial"/>
          <w:b/>
          <w:bCs/>
          <w:sz w:val="20"/>
          <w:szCs w:val="20"/>
        </w:rPr>
        <w:t xml:space="preserve">- NOEC (przewlekła, glony):</w:t>
      </w:r>
      <w:r>
        <w:rPr>
          <w:rFonts w:ascii="Arial" w:cs="Arial" w:eastAsia="Arial" w:hAnsi="Arial"/>
          <w:sz w:val="20"/>
          <w:szCs w:val="20"/>
        </w:rPr>
        <w:t xml:space="preserve"> 11,5 mg/l</w:t>
      </w:r>
    </w:p>
    <w:p>
      <w:pPr>
        <w:spacing w:after="80" w:before="150"/>
      </w:pPr>
      <w:r>
        <w:rPr>
          <w:rFonts w:ascii="Arial" w:cs="Arial" w:eastAsia="Arial" w:hAnsi="Arial"/>
          <w:b/>
          <w:bCs/>
          <w:sz w:val="20"/>
          <w:szCs w:val="20"/>
        </w:rPr>
        <w:t xml:space="preserve">salicylan benzylu (CAS: 118-58-1):</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 1,03 mg/l/(96 h) Danio rerio</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 1,16 mg/l/(48 h) Daphnia magna</w:t>
      </w:r>
    </w:p>
    <w:p>
      <w:pPr>
        <w:spacing w:after="60" w:before="60"/>
      </w:pPr>
      <w:r>
        <w:rPr>
          <w:rFonts w:ascii="Arial" w:cs="Arial" w:eastAsia="Arial" w:hAnsi="Arial"/>
          <w:b/>
          <w:bCs/>
          <w:sz w:val="20"/>
          <w:szCs w:val="20"/>
        </w:rPr>
        <w:t xml:space="preserve">- EC50 (glony / rośliny wodne):</w:t>
      </w:r>
      <w:r>
        <w:rPr>
          <w:rFonts w:ascii="Arial" w:cs="Arial" w:eastAsia="Arial" w:hAnsi="Arial"/>
          <w:sz w:val="20"/>
          <w:szCs w:val="20"/>
        </w:rPr>
        <w:t xml:space="preserve"> 1,29 mg/l/(72 h) Pseudokirchneriella subcapitata</w:t>
      </w:r>
    </w:p>
    <w:p>
      <w:pPr>
        <w:spacing w:after="60" w:before="60"/>
      </w:pPr>
      <w:r>
        <w:rPr>
          <w:rFonts w:ascii="Arial" w:cs="Arial" w:eastAsia="Arial" w:hAnsi="Arial"/>
          <w:b/>
          <w:bCs/>
          <w:sz w:val="20"/>
          <w:szCs w:val="20"/>
        </w:rPr>
        <w:t xml:space="preserve">- NOEC (przewlekła, skorupiaki):</w:t>
      </w:r>
      <w:r>
        <w:rPr>
          <w:rFonts w:ascii="Arial" w:cs="Arial" w:eastAsia="Arial" w:hAnsi="Arial"/>
          <w:sz w:val="20"/>
          <w:szCs w:val="20"/>
        </w:rPr>
        <w:t xml:space="preserve"> 0,894 mg/l Daphnia magna</w:t>
      </w:r>
    </w:p>
    <w:p>
      <w:pPr>
        <w:spacing w:after="60" w:before="60"/>
      </w:pPr>
      <w:r>
        <w:rPr>
          <w:rFonts w:ascii="Arial" w:cs="Arial" w:eastAsia="Arial" w:hAnsi="Arial"/>
          <w:b/>
          <w:bCs/>
          <w:sz w:val="20"/>
          <w:szCs w:val="20"/>
        </w:rPr>
        <w:t xml:space="preserve">- NOEC (przewlekła, glony):</w:t>
      </w:r>
      <w:r>
        <w:rPr>
          <w:rFonts w:ascii="Arial" w:cs="Arial" w:eastAsia="Arial" w:hAnsi="Arial"/>
          <w:sz w:val="20"/>
          <w:szCs w:val="20"/>
        </w:rPr>
        <w:t xml:space="preserve"> 0,502 mg/l Pseudokirchneriella subcapitata</w:t>
      </w:r>
    </w:p>
    <w:p>
      <w:pPr>
        <w:spacing w:after="80" w:before="150"/>
      </w:pPr>
      <w:r>
        <w:rPr>
          <w:rFonts w:ascii="Arial" w:cs="Arial" w:eastAsia="Arial" w:hAnsi="Arial"/>
          <w:b/>
          <w:bCs/>
          <w:sz w:val="20"/>
          <w:szCs w:val="20"/>
        </w:rPr>
        <w:t xml:space="preserve">galaksolid (1,3,4,6,7,8-heksahydro-4,6,6,7,8,8-heksametyloindeno[5,6-c]piran) (CAS: 1222-05-5):</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 1,36 mg/l/(96 h) Lepomis macrochirus</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 0,3 mg/l/(48 h) Daphnia magna</w:t>
      </w:r>
    </w:p>
    <w:p>
      <w:pPr>
        <w:spacing w:after="60" w:before="60"/>
      </w:pPr>
      <w:r>
        <w:rPr>
          <w:rFonts w:ascii="Arial" w:cs="Arial" w:eastAsia="Arial" w:hAnsi="Arial"/>
          <w:b/>
          <w:bCs/>
          <w:sz w:val="20"/>
          <w:szCs w:val="20"/>
        </w:rPr>
        <w:t xml:space="preserve">- EC50 (glony / rośliny wodne):</w:t>
      </w:r>
      <w:r>
        <w:rPr>
          <w:rFonts w:ascii="Arial" w:cs="Arial" w:eastAsia="Arial" w:hAnsi="Arial"/>
          <w:sz w:val="20"/>
          <w:szCs w:val="20"/>
        </w:rPr>
        <w:t xml:space="preserve"> 0,723 mg/l/(72 h) Pseudokirchneriella subcapitata</w:t>
      </w:r>
    </w:p>
    <w:p>
      <w:pPr>
        <w:spacing w:after="60" w:before="60"/>
      </w:pPr>
      <w:r>
        <w:rPr>
          <w:rFonts w:ascii="Arial" w:cs="Arial" w:eastAsia="Arial" w:hAnsi="Arial"/>
          <w:b/>
          <w:bCs/>
          <w:sz w:val="20"/>
          <w:szCs w:val="20"/>
        </w:rPr>
        <w:t xml:space="preserve">- NOEC (przewlekła, ryby):</w:t>
      </w:r>
      <w:r>
        <w:rPr>
          <w:rFonts w:ascii="Arial" w:cs="Arial" w:eastAsia="Arial" w:hAnsi="Arial"/>
          <w:sz w:val="20"/>
          <w:szCs w:val="20"/>
        </w:rPr>
        <w:t xml:space="preserve"> 0,093 mg/l/(21 dni) Lepomis macrochirus</w:t>
      </w:r>
    </w:p>
    <w:p>
      <w:pPr>
        <w:spacing w:after="60" w:before="60"/>
      </w:pPr>
      <w:r>
        <w:rPr>
          <w:rFonts w:ascii="Arial" w:cs="Arial" w:eastAsia="Arial" w:hAnsi="Arial"/>
          <w:b/>
          <w:bCs/>
          <w:sz w:val="20"/>
          <w:szCs w:val="20"/>
        </w:rPr>
        <w:t xml:space="preserve">- NOEC (przewlekła, skorupiaki):</w:t>
      </w:r>
      <w:r>
        <w:rPr>
          <w:rFonts w:ascii="Arial" w:cs="Arial" w:eastAsia="Arial" w:hAnsi="Arial"/>
          <w:sz w:val="20"/>
          <w:szCs w:val="20"/>
        </w:rPr>
        <w:t xml:space="preserve"> 0,038 mg/l Acartia tonsa</w:t>
      </w:r>
    </w:p>
    <w:p>
      <w:pPr>
        <w:spacing w:after="60" w:before="60"/>
      </w:pPr>
      <w:r>
        <w:rPr>
          <w:rFonts w:ascii="Arial" w:cs="Arial" w:eastAsia="Arial" w:hAnsi="Arial"/>
          <w:b/>
          <w:bCs/>
          <w:sz w:val="20"/>
          <w:szCs w:val="20"/>
        </w:rPr>
        <w:t xml:space="preserve">- NOEC (przewlekła, glony):</w:t>
      </w:r>
      <w:r>
        <w:rPr>
          <w:rFonts w:ascii="Arial" w:cs="Arial" w:eastAsia="Arial" w:hAnsi="Arial"/>
          <w:sz w:val="20"/>
          <w:szCs w:val="20"/>
        </w:rPr>
        <w:t xml:space="preserve"> 0,201 mg/l/(72 h) Pseudokirchneriella subcapitata</w:t>
      </w:r>
    </w:p>
    <w:p>
      <w:pPr>
        <w:spacing w:after="80" w:before="150"/>
      </w:pPr>
      <w:r>
        <w:rPr>
          <w:rFonts w:ascii="Arial" w:cs="Arial" w:eastAsia="Arial" w:hAnsi="Arial"/>
          <w:b/>
          <w:bCs/>
          <w:sz w:val="20"/>
          <w:szCs w:val="20"/>
        </w:rPr>
        <w:t xml:space="preserve">kumaryna (2H-chromen-2-on) (CAS: 91-64-5):</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 1,324 mg/l/(96 h)</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 8,012 mg/l/(48 h)</w:t>
      </w:r>
    </w:p>
    <w:p>
      <w:pPr>
        <w:spacing w:after="60" w:before="60"/>
      </w:pPr>
      <w:r>
        <w:rPr>
          <w:rFonts w:ascii="Arial" w:cs="Arial" w:eastAsia="Arial" w:hAnsi="Arial"/>
          <w:b/>
          <w:bCs/>
          <w:sz w:val="20"/>
          <w:szCs w:val="20"/>
        </w:rPr>
        <w:t xml:space="preserve">- EC50 (glony / rośliny wodne):</w:t>
      </w:r>
      <w:r>
        <w:rPr>
          <w:rFonts w:ascii="Arial" w:cs="Arial" w:eastAsia="Arial" w:hAnsi="Arial"/>
          <w:sz w:val="20"/>
          <w:szCs w:val="20"/>
        </w:rPr>
        <w:t xml:space="preserve"> 1,452 mg/l/(72 h)</w:t>
      </w:r>
    </w:p>
    <w:p>
      <w:pPr>
        <w:spacing w:after="60" w:before="60"/>
      </w:pPr>
      <w:r>
        <w:rPr>
          <w:rFonts w:ascii="Arial" w:cs="Arial" w:eastAsia="Arial" w:hAnsi="Arial"/>
          <w:b/>
          <w:bCs/>
          <w:sz w:val="20"/>
          <w:szCs w:val="20"/>
        </w:rPr>
        <w:t xml:space="preserve">- NOEC (przewlekła, ryby):</w:t>
      </w:r>
      <w:r>
        <w:rPr>
          <w:rFonts w:ascii="Arial" w:cs="Arial" w:eastAsia="Arial" w:hAnsi="Arial"/>
          <w:sz w:val="20"/>
          <w:szCs w:val="20"/>
        </w:rPr>
        <w:t xml:space="preserve"> 0,119 mg/l</w:t>
      </w:r>
    </w:p>
    <w:p>
      <w:pPr>
        <w:spacing w:after="60" w:before="60"/>
      </w:pPr>
      <w:r>
        <w:rPr>
          <w:rFonts w:ascii="Arial" w:cs="Arial" w:eastAsia="Arial" w:hAnsi="Arial"/>
          <w:b/>
          <w:bCs/>
          <w:sz w:val="20"/>
          <w:szCs w:val="20"/>
        </w:rPr>
        <w:t xml:space="preserve">- NOEC (przewlekła, skorupiaki):</w:t>
      </w:r>
      <w:r>
        <w:rPr>
          <w:rFonts w:ascii="Arial" w:cs="Arial" w:eastAsia="Arial" w:hAnsi="Arial"/>
          <w:sz w:val="20"/>
          <w:szCs w:val="20"/>
        </w:rPr>
        <w:t xml:space="preserve"> 0,448 mg/l</w:t>
      </w:r>
    </w:p>
    <w:p>
      <w:pPr>
        <w:spacing w:after="60" w:before="60"/>
      </w:pPr>
      <w:r>
        <w:rPr>
          <w:rFonts w:ascii="Arial" w:cs="Arial" w:eastAsia="Arial" w:hAnsi="Arial"/>
          <w:b/>
          <w:bCs/>
          <w:sz w:val="20"/>
          <w:szCs w:val="20"/>
        </w:rPr>
        <w:t xml:space="preserve">- NOEC (przewlekła, glony):</w:t>
      </w:r>
      <w:r>
        <w:rPr>
          <w:rFonts w:ascii="Arial" w:cs="Arial" w:eastAsia="Arial" w:hAnsi="Arial"/>
          <w:sz w:val="20"/>
          <w:szCs w:val="20"/>
        </w:rPr>
        <w:t xml:space="preserve"> 0,408 mg/l</w:t>
      </w:r>
    </w:p>
    <w:p>
      <w:pPr>
        <w:spacing w:after="80" w:before="150"/>
      </w:pPr>
      <w:r>
        <w:rPr>
          <w:rFonts w:ascii="Arial" w:cs="Arial" w:eastAsia="Arial" w:hAnsi="Arial"/>
          <w:b/>
          <w:bCs/>
          <w:sz w:val="20"/>
          <w:szCs w:val="20"/>
        </w:rPr>
        <w:t xml:space="preserve">2,6-di-tert-butylo-4-metylofenol (BHT) (CAS: 128-37-0):</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 0,199 mg/l/(96 h)</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 0,48 mg/l/(48 h)</w:t>
      </w:r>
    </w:p>
    <w:p>
      <w:pPr>
        <w:spacing w:after="60" w:before="60"/>
      </w:pPr>
      <w:r>
        <w:rPr>
          <w:rFonts w:ascii="Arial" w:cs="Arial" w:eastAsia="Arial" w:hAnsi="Arial"/>
          <w:b/>
          <w:bCs/>
          <w:sz w:val="20"/>
          <w:szCs w:val="20"/>
        </w:rPr>
        <w:t xml:space="preserve">- EC50 (glony / rośliny wodne):</w:t>
      </w:r>
      <w:r>
        <w:rPr>
          <w:rFonts w:ascii="Arial" w:cs="Arial" w:eastAsia="Arial" w:hAnsi="Arial"/>
          <w:sz w:val="20"/>
          <w:szCs w:val="20"/>
        </w:rPr>
        <w:t xml:space="preserve"> &gt; 0,4 mg/l/(72 h)</w:t>
      </w:r>
    </w:p>
    <w:p>
      <w:pPr>
        <w:spacing w:after="60" w:before="60"/>
      </w:pPr>
      <w:r>
        <w:rPr>
          <w:rFonts w:ascii="Arial" w:cs="Arial" w:eastAsia="Arial" w:hAnsi="Arial"/>
          <w:b/>
          <w:bCs/>
          <w:sz w:val="20"/>
          <w:szCs w:val="20"/>
        </w:rPr>
        <w:t xml:space="preserve">- NOEC (przewlekła, ryby):</w:t>
      </w:r>
      <w:r>
        <w:rPr>
          <w:rFonts w:ascii="Arial" w:cs="Arial" w:eastAsia="Arial" w:hAnsi="Arial"/>
          <w:sz w:val="20"/>
          <w:szCs w:val="20"/>
        </w:rPr>
        <w:t xml:space="preserve"> 0,053 mg/l</w:t>
      </w:r>
    </w:p>
    <w:p>
      <w:pPr>
        <w:spacing w:after="60" w:before="60"/>
      </w:pPr>
      <w:r>
        <w:rPr>
          <w:rFonts w:ascii="Arial" w:cs="Arial" w:eastAsia="Arial" w:hAnsi="Arial"/>
          <w:b/>
          <w:bCs/>
          <w:sz w:val="20"/>
          <w:szCs w:val="20"/>
        </w:rPr>
        <w:t xml:space="preserve">- NOEC (przewlekła, skorupiaki):</w:t>
      </w:r>
      <w:r>
        <w:rPr>
          <w:rFonts w:ascii="Arial" w:cs="Arial" w:eastAsia="Arial" w:hAnsi="Arial"/>
          <w:sz w:val="20"/>
          <w:szCs w:val="20"/>
        </w:rPr>
        <w:t xml:space="preserve"> 0,15 mg/l</w:t>
      </w:r>
    </w:p>
    <w:p>
      <w:pPr>
        <w:spacing w:after="80" w:before="150"/>
      </w:pPr>
      <w:r>
        <w:rPr>
          <w:rFonts w:ascii="Arial" w:cs="Arial" w:eastAsia="Arial" w:hAnsi="Arial"/>
          <w:b/>
          <w:bCs/>
          <w:sz w:val="20"/>
          <w:szCs w:val="20"/>
        </w:rPr>
        <w:t xml:space="preserve">hydroksycytronellal (CAS: 107-75-5):</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 31,6 mg/l/(96 h)</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 410 mg/l/(48 h)</w:t>
      </w:r>
    </w:p>
    <w:p>
      <w:pPr>
        <w:spacing w:after="60" w:before="60"/>
      </w:pPr>
      <w:r>
        <w:rPr>
          <w:rFonts w:ascii="Arial" w:cs="Arial" w:eastAsia="Arial" w:hAnsi="Arial"/>
          <w:b/>
          <w:bCs/>
          <w:sz w:val="20"/>
          <w:szCs w:val="20"/>
        </w:rPr>
        <w:t xml:space="preserve">- EC50 (glony / rośliny wodne):</w:t>
      </w:r>
      <w:r>
        <w:rPr>
          <w:rFonts w:ascii="Arial" w:cs="Arial" w:eastAsia="Arial" w:hAnsi="Arial"/>
          <w:sz w:val="20"/>
          <w:szCs w:val="20"/>
        </w:rPr>
        <w:t xml:space="preserve"> 123,32 mg/l/(72 h)</w:t>
      </w:r>
    </w:p>
    <w:p>
      <w:pPr>
        <w:spacing w:after="80" w:before="150"/>
      </w:pPr>
      <w:r>
        <w:rPr>
          <w:rFonts w:ascii="Arial" w:cs="Arial" w:eastAsia="Arial" w:hAnsi="Arial"/>
          <w:b/>
          <w:bCs/>
          <w:sz w:val="20"/>
          <w:szCs w:val="20"/>
        </w:rPr>
        <w:t xml:space="preserve">toluen (CAS: 108-88-3):</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 5,5 mg/l/(96 h) Oncorhynchus kisutch</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 3,78 mg/l</w:t>
      </w:r>
    </w:p>
    <w:p>
      <w:pPr>
        <w:spacing w:after="60" w:before="60"/>
      </w:pPr>
      <w:r>
        <w:rPr>
          <w:rFonts w:ascii="Arial" w:cs="Arial" w:eastAsia="Arial" w:hAnsi="Arial"/>
          <w:b/>
          <w:bCs/>
          <w:sz w:val="20"/>
          <w:szCs w:val="20"/>
        </w:rPr>
        <w:t xml:space="preserve">- EC50 (glony / rośliny wodne):</w:t>
      </w:r>
      <w:r>
        <w:rPr>
          <w:rFonts w:ascii="Arial" w:cs="Arial" w:eastAsia="Arial" w:hAnsi="Arial"/>
          <w:sz w:val="20"/>
          <w:szCs w:val="20"/>
        </w:rPr>
        <w:t xml:space="preserve"> 134 mg/l/(3 h) Chlorella vulgaris and Chlamydomonas angulosa</w:t>
      </w:r>
    </w:p>
    <w:p>
      <w:pPr>
        <w:spacing w:after="60" w:before="60"/>
      </w:pPr>
      <w:r>
        <w:rPr>
          <w:rFonts w:ascii="Arial" w:cs="Arial" w:eastAsia="Arial" w:hAnsi="Arial"/>
          <w:b/>
          <w:bCs/>
          <w:sz w:val="20"/>
          <w:szCs w:val="20"/>
        </w:rPr>
        <w:t xml:space="preserve">- NOEC (przewlekła, glony):</w:t>
      </w:r>
      <w:r>
        <w:rPr>
          <w:rFonts w:ascii="Arial" w:cs="Arial" w:eastAsia="Arial" w:hAnsi="Arial"/>
          <w:sz w:val="20"/>
          <w:szCs w:val="20"/>
        </w:rPr>
        <w:t xml:space="preserve"> 10 mg/l/(72 h) Skeletonema costatum</w:t>
      </w:r>
    </w:p>
    <w:p>
      <w:pPr>
        <w:spacing w:after="80" w:before="150"/>
      </w:pPr>
      <w:r>
        <w:rPr>
          <w:rFonts w:ascii="Arial" w:cs="Arial" w:eastAsia="Arial" w:hAnsi="Arial"/>
          <w:b/>
          <w:bCs/>
          <w:sz w:val="20"/>
          <w:szCs w:val="20"/>
        </w:rPr>
        <w:t xml:space="preserve">metanol (CAS: 67-56-1):</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 15320 mg/l/(96 h) Leuciscus idus melanotus</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 18260 mg/l/(96 h) Daphnia magna</w:t>
      </w:r>
    </w:p>
    <w:p>
      <w:pPr>
        <w:spacing w:after="60" w:before="60"/>
      </w:pPr>
      <w:r>
        <w:rPr>
          <w:rFonts w:ascii="Arial" w:cs="Arial" w:eastAsia="Arial" w:hAnsi="Arial"/>
          <w:b/>
          <w:bCs/>
          <w:sz w:val="20"/>
          <w:szCs w:val="20"/>
        </w:rPr>
        <w:t xml:space="preserve">- EC50 (glony / rośliny wodne):</w:t>
      </w:r>
      <w:r>
        <w:rPr>
          <w:rFonts w:ascii="Arial" w:cs="Arial" w:eastAsia="Arial" w:hAnsi="Arial"/>
          <w:sz w:val="20"/>
          <w:szCs w:val="20"/>
        </w:rPr>
        <w:t xml:space="preserve"> 22000 mg/l/(96 h) Pseudokirchneriella subcapitata</w:t>
      </w:r>
    </w:p>
    <w:p>
      <w:pPr>
        <w:spacing w:after="60" w:before="60"/>
      </w:pPr>
      <w:r>
        <w:rPr>
          <w:rFonts w:ascii="Arial" w:cs="Arial" w:eastAsia="Arial" w:hAnsi="Arial"/>
          <w:b/>
          <w:bCs/>
          <w:sz w:val="20"/>
          <w:szCs w:val="20"/>
        </w:rPr>
        <w:t xml:space="preserve">- NOEC (przewlekła, ryby):</w:t>
      </w:r>
      <w:r>
        <w:rPr>
          <w:rFonts w:ascii="Arial" w:cs="Arial" w:eastAsia="Arial" w:hAnsi="Arial"/>
          <w:sz w:val="20"/>
          <w:szCs w:val="20"/>
        </w:rPr>
        <w:t xml:space="preserve"> 3950 mg/l/(96 h) Danio rerio</w:t>
      </w:r>
    </w:p>
    <w:p>
      <w:pPr>
        <w:spacing w:after="60" w:before="60"/>
      </w:pPr>
      <w:r>
        <w:rPr>
          <w:rFonts w:ascii="Arial" w:cs="Arial" w:eastAsia="Arial" w:hAnsi="Arial"/>
          <w:b/>
          <w:bCs/>
          <w:sz w:val="20"/>
          <w:szCs w:val="20"/>
        </w:rPr>
        <w:t xml:space="preserve">- NOEC (przewlekła, skorupiaki):</w:t>
      </w:r>
      <w:r>
        <w:rPr>
          <w:rFonts w:ascii="Arial" w:cs="Arial" w:eastAsia="Arial" w:hAnsi="Arial"/>
          <w:sz w:val="20"/>
          <w:szCs w:val="20"/>
        </w:rPr>
        <w:t xml:space="preserve"> 7960 mg/l/(96 h) Mytilus edulis (omułek)</w:t>
      </w:r>
    </w:p>
    <w:p>
      <w:pPr>
        <w:spacing w:after="100" w:before="200"/>
      </w:pPr>
      <w:r>
        <w:rPr>
          <w:rFonts w:ascii="Arial" w:cs="Arial" w:eastAsia="Arial" w:hAnsi="Arial"/>
          <w:b/>
          <w:bCs/>
          <w:sz w:val="20"/>
          <w:szCs w:val="20"/>
        </w:rPr>
        <w:t xml:space="preserve">12.2. Trwałość i zdolność do rozkładu</w:t>
      </w:r>
    </w:p>
    <w:p>
      <w:pPr>
        <w:spacing w:after="80" w:before="150"/>
      </w:pPr>
      <w:r>
        <w:rPr>
          <w:rFonts w:ascii="Arial" w:cs="Arial" w:eastAsia="Arial" w:hAnsi="Arial"/>
          <w:b/>
          <w:bCs/>
          <w:sz w:val="20"/>
          <w:szCs w:val="20"/>
        </w:rPr>
        <w:t xml:space="preserve">Informacje dotyczące składników:</w:t>
      </w:r>
    </w:p>
    <w:p>
      <w:pPr>
        <w:spacing w:after="80"/>
      </w:pPr>
      <w:r>
        <w:rPr>
          <w:rFonts w:ascii="Arial" w:cs="Arial" w:eastAsia="Arial" w:hAnsi="Arial"/>
          <w:sz w:val="20"/>
          <w:szCs w:val="20"/>
        </w:rPr>
        <w:t xml:space="preserve">etanol (CAS: 64-17-5): Szybko ulega degradacji (substancja łatwo biodegradowalna). Rozpuszczalność w wodzie: 1000 - 10000 mg/l.</w:t>
      </w:r>
    </w:p>
    <w:p>
      <w:pPr>
        <w:spacing w:after="80"/>
      </w:pPr>
      <w:r>
        <w:rPr>
          <w:rFonts w:ascii="Arial" w:cs="Arial" w:eastAsia="Arial" w:hAnsi="Arial"/>
          <w:sz w:val="20"/>
          <w:szCs w:val="20"/>
        </w:rPr>
        <w:t xml:space="preserve">salicylan benzylu (CAS: 118-58-1): Szybko ulega degradacji (substancja łatwo biodegradowalna).</w:t>
      </w:r>
    </w:p>
    <w:p>
      <w:pPr>
        <w:spacing w:after="80"/>
      </w:pPr>
      <w:r>
        <w:rPr>
          <w:rFonts w:ascii="Arial" w:cs="Arial" w:eastAsia="Arial" w:hAnsi="Arial"/>
          <w:sz w:val="20"/>
          <w:szCs w:val="20"/>
        </w:rPr>
        <w:t xml:space="preserve">galaksolid (1,3,4,6,7,8-heksahydro-4,6,6,7,8,8-heksametyloindeno[5,6-c]piran) (CAS: 1222-05-5): Szybko ulega degradacji (substancja łatwo biodegradowalna).</w:t>
      </w:r>
    </w:p>
    <w:p>
      <w:pPr>
        <w:spacing w:after="80"/>
      </w:pPr>
      <w:r>
        <w:rPr>
          <w:rFonts w:ascii="Arial" w:cs="Arial" w:eastAsia="Arial" w:hAnsi="Arial"/>
          <w:sz w:val="20"/>
          <w:szCs w:val="20"/>
        </w:rPr>
        <w:t xml:space="preserve">kumaryna (2H-chromen-2-on) (CAS: 91-64-5): Szybko ulega degradacji (substancja łatwo biodegradowalna).</w:t>
      </w:r>
    </w:p>
    <w:p>
      <w:pPr>
        <w:spacing w:after="80"/>
      </w:pPr>
      <w:r>
        <w:rPr>
          <w:rFonts w:ascii="Arial" w:cs="Arial" w:eastAsia="Arial" w:hAnsi="Arial"/>
          <w:sz w:val="20"/>
          <w:szCs w:val="20"/>
        </w:rPr>
        <w:t xml:space="preserve">2,6-di-tert-butylo-4-metylofenol (BHT) (CAS: 128-37-0): Szybko ulega degradacji (substancja łatwo biodegradowalna).</w:t>
      </w:r>
    </w:p>
    <w:p>
      <w:pPr>
        <w:spacing w:after="80"/>
      </w:pPr>
      <w:r>
        <w:rPr>
          <w:rFonts w:ascii="Arial" w:cs="Arial" w:eastAsia="Arial" w:hAnsi="Arial"/>
          <w:sz w:val="20"/>
          <w:szCs w:val="20"/>
        </w:rPr>
        <w:t xml:space="preserve">hydroksycytronellal (CAS: 107-75-5): Szybko ulega degradacji (substancja łatwo biodegradowalna).</w:t>
      </w:r>
    </w:p>
    <w:p>
      <w:pPr>
        <w:spacing w:after="80"/>
      </w:pPr>
      <w:r>
        <w:rPr>
          <w:rFonts w:ascii="Arial" w:cs="Arial" w:eastAsia="Arial" w:hAnsi="Arial"/>
          <w:sz w:val="20"/>
          <w:szCs w:val="20"/>
        </w:rPr>
        <w:t xml:space="preserve">toluen (CAS: 108-88-3): Szybko ulega degradacji (substancja łatwo biodegradowalna). Rozpuszczalność w wodzie: 100 - 1000 mg/l.</w:t>
      </w:r>
    </w:p>
    <w:p>
      <w:pPr>
        <w:spacing w:after="80"/>
      </w:pPr>
      <w:r>
        <w:rPr>
          <w:rFonts w:ascii="Arial" w:cs="Arial" w:eastAsia="Arial" w:hAnsi="Arial"/>
          <w:sz w:val="20"/>
          <w:szCs w:val="20"/>
        </w:rPr>
        <w:t xml:space="preserve">aceton (propan-2-on) (CAS: 67-64-1): Szybko ulega degradacji (substancja łatwo biodegradowalna).</w:t>
      </w:r>
    </w:p>
    <w:p>
      <w:pPr>
        <w:spacing w:after="80"/>
      </w:pPr>
      <w:r>
        <w:rPr>
          <w:rFonts w:ascii="Arial" w:cs="Arial" w:eastAsia="Arial" w:hAnsi="Arial"/>
          <w:sz w:val="20"/>
          <w:szCs w:val="20"/>
        </w:rPr>
        <w:t xml:space="preserve">metanol (CAS: 67-56-1): Szybko ulega degradacji (substancja łatwo biodegradowalna). Rozpuszczalność w wodzie: 1000 - 10000 mg/l.</w:t>
      </w:r>
    </w:p>
    <w:p>
      <w:pPr>
        <w:spacing w:after="80" w:before="80"/>
      </w:pPr>
      <w:r>
        <w:rPr>
          <w:rFonts w:ascii="Arial" w:cs="Arial" w:eastAsia="Arial" w:hAnsi="Arial"/>
          <w:b/>
          <w:bCs/>
          <w:sz w:val="20"/>
          <w:szCs w:val="20"/>
        </w:rPr>
        <w:t xml:space="preserve">Mieszanina:</w:t>
      </w:r>
      <w:r>
        <w:rPr>
          <w:rFonts w:ascii="Arial" w:cs="Arial" w:eastAsia="Arial" w:hAnsi="Arial"/>
          <w:sz w:val="20"/>
          <w:szCs w:val="20"/>
        </w:rPr>
        <w:t xml:space="preserve"> Brak dostępnych badań dotyczących trwałości i rozkładu mieszaniny.</w:t>
      </w:r>
    </w:p>
    <w:p>
      <w:pPr>
        <w:spacing w:after="100" w:before="200"/>
      </w:pPr>
      <w:r>
        <w:rPr>
          <w:rFonts w:ascii="Arial" w:cs="Arial" w:eastAsia="Arial" w:hAnsi="Arial"/>
          <w:b/>
          <w:bCs/>
          <w:sz w:val="20"/>
          <w:szCs w:val="20"/>
        </w:rPr>
        <w:t xml:space="preserve">12.3. Zdolność do bioakumulacji</w:t>
      </w:r>
    </w:p>
    <w:p>
      <w:pPr>
        <w:spacing w:after="80" w:before="150"/>
      </w:pPr>
      <w:r>
        <w:rPr>
          <w:rFonts w:ascii="Arial" w:cs="Arial" w:eastAsia="Arial" w:hAnsi="Arial"/>
          <w:b/>
          <w:bCs/>
          <w:sz w:val="20"/>
          <w:szCs w:val="20"/>
        </w:rPr>
        <w:t xml:space="preserve">Informacje dotyczące składników:</w:t>
      </w:r>
    </w:p>
    <w:p>
      <w:pPr>
        <w:spacing w:after="80"/>
      </w:pPr>
      <w:r>
        <w:rPr>
          <w:rFonts w:ascii="Arial" w:cs="Arial" w:eastAsia="Arial" w:hAnsi="Arial"/>
          <w:sz w:val="20"/>
          <w:szCs w:val="20"/>
        </w:rPr>
        <w:t xml:space="preserve">etanol (CAS: 64-17-5): współczynnik podziału n-oktanol/woda (log Kow): -0,35.</w:t>
      </w:r>
    </w:p>
    <w:p>
      <w:pPr>
        <w:spacing w:after="80"/>
      </w:pPr>
      <w:r>
        <w:rPr>
          <w:rFonts w:ascii="Arial" w:cs="Arial" w:eastAsia="Arial" w:hAnsi="Arial"/>
          <w:sz w:val="20"/>
          <w:szCs w:val="20"/>
        </w:rPr>
        <w:t xml:space="preserve">salicylan benzylu (CAS: 118-58-1): wykazuje potencjał do bioakumulacji, współczynnik biokoncentracji BCF = 311.</w:t>
      </w:r>
    </w:p>
    <w:p>
      <w:pPr>
        <w:spacing w:after="80"/>
      </w:pPr>
      <w:r>
        <w:rPr>
          <w:rFonts w:ascii="Arial" w:cs="Arial" w:eastAsia="Arial" w:hAnsi="Arial"/>
          <w:sz w:val="20"/>
          <w:szCs w:val="20"/>
        </w:rPr>
        <w:t xml:space="preserve">galaksolid (1,3,4,6,7,8-heksahydro-4,6,6,7,8,8-heksametyloindeno[5,6-c]piran) (CAS: 1222-05-5): współczynnik podziału n-oktanol/woda (log Kow): 5,3, współczynnik biokoncentracji BCF = 498 (5 dni).</w:t>
      </w:r>
    </w:p>
    <w:p>
      <w:pPr>
        <w:spacing w:after="80"/>
      </w:pPr>
      <w:r>
        <w:rPr>
          <w:rFonts w:ascii="Arial" w:cs="Arial" w:eastAsia="Arial" w:hAnsi="Arial"/>
          <w:sz w:val="20"/>
          <w:szCs w:val="20"/>
        </w:rPr>
        <w:t xml:space="preserve">2,6-di-tert-butylo-4-metylofenol (BHT) (CAS: 128-37-0): współczynnik podziału n-oktanol/woda (log Kow): 5,1, współczynnik biokoncentracji BCF = 598,4.</w:t>
      </w:r>
    </w:p>
    <w:p>
      <w:pPr>
        <w:spacing w:after="80"/>
      </w:pPr>
      <w:r>
        <w:rPr>
          <w:rFonts w:ascii="Arial" w:cs="Arial" w:eastAsia="Arial" w:hAnsi="Arial"/>
          <w:sz w:val="20"/>
          <w:szCs w:val="20"/>
        </w:rPr>
        <w:t xml:space="preserve">toluen (CAS: 108-88-3): współczynnik podziału n-oktanol/woda (log Kow): 2,73, współczynnik biokoncentracji BCF = 90.</w:t>
      </w:r>
    </w:p>
    <w:p>
      <w:pPr>
        <w:spacing w:after="80"/>
      </w:pPr>
      <w:r>
        <w:rPr>
          <w:rFonts w:ascii="Arial" w:cs="Arial" w:eastAsia="Arial" w:hAnsi="Arial"/>
          <w:sz w:val="20"/>
          <w:szCs w:val="20"/>
        </w:rPr>
        <w:t xml:space="preserve">aceton (propan-2-on) (CAS: 67-64-1): współczynnik podziału n-oktanol/woda (log Kow): -0,23, współczynnik biokoncentracji BCF = 3.</w:t>
      </w:r>
    </w:p>
    <w:p>
      <w:pPr>
        <w:spacing w:after="80"/>
      </w:pPr>
      <w:r>
        <w:rPr>
          <w:rFonts w:ascii="Arial" w:cs="Arial" w:eastAsia="Arial" w:hAnsi="Arial"/>
          <w:sz w:val="20"/>
          <w:szCs w:val="20"/>
        </w:rPr>
        <w:t xml:space="preserve">metanol (CAS: 67-56-1): współczynnik podziału n-oktanol/woda (log Kow): -0,77, współczynnik biokoncentracji BCF = 0,2.</w:t>
      </w:r>
    </w:p>
    <w:p>
      <w:pPr>
        <w:spacing w:after="80" w:before="80"/>
      </w:pPr>
      <w:r>
        <w:rPr>
          <w:rFonts w:ascii="Arial" w:cs="Arial" w:eastAsia="Arial" w:hAnsi="Arial"/>
          <w:b/>
          <w:bCs/>
          <w:sz w:val="20"/>
          <w:szCs w:val="20"/>
        </w:rPr>
        <w:t xml:space="preserve">Mieszanina:</w:t>
      </w:r>
      <w:r>
        <w:rPr>
          <w:rFonts w:ascii="Arial" w:cs="Arial" w:eastAsia="Arial" w:hAnsi="Arial"/>
          <w:sz w:val="20"/>
          <w:szCs w:val="20"/>
        </w:rPr>
        <w:t xml:space="preserve"> Brak dostępnych badań dotyczących bioakumulacji dla mieszaniny.</w:t>
      </w:r>
    </w:p>
    <w:p>
      <w:pPr>
        <w:spacing w:after="100" w:before="200"/>
      </w:pPr>
      <w:r>
        <w:rPr>
          <w:rFonts w:ascii="Arial" w:cs="Arial" w:eastAsia="Arial" w:hAnsi="Arial"/>
          <w:b/>
          <w:bCs/>
          <w:sz w:val="20"/>
          <w:szCs w:val="20"/>
        </w:rPr>
        <w:t xml:space="preserve">12.4. Mobilność w glebie</w:t>
      </w:r>
    </w:p>
    <w:p>
      <w:pPr>
        <w:spacing w:after="80" w:before="150"/>
      </w:pPr>
      <w:r>
        <w:rPr>
          <w:rFonts w:ascii="Arial" w:cs="Arial" w:eastAsia="Arial" w:hAnsi="Arial"/>
          <w:b/>
          <w:bCs/>
          <w:sz w:val="20"/>
          <w:szCs w:val="20"/>
        </w:rPr>
        <w:t xml:space="preserve">Informacje dotyczące składników:</w:t>
      </w:r>
    </w:p>
    <w:p>
      <w:pPr>
        <w:spacing w:after="80"/>
      </w:pPr>
      <w:r>
        <w:rPr>
          <w:rFonts w:ascii="Arial" w:cs="Arial" w:eastAsia="Arial" w:hAnsi="Arial"/>
          <w:sz w:val="20"/>
          <w:szCs w:val="20"/>
        </w:rPr>
        <w:t xml:space="preserve">galaksolid (1,3,4,6,7,8-heksahydro-4,6,6,7,8,8-heksametyloindeno[5,6-c]piran) (CAS: 1222-05-5): współczynnik podziału gleba/woda (Koc): 4,39.</w:t>
      </w:r>
    </w:p>
    <w:p>
      <w:pPr>
        <w:spacing w:after="80"/>
      </w:pPr>
      <w:r>
        <w:rPr>
          <w:rFonts w:ascii="Arial" w:cs="Arial" w:eastAsia="Arial" w:hAnsi="Arial"/>
          <w:sz w:val="20"/>
          <w:szCs w:val="20"/>
        </w:rPr>
        <w:t xml:space="preserve">2,6-di-tert-butylo-4-metylofenol (BHT) (CAS: 128-37-0): współczynnik podziału gleba/woda (Koc): 4,2.</w:t>
      </w:r>
    </w:p>
    <w:p>
      <w:pPr>
        <w:spacing w:after="80"/>
      </w:pPr>
      <w:r>
        <w:rPr>
          <w:rFonts w:ascii="Arial" w:cs="Arial" w:eastAsia="Arial" w:hAnsi="Arial"/>
          <w:sz w:val="20"/>
          <w:szCs w:val="20"/>
        </w:rPr>
        <w:t xml:space="preserve">hydroksycytronellal (CAS: 107-75-5): współczynnik podziału gleba/woda (Koc): 1 przy 25 °C.</w:t>
      </w:r>
    </w:p>
    <w:p>
      <w:pPr>
        <w:spacing w:after="80"/>
      </w:pPr>
      <w:r>
        <w:rPr>
          <w:rFonts w:ascii="Arial" w:cs="Arial" w:eastAsia="Arial" w:hAnsi="Arial"/>
          <w:sz w:val="20"/>
          <w:szCs w:val="20"/>
        </w:rPr>
        <w:t xml:space="preserve">toluen (CAS: 108-88-3): współczynnik podziału gleba/woda (Koc): 2,31.</w:t>
      </w:r>
    </w:p>
    <w:p>
      <w:pPr>
        <w:spacing w:after="80" w:before="80"/>
      </w:pPr>
      <w:r>
        <w:rPr>
          <w:rFonts w:ascii="Arial" w:cs="Arial" w:eastAsia="Arial" w:hAnsi="Arial"/>
          <w:b/>
          <w:bCs/>
          <w:sz w:val="20"/>
          <w:szCs w:val="20"/>
        </w:rPr>
        <w:t xml:space="preserve">Mieszanina:</w:t>
      </w:r>
      <w:r>
        <w:rPr>
          <w:rFonts w:ascii="Arial" w:cs="Arial" w:eastAsia="Arial" w:hAnsi="Arial"/>
          <w:sz w:val="20"/>
          <w:szCs w:val="20"/>
        </w:rPr>
        <w:t xml:space="preserve"> Brak dostępnych badań dotyczących mobilności mieszaniny w glebie.</w:t>
      </w:r>
    </w:p>
    <w:p>
      <w:pPr>
        <w:spacing w:after="100" w:before="200"/>
      </w:pPr>
      <w:r>
        <w:rPr>
          <w:rFonts w:ascii="Arial" w:cs="Arial" w:eastAsia="Arial" w:hAnsi="Arial"/>
          <w:b/>
          <w:bCs/>
          <w:sz w:val="20"/>
          <w:szCs w:val="20"/>
        </w:rPr>
        <w:t xml:space="preserve">12.5. Wyniki oceny właściwości PBT i vPvB</w:t>
      </w:r>
    </w:p>
    <w:p>
      <w:pPr>
        <w:spacing w:after="80"/>
      </w:pPr>
      <w:r>
        <w:rPr>
          <w:rFonts w:ascii="Arial" w:cs="Arial" w:eastAsia="Arial" w:hAnsi="Arial"/>
          <w:sz w:val="20"/>
          <w:szCs w:val="20"/>
        </w:rPr>
        <w:t xml:space="preserve">Mieszanina nie zawiera substancji spełniających kryteria PBT lub vPvB zgodnie z załącznikiem XIII do rozporządzenia REACH w stężeniu ≥ 0,1% wag.</w:t>
      </w:r>
    </w:p>
    <w:p>
      <w:pPr>
        <w:spacing w:after="100" w:before="200"/>
      </w:pPr>
      <w:r>
        <w:rPr>
          <w:rFonts w:ascii="Arial" w:cs="Arial" w:eastAsia="Arial" w:hAnsi="Arial"/>
          <w:b/>
          <w:bCs/>
          <w:sz w:val="20"/>
          <w:szCs w:val="20"/>
        </w:rPr>
        <w:t xml:space="preserve">12.6. Właściwości zaburzające funkcjonowanie układu hormonalnego</w:t>
      </w:r>
    </w:p>
    <w:p>
      <w:pPr>
        <w:spacing w:after="80" w:before="150"/>
      </w:pPr>
      <w:r>
        <w:rPr>
          <w:rFonts w:ascii="Arial" w:cs="Arial" w:eastAsia="Arial" w:hAnsi="Arial"/>
          <w:b/>
          <w:bCs/>
          <w:sz w:val="20"/>
          <w:szCs w:val="20"/>
        </w:rPr>
        <w:t xml:space="preserve">Substancje zaburzające funkcjonowanie układu hormonalnego w odniesieniu do środowiska:</w:t>
      </w:r>
    </w:p>
    <w:p>
      <w:pPr>
        <w:spacing w:after="80"/>
      </w:pPr>
      <w:r>
        <w:rPr>
          <w:rFonts w:ascii="Arial" w:cs="Arial" w:eastAsia="Arial" w:hAnsi="Arial"/>
          <w:sz w:val="20"/>
          <w:szCs w:val="20"/>
        </w:rPr>
        <w:t xml:space="preserve">galaksolid (1,3,4,6,7,8-heksahydro-4,6,6,7,8,8-heksametyloindeno[5,6-c]piran) (CAS: 1222-05-5): Wykaz II ECHA – substancja podlegająca ocenie pod kątem właściwości zaburzających funkcjonowanie układu hormonalnego zgodnie z przepisami UE.</w:t>
      </w:r>
    </w:p>
    <w:p>
      <w:pPr>
        <w:spacing w:after="80"/>
      </w:pPr>
      <w:r>
        <w:rPr>
          <w:rFonts w:ascii="Arial" w:cs="Arial" w:eastAsia="Arial" w:hAnsi="Arial"/>
          <w:sz w:val="20"/>
          <w:szCs w:val="20"/>
        </w:rPr>
        <w:t xml:space="preserve">Pozostałe składniki mieszaniny nie zawierają substancji o właściwościach zaburzających funkcjonowanie układu hormonalnego w odniesieniu do środowiska w stężeniu ≥ 0,1% wag.</w:t>
      </w:r>
    </w:p>
    <w:p>
      <w:pPr>
        <w:spacing w:after="100" w:before="200"/>
      </w:pPr>
      <w:r>
        <w:rPr>
          <w:rFonts w:ascii="Arial" w:cs="Arial" w:eastAsia="Arial" w:hAnsi="Arial"/>
          <w:b/>
          <w:bCs/>
          <w:sz w:val="20"/>
          <w:szCs w:val="20"/>
        </w:rPr>
        <w:t xml:space="preserve">12.7. Inne szkodliwe skutki działania</w:t>
      </w:r>
    </w:p>
    <w:p>
      <w:pPr>
        <w:spacing w:after="80"/>
      </w:pPr>
      <w:r>
        <w:rPr>
          <w:rFonts w:ascii="Arial" w:cs="Arial" w:eastAsia="Arial" w:hAnsi="Arial"/>
          <w:sz w:val="20"/>
          <w:szCs w:val="20"/>
        </w:rPr>
        <w:t xml:space="preserve">Nie są znane żadne inne szkodliwe skutki działania na środowisko (brak potencjału niszczenia warstwy ozonowej, tworzenia ozonu fotochemicznego ani wpływu na globalne ocieplenie).</w:t>
      </w:r>
    </w:p>
    <w:p>
      <w:pPr>
        <w:pBdr>
          <w:bottom w:color="00A651" w:sz="12" w:space="1"/>
        </w:pBdr>
        <w:spacing w:after="150" w:before="300"/>
      </w:pPr>
      <w:r>
        <w:rPr>
          <w:b/>
          <w:bCs/>
          <w:sz w:val="22"/>
          <w:szCs w:val="22"/>
        </w:rPr>
        <w:t xml:space="preserve">SEKCJA 13: POSTĘPOWANIE Z ODPADAMI</w:t>
      </w:r>
    </w:p>
    <w:p>
      <w:pPr>
        <w:spacing w:after="100" w:before="200"/>
      </w:pPr>
      <w:r>
        <w:rPr>
          <w:rFonts w:ascii="Arial" w:cs="Arial" w:eastAsia="Arial" w:hAnsi="Arial"/>
          <w:b/>
          <w:bCs/>
          <w:sz w:val="20"/>
          <w:szCs w:val="20"/>
        </w:rPr>
        <w:t xml:space="preserve">13.1. Metody unieszkodliwiania odpadów</w:t>
      </w:r>
    </w:p>
    <w:p>
      <w:pPr>
        <w:spacing w:after="80" w:before="150"/>
      </w:pPr>
      <w:r>
        <w:rPr>
          <w:rFonts w:ascii="Arial" w:cs="Arial" w:eastAsia="Arial" w:hAnsi="Arial"/>
          <w:b/>
          <w:bCs/>
          <w:sz w:val="20"/>
          <w:szCs w:val="20"/>
        </w:rPr>
        <w:t xml:space="preserve">Zalecenia dotyczące produktu i pozostałości:</w:t>
      </w:r>
    </w:p>
    <w:p>
      <w:pPr>
        <w:spacing w:after="80"/>
      </w:pPr>
      <w:r>
        <w:rPr>
          <w:rFonts w:ascii="Arial" w:cs="Arial" w:eastAsia="Arial" w:hAnsi="Arial"/>
          <w:sz w:val="20"/>
          <w:szCs w:val="20"/>
        </w:rPr>
        <w:t xml:space="preserve">Odzyskać, jeśli to możliwe. Nie wprowadzać do kanalizacji, wód powierzchniowych, gruntowych ani gleby. Pozostałości produktu oraz odpady należy poddać odzyskowi lub unieszkodliwianiu w uprawnionych instalacjach (np. spalarniach termicznych lub wyspecjalizowanych zakładach utylizacji odpadów) posiadających stosowne zezwolenia na prowadzenie gospodarki odpadami zgodnie z obowiązującymi przepisami.</w:t>
      </w:r>
    </w:p>
    <w:p>
      <w:pPr>
        <w:spacing w:after="80" w:before="150"/>
      </w:pPr>
      <w:r>
        <w:rPr>
          <w:rFonts w:ascii="Arial" w:cs="Arial" w:eastAsia="Arial" w:hAnsi="Arial"/>
          <w:b/>
          <w:bCs/>
          <w:sz w:val="20"/>
          <w:szCs w:val="20"/>
        </w:rPr>
        <w:t xml:space="preserve">Zalecenia dotyczące odpadów opakowaniowych:</w:t>
      </w:r>
    </w:p>
    <w:p>
      <w:pPr>
        <w:spacing w:after="80"/>
      </w:pPr>
      <w:r>
        <w:rPr>
          <w:rFonts w:ascii="Arial" w:cs="Arial" w:eastAsia="Arial" w:hAnsi="Arial"/>
          <w:sz w:val="20"/>
          <w:szCs w:val="20"/>
        </w:rPr>
        <w:t xml:space="preserve">Całkowicie opróżnione opakowania poddać procesowi odzysku lub recyklingu materiałowego w ramach selektywnej zbiórki odpadów. Opakowania zanieczyszczone pozostałościami produktu traktować zgodnie z ich stopniem skażenia – w przypadku substancji niebezpiecznych likwidować jak sam produkt u uprawnionego odbiorcy odpadów.</w:t>
      </w:r>
    </w:p>
    <w:p>
      <w:pPr>
        <w:spacing w:after="80" w:before="150"/>
      </w:pPr>
      <w:r>
        <w:rPr>
          <w:rFonts w:ascii="Arial" w:cs="Arial" w:eastAsia="Arial" w:hAnsi="Arial"/>
          <w:b/>
          <w:bCs/>
          <w:sz w:val="20"/>
          <w:szCs w:val="20"/>
        </w:rPr>
        <w:t xml:space="preserve">Klasyfikacja i kody odpadów (Katalog Odpadów Dz.U. 2020 poz. 10):</w:t>
      </w:r>
    </w:p>
    <w:p>
      <w:pPr>
        <w:spacing w:after="60" w:before="60"/>
      </w:pPr>
      <w:r>
        <w:rPr>
          <w:rFonts w:ascii="Arial" w:cs="Arial" w:eastAsia="Arial" w:hAnsi="Arial"/>
          <w:b/>
          <w:bCs/>
          <w:sz w:val="20"/>
          <w:szCs w:val="20"/>
        </w:rPr>
        <w:t xml:space="preserve">- Odpady z produktu (dla zastosowań profesjonalnych / przemysłowych):</w:t>
      </w:r>
      <w:r>
        <w:rPr>
          <w:rFonts w:ascii="Arial" w:cs="Arial" w:eastAsia="Arial" w:hAnsi="Arial"/>
          <w:sz w:val="20"/>
          <w:szCs w:val="20"/>
        </w:rPr>
        <w:t xml:space="preserve"> 14 06 03* (Inne rozpuszczalniki i mieszaniny rozpuszczalników).</w:t>
      </w:r>
    </w:p>
    <w:p>
      <w:pPr>
        <w:spacing w:after="60" w:before="60"/>
      </w:pPr>
      <w:r>
        <w:rPr>
          <w:rFonts w:ascii="Arial" w:cs="Arial" w:eastAsia="Arial" w:hAnsi="Arial"/>
          <w:b/>
          <w:bCs/>
          <w:sz w:val="20"/>
          <w:szCs w:val="20"/>
        </w:rPr>
        <w:t xml:space="preserve">- Odpady z produktu (dla konsumentów / odpady komunalne):</w:t>
      </w:r>
      <w:r>
        <w:rPr>
          <w:rFonts w:ascii="Arial" w:cs="Arial" w:eastAsia="Arial" w:hAnsi="Arial"/>
          <w:sz w:val="20"/>
          <w:szCs w:val="20"/>
        </w:rPr>
        <w:t xml:space="preserve"> 20 01 13* (Rozpuszczalniki).</w:t>
      </w:r>
    </w:p>
    <w:p>
      <w:pPr>
        <w:spacing w:after="60" w:before="60"/>
      </w:pPr>
      <w:r>
        <w:rPr>
          <w:rFonts w:ascii="Arial" w:cs="Arial" w:eastAsia="Arial" w:hAnsi="Arial"/>
          <w:b/>
          <w:bCs/>
          <w:sz w:val="20"/>
          <w:szCs w:val="20"/>
        </w:rPr>
        <w:t xml:space="preserve">- Odpady opakowaniowe:</w:t>
      </w:r>
      <w:r>
        <w:rPr>
          <w:rFonts w:ascii="Arial" w:cs="Arial" w:eastAsia="Arial" w:hAnsi="Arial"/>
          <w:sz w:val="20"/>
          <w:szCs w:val="20"/>
        </w:rPr>
        <w:t xml:space="preserve"> 15 01 02 (Opakowania z tworzyw sztucznych) [w przypadku opakowań zanieczyszczonych substancjami niebezpiecznymi: 15 01 10*].</w:t>
      </w:r>
    </w:p>
    <w:p>
      <w:pPr>
        <w:spacing w:after="80" w:before="80"/>
      </w:pPr>
      <w:r>
        <w:rPr>
          <w:rFonts w:ascii="Arial" w:cs="Arial" w:eastAsia="Arial" w:hAnsi="Arial"/>
          <w:b/>
          <w:bCs/>
          <w:sz w:val="20"/>
          <w:szCs w:val="20"/>
        </w:rPr>
        <w:t xml:space="preserve">Uwaga:</w:t>
      </w:r>
      <w:r>
        <w:rPr>
          <w:rFonts w:ascii="Arial" w:cs="Arial" w:eastAsia="Arial" w:hAnsi="Arial"/>
          <w:sz w:val="20"/>
          <w:szCs w:val="20"/>
        </w:rPr>
        <w:t xml:space="preserve"> Podane kody odpadów mają charakter zalecany. Szczegółowy i ostateczny kod odpadu musi zostać nadany bezpośrednio przez wytwórcę odpadu, w oparciu o miejsce, branżę i specyfikę jego powstawania (BDO).</w:t>
      </w:r>
    </w:p>
    <w:p>
      <w:pPr>
        <w:spacing w:after="80" w:before="150"/>
      </w:pPr>
      <w:r>
        <w:rPr>
          <w:rFonts w:ascii="Arial" w:cs="Arial" w:eastAsia="Arial" w:hAnsi="Arial"/>
          <w:b/>
          <w:bCs/>
          <w:sz w:val="20"/>
          <w:szCs w:val="20"/>
        </w:rPr>
        <w:t xml:space="preserve">Krajowe i unijne akty prawne dotyczące gospodarki odpadami:</w:t>
      </w:r>
    </w:p>
    <w:p>
      <w:pPr>
        <w:spacing w:after="80"/>
      </w:pPr>
      <w:r>
        <w:rPr>
          <w:rFonts w:ascii="Arial" w:cs="Arial" w:eastAsia="Arial" w:hAnsi="Arial"/>
          <w:sz w:val="20"/>
          <w:szCs w:val="20"/>
        </w:rPr>
        <w:t xml:space="preserve">- Ustawa z dnia 14 grudnia 2012 r. o odpadach (t.j. Dz.U. 2023 poz. 1587 z późn. zm.).</w:t>
      </w:r>
    </w:p>
    <w:p>
      <w:pPr>
        <w:spacing w:after="80"/>
      </w:pPr>
      <w:r>
        <w:rPr>
          <w:rFonts w:ascii="Arial" w:cs="Arial" w:eastAsia="Arial" w:hAnsi="Arial"/>
          <w:sz w:val="20"/>
          <w:szCs w:val="20"/>
        </w:rPr>
        <w:t xml:space="preserve">- Ustawa z dnia 13 czerwca 2013 r. o gospodarce opakowaniami i odpadami opakowaniowymi (t.j. Dz.U. 2023 poz. 1658 z późn. zm.).</w:t>
      </w:r>
    </w:p>
    <w:p>
      <w:pPr>
        <w:spacing w:after="80"/>
      </w:pPr>
      <w:r>
        <w:rPr>
          <w:rFonts w:ascii="Arial" w:cs="Arial" w:eastAsia="Arial" w:hAnsi="Arial"/>
          <w:sz w:val="20"/>
          <w:szCs w:val="20"/>
        </w:rPr>
        <w:t xml:space="preserve">- Rozporządzenie Ministra Klimatu z dnia 2 stycznia 2020 r. w sprawie katalogu odpadów (Dz.U. 2020 poz. 10).</w:t>
      </w:r>
    </w:p>
    <w:p>
      <w:pPr>
        <w:spacing w:after="80"/>
      </w:pPr>
      <w:r>
        <w:rPr>
          <w:rFonts w:ascii="Arial" w:cs="Arial" w:eastAsia="Arial" w:hAnsi="Arial"/>
          <w:sz w:val="20"/>
          <w:szCs w:val="20"/>
        </w:rPr>
        <w:t xml:space="preserve">- Dyrektywa Parlamentu Europejskiego i Rady 2008/98/WE z dnia 19 listopada 2008 r. w sprawie odpadów oraz uchylająca niektóre dyrektywy.</w:t>
      </w:r>
    </w:p>
    <w:p>
      <w:pPr>
        <w:pBdr>
          <w:bottom w:color="00A651" w:sz="12" w:space="1"/>
        </w:pBdr>
        <w:spacing w:after="150" w:before="300"/>
      </w:pPr>
      <w:r>
        <w:rPr>
          <w:b/>
          <w:bCs/>
          <w:sz w:val="22"/>
          <w:szCs w:val="22"/>
        </w:rPr>
        <w:t xml:space="preserve">SEKCJA 14: INFORMACJE DOTYCZĄCE TRANSPORTU</w:t>
      </w:r>
    </w:p>
    <w:p>
      <w:pPr>
        <w:spacing w:after="80"/>
      </w:pPr>
      <w:r>
        <w:rPr>
          <w:rFonts w:ascii="Arial" w:cs="Arial" w:eastAsia="Arial" w:hAnsi="Arial"/>
          <w:sz w:val="20"/>
          <w:szCs w:val="20"/>
        </w:rPr>
        <w:t xml:space="preserve">Produkt podlega przepisom dotyczącym międzynarodowego przewozu towarów niebezpiecznych (ADR/RID, IMDG, ICAO/IATA).</w:t>
      </w:r>
    </w:p>
    <w:p>
      <w:pPr>
        <w:spacing w:after="100" w:before="200"/>
      </w:pPr>
      <w:r>
        <w:rPr>
          <w:rFonts w:ascii="Arial" w:cs="Arial" w:eastAsia="Arial" w:hAnsi="Arial"/>
          <w:b/>
          <w:bCs/>
          <w:sz w:val="20"/>
          <w:szCs w:val="20"/>
        </w:rPr>
        <w:t xml:space="preserve">14.1. Numer UN lub numer identyfikacyjny ID</w:t>
      </w:r>
    </w:p>
    <w:p>
      <w:pPr>
        <w:spacing w:after="80"/>
      </w:pPr>
      <w:r>
        <w:rPr>
          <w:rFonts w:ascii="Arial" w:cs="Arial" w:eastAsia="Arial" w:hAnsi="Arial"/>
          <w:sz w:val="20"/>
          <w:szCs w:val="20"/>
        </w:rPr>
        <w:t xml:space="preserve">UN 1170</w:t>
      </w:r>
    </w:p>
    <w:p>
      <w:pPr>
        <w:spacing w:after="100" w:before="200"/>
      </w:pPr>
      <w:r>
        <w:rPr>
          <w:rFonts w:ascii="Arial" w:cs="Arial" w:eastAsia="Arial" w:hAnsi="Arial"/>
          <w:b/>
          <w:bCs/>
          <w:sz w:val="20"/>
          <w:szCs w:val="20"/>
        </w:rPr>
        <w:t xml:space="preserve">14.2. Prawidłowa nazwa przewozowa UN</w:t>
      </w:r>
    </w:p>
    <w:p>
      <w:pPr>
        <w:spacing w:after="80"/>
      </w:pPr>
      <w:r>
        <w:rPr>
          <w:rFonts w:ascii="Arial" w:cs="Arial" w:eastAsia="Arial" w:hAnsi="Arial"/>
          <w:sz w:val="20"/>
          <w:szCs w:val="20"/>
        </w:rPr>
        <w:t xml:space="preserve">ETANOL (ALKOHOL ETYLOWY) lub ETANOL W ROZTWORZE (ALKOHOL ETYLOWY W ROZTWORZE)</w:t>
      </w:r>
    </w:p>
    <w:p>
      <w:pPr>
        <w:spacing w:after="80" w:before="200"/>
      </w:pPr>
      <w:r>
        <w:rPr>
          <w:rFonts w:ascii="Arial" w:cs="Arial" w:eastAsia="Arial" w:hAnsi="Arial"/>
          <w:b/>
          <w:bCs/>
          <w:sz w:val="20"/>
          <w:szCs w:val="20"/>
        </w:rPr>
        <w:t xml:space="preserve">14.3. Klasa(-y) zagrożenia w transporcie</w:t>
      </w:r>
    </w:p>
    <w:p>
      <w:pPr>
        <w:spacing w:after="100" w:before="60"/>
      </w:pPr>
      <w:r>
        <w:drawing>
          <wp:inline distT="0" distB="0" distL="0" distR="0">
            <wp:extent cx="714375"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14375" cy="714375"/>
                    </a:xfrm>
                    <a:prstGeom prst="rect">
                      <a:avLst/>
                    </a:prstGeom>
                  </pic:spPr>
                </pic:pic>
              </a:graphicData>
            </a:graphic>
          </wp:inline>
        </w:drawing>
      </w:r>
    </w:p>
    <w:p>
      <w:pPr>
        <w:spacing w:after="80"/>
      </w:pPr>
      <w:r>
        <w:rPr>
          <w:rFonts w:ascii="Arial" w:cs="Arial" w:eastAsia="Arial" w:hAnsi="Arial"/>
          <w:sz w:val="20"/>
          <w:szCs w:val="20"/>
        </w:rPr>
        <w:t xml:space="preserve">ADR / RID, IMDG, IATA: Klasa 3 (Materiały ciekłe zapalne)</w:t>
      </w:r>
    </w:p>
    <w:p>
      <w:pPr>
        <w:spacing w:after="80" w:before="80"/>
      </w:pPr>
      <w:r>
        <w:rPr>
          <w:rFonts w:ascii="Arial" w:cs="Arial" w:eastAsia="Arial" w:hAnsi="Arial"/>
          <w:b/>
          <w:bCs/>
          <w:sz w:val="20"/>
          <w:szCs w:val="20"/>
        </w:rPr>
        <w:t xml:space="preserve">Nalepka ostrzegawcza:</w:t>
      </w:r>
      <w:r>
        <w:rPr>
          <w:rFonts w:ascii="Arial" w:cs="Arial" w:eastAsia="Arial" w:hAnsi="Arial"/>
          <w:sz w:val="20"/>
          <w:szCs w:val="20"/>
        </w:rPr>
        <w:t xml:space="preserve"> Nr 3</w:t>
      </w:r>
    </w:p>
    <w:p>
      <w:pPr>
        <w:spacing w:after="100" w:before="200"/>
      </w:pPr>
      <w:r>
        <w:rPr>
          <w:rFonts w:ascii="Arial" w:cs="Arial" w:eastAsia="Arial" w:hAnsi="Arial"/>
          <w:b/>
          <w:bCs/>
          <w:sz w:val="20"/>
          <w:szCs w:val="20"/>
        </w:rPr>
        <w:t xml:space="preserve">14.4. Grupa pakowania</w:t>
      </w:r>
    </w:p>
    <w:p>
      <w:pPr>
        <w:spacing w:after="80"/>
      </w:pPr>
      <w:r>
        <w:rPr>
          <w:rFonts w:ascii="Arial" w:cs="Arial" w:eastAsia="Arial" w:hAnsi="Arial"/>
          <w:sz w:val="20"/>
          <w:szCs w:val="20"/>
        </w:rPr>
        <w:t xml:space="preserve">Grupa pakowania ADR / RID, IMDG, IATA: II</w:t>
      </w:r>
    </w:p>
    <w:p>
      <w:pPr>
        <w:spacing w:after="100" w:before="200"/>
      </w:pPr>
      <w:r>
        <w:rPr>
          <w:rFonts w:ascii="Arial" w:cs="Arial" w:eastAsia="Arial" w:hAnsi="Arial"/>
          <w:b/>
          <w:bCs/>
          <w:sz w:val="20"/>
          <w:szCs w:val="20"/>
        </w:rPr>
        <w:t xml:space="preserve">14.5. Zagrożenia dla środowiska</w:t>
      </w:r>
    </w:p>
    <w:p>
      <w:pPr>
        <w:spacing w:after="80"/>
      </w:pPr>
      <w:r>
        <w:rPr>
          <w:rFonts w:ascii="Arial" w:cs="Arial" w:eastAsia="Arial" w:hAnsi="Arial"/>
          <w:sz w:val="20"/>
          <w:szCs w:val="20"/>
        </w:rPr>
        <w:t xml:space="preserve">Brak (produkt nie jest zaklasyfikowany jako stwarzający zagrożenie dla środowiska w transporcie).</w:t>
      </w:r>
    </w:p>
    <w:p>
      <w:pPr>
        <w:spacing w:after="100" w:before="200"/>
      </w:pPr>
      <w:r>
        <w:rPr>
          <w:rFonts w:ascii="Arial" w:cs="Arial" w:eastAsia="Arial" w:hAnsi="Arial"/>
          <w:b/>
          <w:bCs/>
          <w:sz w:val="20"/>
          <w:szCs w:val="20"/>
        </w:rPr>
        <w:t xml:space="preserve">14.6. Szczególne środki ostrożności dla użytkowników</w:t>
      </w:r>
    </w:p>
    <w:p>
      <w:pPr>
        <w:spacing w:after="60" w:before="80"/>
      </w:pPr>
      <w:r>
        <w:rPr>
          <w:rFonts w:ascii="Arial" w:cs="Arial" w:eastAsia="Arial" w:hAnsi="Arial"/>
          <w:b/>
          <w:bCs/>
          <w:sz w:val="20"/>
          <w:szCs w:val="20"/>
        </w:rPr>
        <w:t xml:space="preserve">Ilości ograniczone (LQ): </w:t>
      </w:r>
      <w:r>
        <w:rPr>
          <w:rFonts w:ascii="Arial" w:cs="Arial" w:eastAsia="Arial" w:hAnsi="Arial"/>
          <w:sz w:val="20"/>
          <w:szCs w:val="20"/>
        </w:rPr>
        <w:t xml:space="preserve">1 L</w:t>
      </w:r>
    </w:p>
    <w:p>
      <w:pPr>
        <w:spacing w:after="80" w:before="40"/>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66750" cy="666750"/>
                    </a:xfrm>
                    <a:prstGeom prst="rect">
                      <a:avLst/>
                    </a:prstGeom>
                  </pic:spPr>
                </pic:pic>
              </a:graphicData>
            </a:graphic>
          </wp:inline>
        </w:drawing>
      </w:r>
      <w:r>
        <w:rPr>
          <w:rFonts w:ascii="Arial" w:cs="Arial" w:eastAsia="Arial" w:hAnsi="Arial"/>
          <w:i/>
          <w:iCs/>
          <w:sz w:val="16"/>
          <w:szCs w:val="16"/>
        </w:rPr>
        <w:t xml:space="preserve">  Znak dla towarów pakowanych w ilościach ograniczonych (LQ) zgodnie z działem 3.4 Umowy ADR</w:t>
      </w:r>
    </w:p>
    <w:p>
      <w:pPr>
        <w:spacing w:after="80" w:before="80"/>
      </w:pPr>
      <w:r>
        <w:rPr>
          <w:rFonts w:ascii="Arial" w:cs="Arial" w:eastAsia="Arial" w:hAnsi="Arial"/>
          <w:b/>
          <w:bCs/>
          <w:sz w:val="20"/>
          <w:szCs w:val="20"/>
        </w:rPr>
        <w:t xml:space="preserve">Kod ograniczeń przewozu przez tunele:</w:t>
      </w:r>
      <w:r>
        <w:rPr>
          <w:rFonts w:ascii="Arial" w:cs="Arial" w:eastAsia="Arial" w:hAnsi="Arial"/>
          <w:sz w:val="20"/>
          <w:szCs w:val="20"/>
        </w:rPr>
        <w:t xml:space="preserve"> (D/E)</w:t>
      </w:r>
    </w:p>
    <w:p>
      <w:pPr>
        <w:spacing w:after="80"/>
      </w:pPr>
      <w:r>
        <w:rPr>
          <w:rFonts w:ascii="Arial" w:cs="Arial" w:eastAsia="Arial" w:hAnsi="Arial"/>
          <w:sz w:val="20"/>
          <w:szCs w:val="20"/>
        </w:rPr>
        <w:t xml:space="preserve">Transportować w szczelnie zamkniętych, certyfikowanych opakowaniach, zabezpieczonych przed przemieszczaniem i uszkodzeniami mechanicznymi.</w:t>
      </w:r>
    </w:p>
    <w:p>
      <w:pPr>
        <w:spacing w:after="80"/>
      </w:pPr>
      <w:r>
        <w:rPr>
          <w:rFonts w:ascii="Arial" w:cs="Arial" w:eastAsia="Arial" w:hAnsi="Arial"/>
          <w:sz w:val="20"/>
          <w:szCs w:val="20"/>
        </w:rPr>
        <w:t xml:space="preserve">Kierowca powinien posiadać stosowne uprawnienia ADR oraz wymagane wyposażenie ochronne pojazdu.</w:t>
      </w:r>
    </w:p>
    <w:p>
      <w:pPr>
        <w:spacing w:after="100" w:before="200"/>
      </w:pPr>
      <w:r>
        <w:rPr>
          <w:rFonts w:ascii="Arial" w:cs="Arial" w:eastAsia="Arial" w:hAnsi="Arial"/>
          <w:b/>
          <w:bCs/>
          <w:sz w:val="20"/>
          <w:szCs w:val="20"/>
        </w:rPr>
        <w:t xml:space="preserve">14.7. Transport morski luzem zgodnie z instrumentami IMO</w:t>
      </w:r>
    </w:p>
    <w:p>
      <w:pPr>
        <w:spacing w:after="80"/>
      </w:pPr>
      <w:r>
        <w:rPr>
          <w:rFonts w:ascii="Arial" w:cs="Arial" w:eastAsia="Arial" w:hAnsi="Arial"/>
          <w:sz w:val="20"/>
          <w:szCs w:val="20"/>
        </w:rPr>
        <w:t xml:space="preserve">Nie dotyczy (produkt nie jest przewożony luzem w chemikaliowcach morskich).</w:t>
      </w:r>
    </w:p>
    <w:p>
      <w:pPr>
        <w:pBdr>
          <w:bottom w:color="00A651" w:sz="12" w:space="1"/>
        </w:pBdr>
        <w:spacing w:after="150" w:before="300"/>
      </w:pPr>
      <w:r>
        <w:rPr>
          <w:b/>
          <w:bCs/>
          <w:sz w:val="22"/>
          <w:szCs w:val="22"/>
        </w:rPr>
        <w:t xml:space="preserve">SEKCJA 15: INFORMACJE DOTYCZĄCE PRZEPISÓW PRAWNYCH</w:t>
      </w:r>
    </w:p>
    <w:p>
      <w:pPr>
        <w:spacing w:after="100" w:before="200"/>
      </w:pPr>
      <w:r>
        <w:rPr>
          <w:rFonts w:ascii="Arial" w:cs="Arial" w:eastAsia="Arial" w:hAnsi="Arial"/>
          <w:b/>
          <w:bCs/>
          <w:sz w:val="20"/>
          <w:szCs w:val="20"/>
        </w:rPr>
        <w:t xml:space="preserve">15.1. Przepisy prawne dotyczące bezpieczeństwa, zdrowia i ochrony środowiska specyficzne dla substancji lub mieszaniny</w:t>
      </w:r>
    </w:p>
    <w:p>
      <w:pPr>
        <w:spacing w:after="80" w:before="150"/>
      </w:pPr>
      <w:r>
        <w:rPr>
          <w:rFonts w:ascii="Arial" w:cs="Arial" w:eastAsia="Arial" w:hAnsi="Arial"/>
          <w:b/>
          <w:bCs/>
          <w:sz w:val="20"/>
          <w:szCs w:val="20"/>
        </w:rPr>
        <w:t xml:space="preserve">Prawodawstwo Unii Europejskiej:</w:t>
      </w:r>
    </w:p>
    <w:p>
      <w:pPr>
        <w:spacing w:after="80"/>
      </w:pPr>
      <w:r>
        <w:rPr>
          <w:rFonts w:ascii="Arial" w:cs="Arial" w:eastAsia="Arial" w:hAnsi="Arial"/>
          <w:sz w:val="20"/>
          <w:szCs w:val="20"/>
        </w:rPr>
        <w:t xml:space="preserve">- Rozporządzenie (WE) nr 1907/2006 Parlamentu Europejskiego i Rady z dnia 18 grudnia 2006 r. w sprawie rejestracji, oceny, udzielania zezwoleń i stosowanych ograniczeń w zakresie chemikaliów (REACH) z późniejszymi zmianami.</w:t>
      </w:r>
    </w:p>
    <w:p>
      <w:pPr>
        <w:spacing w:after="80"/>
      </w:pPr>
      <w:r>
        <w:rPr>
          <w:rFonts w:ascii="Arial" w:cs="Arial" w:eastAsia="Arial" w:hAnsi="Arial"/>
          <w:sz w:val="20"/>
          <w:szCs w:val="20"/>
        </w:rPr>
        <w:t xml:space="preserve">- Rozporządzenie Komisji (UE) 2020/878 z dnia 18 czerwca 2020 r. zmieniające załącznik II do rozporządzenia (WE) nr 1907/2006 (wymogi dotyczące sporządzania kart charakterystyki).</w:t>
      </w:r>
    </w:p>
    <w:p>
      <w:pPr>
        <w:spacing w:after="80"/>
      </w:pPr>
      <w:r>
        <w:rPr>
          <w:rFonts w:ascii="Arial" w:cs="Arial" w:eastAsia="Arial" w:hAnsi="Arial"/>
          <w:sz w:val="20"/>
          <w:szCs w:val="20"/>
        </w:rPr>
        <w:t xml:space="preserve">- Rozporządzenie Parlamentu Europejskiego i Rady (WE) nr 1272/2008 z dnia 16 grudnia 2008 r. w sprawie klasyfikacji, oznakowania i pakowania substancji i mieszanin (CLP) z późniejszymi zmianami (kolejne ATP).</w:t>
      </w:r>
    </w:p>
    <w:p>
      <w:pPr>
        <w:spacing w:after="60" w:before="60"/>
      </w:pPr>
      <w:r>
        <w:rPr>
          <w:rFonts w:ascii="Arial" w:cs="Arial" w:eastAsia="Arial" w:hAnsi="Arial"/>
          <w:b/>
          <w:bCs/>
          <w:sz w:val="20"/>
          <w:szCs w:val="20"/>
        </w:rPr>
        <w:t xml:space="preserve">- Substancje wzbudzające szczególnie duże obawy (SVHC – REACH załącznik XIV):</w:t>
      </w:r>
      <w:r>
        <w:rPr>
          <w:rFonts w:ascii="Arial" w:cs="Arial" w:eastAsia="Arial" w:hAnsi="Arial"/>
          <w:sz w:val="20"/>
          <w:szCs w:val="20"/>
        </w:rPr>
        <w:t xml:space="preserve"> Mieszanina nie zawiera substancji z listy kandydackiej SVHC podlegających procedurze udzielania zezwoleń (REACH załącznik XIV) w stężeniu ≥ 0,1% wag.</w:t>
      </w:r>
    </w:p>
    <w:p>
      <w:pPr>
        <w:spacing w:after="60" w:before="60"/>
      </w:pPr>
      <w:r>
        <w:rPr>
          <w:rFonts w:ascii="Arial" w:cs="Arial" w:eastAsia="Arial" w:hAnsi="Arial"/>
          <w:b/>
          <w:bCs/>
          <w:sz w:val="20"/>
          <w:szCs w:val="20"/>
        </w:rPr>
        <w:t xml:space="preserve">- Ograniczenia dotyczące produkcji, wprowadzania do obrotu i stosowania niektórych niebezpiecznych substancji (REACH załącznik XVII):</w:t>
      </w:r>
      <w:r>
        <w:rPr>
          <w:rFonts w:ascii="Arial" w:cs="Arial" w:eastAsia="Arial" w:hAnsi="Arial"/>
          <w:sz w:val="20"/>
          <w:szCs w:val="20"/>
        </w:rPr>
        <w:t xml:space="preserve"/>
      </w:r>
    </w:p>
    <w:p>
      <w:pPr>
        <w:spacing w:after="80"/>
      </w:pPr>
      <w:r>
        <w:rPr>
          <w:rFonts w:ascii="Arial" w:cs="Arial" w:eastAsia="Arial" w:hAnsi="Arial"/>
          <w:sz w:val="20"/>
          <w:szCs w:val="20"/>
        </w:rPr>
        <w:t xml:space="preserve">* Produkt podlega ograniczeniom wynikającym z pozycji 3 (Ciekłe substancje lub mieszaniny stwarzające zagrożenie w rozumieniu rozporządzenia CLP) oraz pozycji 40 (Substancje zaklasyfikowane jako ciecze łatwopalne kategorii 1, 2 lub 3).</w:t>
      </w:r>
    </w:p>
    <w:p>
      <w:pPr>
        <w:spacing w:after="80"/>
      </w:pPr>
      <w:r>
        <w:rPr>
          <w:rFonts w:ascii="Arial" w:cs="Arial" w:eastAsia="Arial" w:hAnsi="Arial"/>
          <w:sz w:val="20"/>
          <w:szCs w:val="20"/>
        </w:rPr>
        <w:t xml:space="preserve">* Substancje zawarte w mieszaninie podlegają ograniczeniom wynikającym z pozycji 75 (Substancje w tuszach do tatuażu i makijażu permanentnego).</w:t>
      </w:r>
    </w:p>
    <w:p>
      <w:pPr>
        <w:spacing w:after="60" w:before="60"/>
      </w:pPr>
      <w:r>
        <w:rPr>
          <w:rFonts w:ascii="Arial" w:cs="Arial" w:eastAsia="Arial" w:hAnsi="Arial"/>
          <w:b/>
          <w:bCs/>
          <w:sz w:val="20"/>
          <w:szCs w:val="20"/>
        </w:rPr>
        <w:t xml:space="preserve">- Dyrektywa Seveso III (2012/18/UE) / Rozporządzenie Ministra Rozwoju z dnia 29 stycznia 2016 r. (Dz.U. 2016 poz. 138):</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Kategoria zagrożenia:</w:t>
      </w:r>
      <w:r>
        <w:rPr>
          <w:rFonts w:ascii="Arial" w:cs="Arial" w:eastAsia="Arial" w:hAnsi="Arial"/>
          <w:sz w:val="20"/>
          <w:szCs w:val="20"/>
        </w:rPr>
        <w:t xml:space="preserve"> P5c CIECZE ŁATWOPALNE.</w:t>
      </w:r>
    </w:p>
    <w:p>
      <w:pPr>
        <w:spacing w:after="60" w:before="60"/>
      </w:pPr>
      <w:r>
        <w:rPr>
          <w:rFonts w:ascii="Arial" w:cs="Arial" w:eastAsia="Arial" w:hAnsi="Arial"/>
          <w:b/>
          <w:bCs/>
          <w:sz w:val="20"/>
          <w:szCs w:val="20"/>
        </w:rPr>
        <w:t xml:space="preserve">* Ilości progowe substancji niebezpiecznych decydujące o zaliczeniu zakładu:</w:t>
      </w:r>
      <w:r>
        <w:rPr>
          <w:rFonts w:ascii="Arial" w:cs="Arial" w:eastAsia="Arial" w:hAnsi="Arial"/>
          <w:sz w:val="20"/>
          <w:szCs w:val="20"/>
        </w:rPr>
        <w:t xml:space="preserve"> Zakład o Zwiększonym Ryzyku (ZZR) – 5 000 t; Zakład o Dużym Ryzyku (ZDR) – 50 000 t.</w:t>
      </w:r>
    </w:p>
    <w:p>
      <w:pPr>
        <w:spacing w:after="60" w:before="60"/>
      </w:pPr>
      <w:r>
        <w:rPr>
          <w:rFonts w:ascii="Arial" w:cs="Arial" w:eastAsia="Arial" w:hAnsi="Arial"/>
          <w:b/>
          <w:bCs/>
          <w:sz w:val="20"/>
          <w:szCs w:val="20"/>
        </w:rPr>
        <w:t xml:space="preserve">- Rozporządzenie Parlamentu Europejskiego i Rady (UE) nr 649/2012 z dnia 4 lipca 2012 r. dotyczące wywozu i przywozu niebezpiecznych chemikaliów (PIC):</w:t>
      </w:r>
      <w:r>
        <w:rPr>
          <w:rFonts w:ascii="Arial" w:cs="Arial" w:eastAsia="Arial" w:hAnsi="Arial"/>
          <w:sz w:val="20"/>
          <w:szCs w:val="20"/>
        </w:rPr>
        <w:t xml:space="preserve"> Nie dotyczy.</w:t>
      </w:r>
    </w:p>
    <w:p>
      <w:pPr>
        <w:spacing w:after="80" w:before="150"/>
      </w:pPr>
      <w:r>
        <w:rPr>
          <w:rFonts w:ascii="Arial" w:cs="Arial" w:eastAsia="Arial" w:hAnsi="Arial"/>
          <w:b/>
          <w:bCs/>
          <w:sz w:val="20"/>
          <w:szCs w:val="20"/>
        </w:rPr>
        <w:t xml:space="preserve">Prawodawstwo Rzeczypospolitej Polskiej:</w:t>
      </w:r>
    </w:p>
    <w:p>
      <w:pPr>
        <w:spacing w:after="80"/>
      </w:pPr>
      <w:r>
        <w:rPr>
          <w:rFonts w:ascii="Arial" w:cs="Arial" w:eastAsia="Arial" w:hAnsi="Arial"/>
          <w:sz w:val="20"/>
          <w:szCs w:val="20"/>
        </w:rPr>
        <w:t xml:space="preserve">- Ustawa z dnia 25 lutego 2011 r. o substancjach chemicznych i ich mieszaninach (t.j. Dz.U. 2022 poz. 1816 z późn. zm.).</w:t>
      </w:r>
    </w:p>
    <w:p>
      <w:pPr>
        <w:spacing w:after="80"/>
      </w:pPr>
      <w:r>
        <w:rPr>
          <w:rFonts w:ascii="Arial" w:cs="Arial" w:eastAsia="Arial" w:hAnsi="Arial"/>
          <w:sz w:val="20"/>
          <w:szCs w:val="20"/>
        </w:rPr>
        <w:t xml:space="preserve">- Rozporządzenie Ministra Rodziny, Pracy i Polityki Społecznej z dnia 12 czerwca 2018 r. w sprawie najwyższych dopuszczalnych stężeń i natężeń czynników szkodliwych dla zdrowia w środowisku pracy (Dz.U. 2018 poz. 1286 z późn. zm.).</w:t>
      </w:r>
    </w:p>
    <w:p>
      <w:pPr>
        <w:spacing w:after="80"/>
      </w:pPr>
      <w:r>
        <w:rPr>
          <w:rFonts w:ascii="Arial" w:cs="Arial" w:eastAsia="Arial" w:hAnsi="Arial"/>
          <w:sz w:val="20"/>
          <w:szCs w:val="20"/>
        </w:rPr>
        <w:t xml:space="preserve">- Ustawa z dnia 14 grudnia 2012 r. o odpadach (t.j. Dz.U. 2023 poz. 1587 z późn. zm.).</w:t>
      </w:r>
    </w:p>
    <w:p>
      <w:pPr>
        <w:spacing w:after="80"/>
      </w:pPr>
      <w:r>
        <w:rPr>
          <w:rFonts w:ascii="Arial" w:cs="Arial" w:eastAsia="Arial" w:hAnsi="Arial"/>
          <w:sz w:val="20"/>
          <w:szCs w:val="20"/>
        </w:rPr>
        <w:t xml:space="preserve">- Ustawa z dnia 13 czerwca 2013 r. o gospodarce opakowaniami i odpadami opakowaniowymi (t.j. Dz.U. 2023 poz. 1658 z późn. zm.).</w:t>
      </w:r>
    </w:p>
    <w:p>
      <w:pPr>
        <w:spacing w:after="80"/>
      </w:pPr>
      <w:r>
        <w:rPr>
          <w:rFonts w:ascii="Arial" w:cs="Arial" w:eastAsia="Arial" w:hAnsi="Arial"/>
          <w:sz w:val="20"/>
          <w:szCs w:val="20"/>
        </w:rPr>
        <w:t xml:space="preserve">- Rozporządzenie Ministra Klimatu z dnia 2 stycznia 2020 r. w sprawie katalogu odpadów (Dz.U. 2020 poz. 10).</w:t>
      </w:r>
    </w:p>
    <w:p>
      <w:pPr>
        <w:spacing w:after="80"/>
      </w:pPr>
      <w:r>
        <w:rPr>
          <w:rFonts w:ascii="Arial" w:cs="Arial" w:eastAsia="Arial" w:hAnsi="Arial"/>
          <w:sz w:val="20"/>
          <w:szCs w:val="20"/>
        </w:rPr>
        <w:t xml:space="preserve">- Ustawa z dnia 19 sierpnia 2011 r. o przewozie towarów niebezpiecznych (t.j. Dz.U. 2024 poz. 643 z późn. zm.) wraz z oświadczeniami rządowymi w sprawie Umowy europejskiej dotyczącej międzynarodowego przewozu drogowego towarów niebezpiecznych (ADR).</w:t>
      </w:r>
    </w:p>
    <w:p>
      <w:pPr>
        <w:spacing w:after="80"/>
      </w:pPr>
      <w:r>
        <w:rPr>
          <w:rFonts w:ascii="Arial" w:cs="Arial" w:eastAsia="Arial" w:hAnsi="Arial"/>
          <w:sz w:val="20"/>
          <w:szCs w:val="20"/>
        </w:rPr>
        <w:t xml:space="preserve">- Rozporządzenie Ministra Zdrowia z dnia 30 grudnia 2004 r. w sprawie bezpieczeństwa i higieny pracy związanej z występowaniem w miejscu pracy czynników chemicznych (t.j. Dz.U. 2016 poz. 1488).</w:t>
      </w:r>
    </w:p>
    <w:p>
      <w:pPr>
        <w:spacing w:after="80"/>
      </w:pPr>
      <w:r>
        <w:rPr>
          <w:rFonts w:ascii="Arial" w:cs="Arial" w:eastAsia="Arial" w:hAnsi="Arial"/>
          <w:sz w:val="20"/>
          <w:szCs w:val="20"/>
        </w:rPr>
        <w:t xml:space="preserve">- Rozporządzenie Ministra Zdrowia z dnia 2 lutego 2011 r. w sprawie badań i pomiarów czynników szkodliwych dla zdrowia w środowisku pracy (t.j. Dz.U. 2023 poz. 419).</w:t>
      </w:r>
    </w:p>
    <w:p>
      <w:pPr>
        <w:spacing w:after="80"/>
      </w:pPr>
      <w:r>
        <w:rPr>
          <w:rFonts w:ascii="Arial" w:cs="Arial" w:eastAsia="Arial" w:hAnsi="Arial"/>
          <w:sz w:val="20"/>
          <w:szCs w:val="20"/>
        </w:rPr>
        <w:t xml:space="preserve">- Ustawa z dnia 26 czerwca 1974 r. – Kodeks pracy (t.j. Dz.U. 2023 poz. 1465 z późn. zm.).</w:t>
      </w:r>
    </w:p>
    <w:p>
      <w:pPr>
        <w:spacing w:after="100" w:before="200"/>
      </w:pPr>
      <w:r>
        <w:rPr>
          <w:rFonts w:ascii="Arial" w:cs="Arial" w:eastAsia="Arial" w:hAnsi="Arial"/>
          <w:b/>
          <w:bCs/>
          <w:sz w:val="20"/>
          <w:szCs w:val="20"/>
        </w:rPr>
        <w:t xml:space="preserve">15.2. Ocena bezpieczeństwa chemicznego</w:t>
      </w:r>
    </w:p>
    <w:p>
      <w:pPr>
        <w:spacing w:after="80"/>
      </w:pPr>
      <w:r>
        <w:rPr>
          <w:rFonts w:ascii="Arial" w:cs="Arial" w:eastAsia="Arial" w:hAnsi="Arial"/>
          <w:sz w:val="20"/>
          <w:szCs w:val="20"/>
        </w:rPr>
        <w:t xml:space="preserve">Dla mieszaniny nie dokonano oceny bezpieczeństwa chemicznego (dla mieszanin nie jest ona wymagana zgodnie z art. 14 rozporządzenia REACH).</w:t>
      </w:r>
    </w:p>
    <w:p>
      <w:pPr>
        <w:pBdr>
          <w:bottom w:color="00A651" w:sz="12" w:space="1"/>
        </w:pBdr>
        <w:spacing w:after="150" w:before="300"/>
      </w:pPr>
      <w:r>
        <w:rPr>
          <w:b/>
          <w:bCs/>
          <w:sz w:val="22"/>
          <w:szCs w:val="22"/>
        </w:rPr>
        <w:t xml:space="preserve">SEKCJA 16: INNE INFORMACJE</w:t>
      </w:r>
    </w:p>
    <w:p>
      <w:pPr>
        <w:spacing w:after="80" w:before="150"/>
      </w:pPr>
      <w:r>
        <w:rPr>
          <w:rFonts w:ascii="Arial" w:cs="Arial" w:eastAsia="Arial" w:hAnsi="Arial"/>
          <w:b/>
          <w:bCs/>
          <w:sz w:val="20"/>
          <w:szCs w:val="20"/>
        </w:rPr>
        <w:t xml:space="preserve">Pełne brzmienie zwrotów H i EUH przytoczonych w sekcjach 2 i 3 karty charakterystyki:</w:t>
      </w:r>
    </w:p>
    <w:p>
      <w:pPr>
        <w:spacing w:after="80" w:before="80"/>
      </w:pPr>
      <w:r>
        <w:rPr>
          <w:rFonts w:ascii="Arial" w:cs="Arial" w:eastAsia="Arial" w:hAnsi="Arial"/>
          <w:b/>
          <w:bCs/>
          <w:sz w:val="20"/>
          <w:szCs w:val="20"/>
        </w:rPr>
        <w:t xml:space="preserve">H225:</w:t>
      </w:r>
      <w:r>
        <w:rPr>
          <w:rFonts w:ascii="Arial" w:cs="Arial" w:eastAsia="Arial" w:hAnsi="Arial"/>
          <w:sz w:val="20"/>
          <w:szCs w:val="20"/>
        </w:rPr>
        <w:t xml:space="preserve"> Wysoce łatwopalna ciecz i pary.</w:t>
      </w:r>
    </w:p>
    <w:p>
      <w:pPr>
        <w:spacing w:after="80" w:before="80"/>
      </w:pPr>
      <w:r>
        <w:rPr>
          <w:rFonts w:ascii="Arial" w:cs="Arial" w:eastAsia="Arial" w:hAnsi="Arial"/>
          <w:b/>
          <w:bCs/>
          <w:sz w:val="20"/>
          <w:szCs w:val="20"/>
        </w:rPr>
        <w:t xml:space="preserve">H301:</w:t>
      </w:r>
      <w:r>
        <w:rPr>
          <w:rFonts w:ascii="Arial" w:cs="Arial" w:eastAsia="Arial" w:hAnsi="Arial"/>
          <w:sz w:val="20"/>
          <w:szCs w:val="20"/>
        </w:rPr>
        <w:t xml:space="preserve"> Działa toksycznie po połknięciu.</w:t>
      </w:r>
    </w:p>
    <w:p>
      <w:pPr>
        <w:spacing w:after="80" w:before="80"/>
      </w:pPr>
      <w:r>
        <w:rPr>
          <w:rFonts w:ascii="Arial" w:cs="Arial" w:eastAsia="Arial" w:hAnsi="Arial"/>
          <w:b/>
          <w:bCs/>
          <w:sz w:val="20"/>
          <w:szCs w:val="20"/>
        </w:rPr>
        <w:t xml:space="preserve">H302:</w:t>
      </w:r>
      <w:r>
        <w:rPr>
          <w:rFonts w:ascii="Arial" w:cs="Arial" w:eastAsia="Arial" w:hAnsi="Arial"/>
          <w:sz w:val="20"/>
          <w:szCs w:val="20"/>
        </w:rPr>
        <w:t xml:space="preserve"> Działa szkodliwie po połknięciu.</w:t>
      </w:r>
    </w:p>
    <w:p>
      <w:pPr>
        <w:spacing w:after="80" w:before="80"/>
      </w:pPr>
      <w:r>
        <w:rPr>
          <w:rFonts w:ascii="Arial" w:cs="Arial" w:eastAsia="Arial" w:hAnsi="Arial"/>
          <w:b/>
          <w:bCs/>
          <w:sz w:val="20"/>
          <w:szCs w:val="20"/>
        </w:rPr>
        <w:t xml:space="preserve">H304:</w:t>
      </w:r>
      <w:r>
        <w:rPr>
          <w:rFonts w:ascii="Arial" w:cs="Arial" w:eastAsia="Arial" w:hAnsi="Arial"/>
          <w:sz w:val="20"/>
          <w:szCs w:val="20"/>
        </w:rPr>
        <w:t xml:space="preserve"> Połknięcie i dostanie się przez drogi oddechowe może grozić śmiercią.</w:t>
      </w:r>
    </w:p>
    <w:p>
      <w:pPr>
        <w:spacing w:after="80" w:before="80"/>
      </w:pPr>
      <w:r>
        <w:rPr>
          <w:rFonts w:ascii="Arial" w:cs="Arial" w:eastAsia="Arial" w:hAnsi="Arial"/>
          <w:b/>
          <w:bCs/>
          <w:sz w:val="20"/>
          <w:szCs w:val="20"/>
        </w:rPr>
        <w:t xml:space="preserve">H311:</w:t>
      </w:r>
      <w:r>
        <w:rPr>
          <w:rFonts w:ascii="Arial" w:cs="Arial" w:eastAsia="Arial" w:hAnsi="Arial"/>
          <w:sz w:val="20"/>
          <w:szCs w:val="20"/>
        </w:rPr>
        <w:t xml:space="preserve"> Działa toksycznie w kontakcie ze skórą.</w:t>
      </w:r>
    </w:p>
    <w:p>
      <w:pPr>
        <w:spacing w:after="80" w:before="80"/>
      </w:pPr>
      <w:r>
        <w:rPr>
          <w:rFonts w:ascii="Arial" w:cs="Arial" w:eastAsia="Arial" w:hAnsi="Arial"/>
          <w:b/>
          <w:bCs/>
          <w:sz w:val="20"/>
          <w:szCs w:val="20"/>
        </w:rPr>
        <w:t xml:space="preserve">H315:</w:t>
      </w:r>
      <w:r>
        <w:rPr>
          <w:rFonts w:ascii="Arial" w:cs="Arial" w:eastAsia="Arial" w:hAnsi="Arial"/>
          <w:sz w:val="20"/>
          <w:szCs w:val="20"/>
        </w:rPr>
        <w:t xml:space="preserve"> Działa drażniąco na skórę.</w:t>
      </w:r>
    </w:p>
    <w:p>
      <w:pPr>
        <w:spacing w:after="80" w:before="80"/>
      </w:pPr>
      <w:r>
        <w:rPr>
          <w:rFonts w:ascii="Arial" w:cs="Arial" w:eastAsia="Arial" w:hAnsi="Arial"/>
          <w:b/>
          <w:bCs/>
          <w:sz w:val="20"/>
          <w:szCs w:val="20"/>
        </w:rPr>
        <w:t xml:space="preserve">H317:</w:t>
      </w:r>
      <w:r>
        <w:rPr>
          <w:rFonts w:ascii="Arial" w:cs="Arial" w:eastAsia="Arial" w:hAnsi="Arial"/>
          <w:sz w:val="20"/>
          <w:szCs w:val="20"/>
        </w:rPr>
        <w:t xml:space="preserve"> Może powodować reakcję alergiczną skóry.</w:t>
      </w:r>
    </w:p>
    <w:p>
      <w:pPr>
        <w:spacing w:after="80" w:before="80"/>
      </w:pPr>
      <w:r>
        <w:rPr>
          <w:rFonts w:ascii="Arial" w:cs="Arial" w:eastAsia="Arial" w:hAnsi="Arial"/>
          <w:b/>
          <w:bCs/>
          <w:sz w:val="20"/>
          <w:szCs w:val="20"/>
        </w:rPr>
        <w:t xml:space="preserve">H319:</w:t>
      </w:r>
      <w:r>
        <w:rPr>
          <w:rFonts w:ascii="Arial" w:cs="Arial" w:eastAsia="Arial" w:hAnsi="Arial"/>
          <w:sz w:val="20"/>
          <w:szCs w:val="20"/>
        </w:rPr>
        <w:t xml:space="preserve"> Działa drażniąco na oczy.</w:t>
      </w:r>
    </w:p>
    <w:p>
      <w:pPr>
        <w:spacing w:after="80" w:before="80"/>
      </w:pPr>
      <w:r>
        <w:rPr>
          <w:rFonts w:ascii="Arial" w:cs="Arial" w:eastAsia="Arial" w:hAnsi="Arial"/>
          <w:b/>
          <w:bCs/>
          <w:sz w:val="20"/>
          <w:szCs w:val="20"/>
        </w:rPr>
        <w:t xml:space="preserve">H331:</w:t>
      </w:r>
      <w:r>
        <w:rPr>
          <w:rFonts w:ascii="Arial" w:cs="Arial" w:eastAsia="Arial" w:hAnsi="Arial"/>
          <w:sz w:val="20"/>
          <w:szCs w:val="20"/>
        </w:rPr>
        <w:t xml:space="preserve"> Działa toksycznie w następstwie wdychania.</w:t>
      </w:r>
    </w:p>
    <w:p>
      <w:pPr>
        <w:spacing w:after="80" w:before="80"/>
      </w:pPr>
      <w:r>
        <w:rPr>
          <w:rFonts w:ascii="Arial" w:cs="Arial" w:eastAsia="Arial" w:hAnsi="Arial"/>
          <w:b/>
          <w:bCs/>
          <w:sz w:val="20"/>
          <w:szCs w:val="20"/>
        </w:rPr>
        <w:t xml:space="preserve">H336:</w:t>
      </w:r>
      <w:r>
        <w:rPr>
          <w:rFonts w:ascii="Arial" w:cs="Arial" w:eastAsia="Arial" w:hAnsi="Arial"/>
          <w:sz w:val="20"/>
          <w:szCs w:val="20"/>
        </w:rPr>
        <w:t xml:space="preserve"> Może wywoływać uczucie senności lub zawroty głowy.</w:t>
      </w:r>
    </w:p>
    <w:p>
      <w:pPr>
        <w:spacing w:after="80" w:before="80"/>
      </w:pPr>
      <w:r>
        <w:rPr>
          <w:rFonts w:ascii="Arial" w:cs="Arial" w:eastAsia="Arial" w:hAnsi="Arial"/>
          <w:b/>
          <w:bCs/>
          <w:sz w:val="20"/>
          <w:szCs w:val="20"/>
        </w:rPr>
        <w:t xml:space="preserve">H361d:</w:t>
      </w:r>
      <w:r>
        <w:rPr>
          <w:rFonts w:ascii="Arial" w:cs="Arial" w:eastAsia="Arial" w:hAnsi="Arial"/>
          <w:sz w:val="20"/>
          <w:szCs w:val="20"/>
        </w:rPr>
        <w:t xml:space="preserve"> Podejrzewa się, że działa szkodliwie na dziecko w łonie matki.</w:t>
      </w:r>
    </w:p>
    <w:p>
      <w:pPr>
        <w:spacing w:after="80" w:before="80"/>
      </w:pPr>
      <w:r>
        <w:rPr>
          <w:rFonts w:ascii="Arial" w:cs="Arial" w:eastAsia="Arial" w:hAnsi="Arial"/>
          <w:b/>
          <w:bCs/>
          <w:sz w:val="20"/>
          <w:szCs w:val="20"/>
        </w:rPr>
        <w:t xml:space="preserve">H370:</w:t>
      </w:r>
      <w:r>
        <w:rPr>
          <w:rFonts w:ascii="Arial" w:cs="Arial" w:eastAsia="Arial" w:hAnsi="Arial"/>
          <w:sz w:val="20"/>
          <w:szCs w:val="20"/>
        </w:rPr>
        <w:t xml:space="preserve"> Powoduje uszkodzenie narządów.</w:t>
      </w:r>
    </w:p>
    <w:p>
      <w:pPr>
        <w:spacing w:after="80" w:before="80"/>
      </w:pPr>
      <w:r>
        <w:rPr>
          <w:rFonts w:ascii="Arial" w:cs="Arial" w:eastAsia="Arial" w:hAnsi="Arial"/>
          <w:b/>
          <w:bCs/>
          <w:sz w:val="20"/>
          <w:szCs w:val="20"/>
        </w:rPr>
        <w:t xml:space="preserve">H371:</w:t>
      </w:r>
      <w:r>
        <w:rPr>
          <w:rFonts w:ascii="Arial" w:cs="Arial" w:eastAsia="Arial" w:hAnsi="Arial"/>
          <w:sz w:val="20"/>
          <w:szCs w:val="20"/>
        </w:rPr>
        <w:t xml:space="preserve"> Może powodować uszkodzenie narządów.</w:t>
      </w:r>
    </w:p>
    <w:p>
      <w:pPr>
        <w:spacing w:after="80" w:before="80"/>
      </w:pPr>
      <w:r>
        <w:rPr>
          <w:rFonts w:ascii="Arial" w:cs="Arial" w:eastAsia="Arial" w:hAnsi="Arial"/>
          <w:b/>
          <w:bCs/>
          <w:sz w:val="20"/>
          <w:szCs w:val="20"/>
        </w:rPr>
        <w:t xml:space="preserve">H373:</w:t>
      </w:r>
      <w:r>
        <w:rPr>
          <w:rFonts w:ascii="Arial" w:cs="Arial" w:eastAsia="Arial" w:hAnsi="Arial"/>
          <w:sz w:val="20"/>
          <w:szCs w:val="20"/>
        </w:rPr>
        <w:t xml:space="preserve"> Może powodować uszkodzenie narządów poprzez długotrwałe lub narażenie powtarzane.</w:t>
      </w:r>
    </w:p>
    <w:p>
      <w:pPr>
        <w:spacing w:after="80" w:before="80"/>
      </w:pPr>
      <w:r>
        <w:rPr>
          <w:rFonts w:ascii="Arial" w:cs="Arial" w:eastAsia="Arial" w:hAnsi="Arial"/>
          <w:b/>
          <w:bCs/>
          <w:sz w:val="20"/>
          <w:szCs w:val="20"/>
        </w:rPr>
        <w:t xml:space="preserve">H400:</w:t>
      </w:r>
      <w:r>
        <w:rPr>
          <w:rFonts w:ascii="Arial" w:cs="Arial" w:eastAsia="Arial" w:hAnsi="Arial"/>
          <w:sz w:val="20"/>
          <w:szCs w:val="20"/>
        </w:rPr>
        <w:t xml:space="preserve"> Działa bardzo toksycznie na organizmy wodne.</w:t>
      </w:r>
    </w:p>
    <w:p>
      <w:pPr>
        <w:spacing w:after="80" w:before="80"/>
      </w:pPr>
      <w:r>
        <w:rPr>
          <w:rFonts w:ascii="Arial" w:cs="Arial" w:eastAsia="Arial" w:hAnsi="Arial"/>
          <w:b/>
          <w:bCs/>
          <w:sz w:val="20"/>
          <w:szCs w:val="20"/>
        </w:rPr>
        <w:t xml:space="preserve">H410:</w:t>
      </w:r>
      <w:r>
        <w:rPr>
          <w:rFonts w:ascii="Arial" w:cs="Arial" w:eastAsia="Arial" w:hAnsi="Arial"/>
          <w:sz w:val="20"/>
          <w:szCs w:val="20"/>
        </w:rPr>
        <w:t xml:space="preserve"> Działa bardzo toksycznie na organizmy wodne, powodując długotrwałe skutki.</w:t>
      </w:r>
    </w:p>
    <w:p>
      <w:pPr>
        <w:spacing w:after="80" w:before="80"/>
      </w:pPr>
      <w:r>
        <w:rPr>
          <w:rFonts w:ascii="Arial" w:cs="Arial" w:eastAsia="Arial" w:hAnsi="Arial"/>
          <w:b/>
          <w:bCs/>
          <w:sz w:val="20"/>
          <w:szCs w:val="20"/>
        </w:rPr>
        <w:t xml:space="preserve">H411:</w:t>
      </w:r>
      <w:r>
        <w:rPr>
          <w:rFonts w:ascii="Arial" w:cs="Arial" w:eastAsia="Arial" w:hAnsi="Arial"/>
          <w:sz w:val="20"/>
          <w:szCs w:val="20"/>
        </w:rPr>
        <w:t xml:space="preserve"> Działa toksycznie na organizmy wodne, powodując długotrwałe skutki.</w:t>
      </w:r>
    </w:p>
    <w:p>
      <w:pPr>
        <w:spacing w:after="80" w:before="80"/>
      </w:pPr>
      <w:r>
        <w:rPr>
          <w:rFonts w:ascii="Arial" w:cs="Arial" w:eastAsia="Arial" w:hAnsi="Arial"/>
          <w:b/>
          <w:bCs/>
          <w:sz w:val="20"/>
          <w:szCs w:val="20"/>
        </w:rPr>
        <w:t xml:space="preserve">H412:</w:t>
      </w:r>
      <w:r>
        <w:rPr>
          <w:rFonts w:ascii="Arial" w:cs="Arial" w:eastAsia="Arial" w:hAnsi="Arial"/>
          <w:sz w:val="20"/>
          <w:szCs w:val="20"/>
        </w:rPr>
        <w:t xml:space="preserve"> Działa szkodliwie na organizmy wodne, powodując długotrwałe skutki.</w:t>
      </w:r>
    </w:p>
    <w:p>
      <w:pPr>
        <w:spacing w:after="80" w:before="80"/>
      </w:pPr>
      <w:r>
        <w:rPr>
          <w:rFonts w:ascii="Arial" w:cs="Arial" w:eastAsia="Arial" w:hAnsi="Arial"/>
          <w:b/>
          <w:bCs/>
          <w:sz w:val="20"/>
          <w:szCs w:val="20"/>
        </w:rPr>
        <w:t xml:space="preserve">EUH066:</w:t>
      </w:r>
      <w:r>
        <w:rPr>
          <w:rFonts w:ascii="Arial" w:cs="Arial" w:eastAsia="Arial" w:hAnsi="Arial"/>
          <w:sz w:val="20"/>
          <w:szCs w:val="20"/>
        </w:rPr>
        <w:t xml:space="preserve"> Powtarzające się narażenie może powodować wysuszanie lub pękanie skóry.</w:t>
      </w:r>
    </w:p>
    <w:p>
      <w:pPr>
        <w:spacing w:after="80" w:before="80"/>
      </w:pPr>
      <w:r>
        <w:rPr>
          <w:rFonts w:ascii="Arial" w:cs="Arial" w:eastAsia="Arial" w:hAnsi="Arial"/>
          <w:b/>
          <w:bCs/>
          <w:sz w:val="20"/>
          <w:szCs w:val="20"/>
        </w:rPr>
        <w:t xml:space="preserve">EUH208:</w:t>
      </w:r>
      <w:r>
        <w:rPr>
          <w:rFonts w:ascii="Arial" w:cs="Arial" w:eastAsia="Arial" w:hAnsi="Arial"/>
          <w:sz w:val="20"/>
          <w:szCs w:val="20"/>
        </w:rPr>
        <w:t xml:space="preserve"> Zawiera substancję uczulającą. Może powodować wystąpienie reakcji alergicznej.</w:t>
      </w:r>
    </w:p>
    <w:p>
      <w:pPr>
        <w:spacing w:after="80" w:before="150"/>
      </w:pPr>
      <w:r>
        <w:rPr>
          <w:rFonts w:ascii="Arial" w:cs="Arial" w:eastAsia="Arial" w:hAnsi="Arial"/>
          <w:b/>
          <w:bCs/>
          <w:sz w:val="20"/>
          <w:szCs w:val="20"/>
        </w:rPr>
        <w:t xml:space="preserve">Wykaz klas i kategorii zagrożenia przytoczonych w karcie charakterystyki:</w:t>
      </w:r>
    </w:p>
    <w:p>
      <w:pPr>
        <w:spacing w:after="80" w:before="80"/>
      </w:pPr>
      <w:r>
        <w:rPr>
          <w:rFonts w:ascii="Arial" w:cs="Arial" w:eastAsia="Arial" w:hAnsi="Arial"/>
          <w:b/>
          <w:bCs/>
          <w:sz w:val="20"/>
          <w:szCs w:val="20"/>
        </w:rPr>
        <w:t xml:space="preserve">Acute Tox. 3:</w:t>
      </w:r>
      <w:r>
        <w:rPr>
          <w:rFonts w:ascii="Arial" w:cs="Arial" w:eastAsia="Arial" w:hAnsi="Arial"/>
          <w:sz w:val="20"/>
          <w:szCs w:val="20"/>
        </w:rPr>
        <w:t xml:space="preserve"> Toksyczność ostra, kategoria 3</w:t>
      </w:r>
    </w:p>
    <w:p>
      <w:pPr>
        <w:spacing w:after="80" w:before="80"/>
      </w:pPr>
      <w:r>
        <w:rPr>
          <w:rFonts w:ascii="Arial" w:cs="Arial" w:eastAsia="Arial" w:hAnsi="Arial"/>
          <w:b/>
          <w:bCs/>
          <w:sz w:val="20"/>
          <w:szCs w:val="20"/>
        </w:rPr>
        <w:t xml:space="preserve">Acute Tox. 4:</w:t>
      </w:r>
      <w:r>
        <w:rPr>
          <w:rFonts w:ascii="Arial" w:cs="Arial" w:eastAsia="Arial" w:hAnsi="Arial"/>
          <w:sz w:val="20"/>
          <w:szCs w:val="20"/>
        </w:rPr>
        <w:t xml:space="preserve"> Toksyczność ostra, kategoria 4</w:t>
      </w:r>
    </w:p>
    <w:p>
      <w:pPr>
        <w:spacing w:after="80" w:before="80"/>
      </w:pPr>
      <w:r>
        <w:rPr>
          <w:rFonts w:ascii="Arial" w:cs="Arial" w:eastAsia="Arial" w:hAnsi="Arial"/>
          <w:b/>
          <w:bCs/>
          <w:sz w:val="20"/>
          <w:szCs w:val="20"/>
        </w:rPr>
        <w:t xml:space="preserve">Aquatic Acute 1:</w:t>
      </w:r>
      <w:r>
        <w:rPr>
          <w:rFonts w:ascii="Arial" w:cs="Arial" w:eastAsia="Arial" w:hAnsi="Arial"/>
          <w:sz w:val="20"/>
          <w:szCs w:val="20"/>
        </w:rPr>
        <w:t xml:space="preserve"> Stwarzające zagrożenie dla środowiska wodnego – zagrożenie ostre, kategoria 1</w:t>
      </w:r>
    </w:p>
    <w:p>
      <w:pPr>
        <w:spacing w:after="80" w:before="80"/>
      </w:pPr>
      <w:r>
        <w:rPr>
          <w:rFonts w:ascii="Arial" w:cs="Arial" w:eastAsia="Arial" w:hAnsi="Arial"/>
          <w:b/>
          <w:bCs/>
          <w:sz w:val="20"/>
          <w:szCs w:val="20"/>
        </w:rPr>
        <w:t xml:space="preserve">Aquatic Chronic 1:</w:t>
      </w:r>
      <w:r>
        <w:rPr>
          <w:rFonts w:ascii="Arial" w:cs="Arial" w:eastAsia="Arial" w:hAnsi="Arial"/>
          <w:sz w:val="20"/>
          <w:szCs w:val="20"/>
        </w:rPr>
        <w:t xml:space="preserve"> Stwarzające zagrożenie dla środowiska wodnego – zagrożenie przewlekłe, kategoria 1</w:t>
      </w:r>
    </w:p>
    <w:p>
      <w:pPr>
        <w:spacing w:after="80" w:before="80"/>
      </w:pPr>
      <w:r>
        <w:rPr>
          <w:rFonts w:ascii="Arial" w:cs="Arial" w:eastAsia="Arial" w:hAnsi="Arial"/>
          <w:b/>
          <w:bCs/>
          <w:sz w:val="20"/>
          <w:szCs w:val="20"/>
        </w:rPr>
        <w:t xml:space="preserve">Aquatic Chronic 2:</w:t>
      </w:r>
      <w:r>
        <w:rPr>
          <w:rFonts w:ascii="Arial" w:cs="Arial" w:eastAsia="Arial" w:hAnsi="Arial"/>
          <w:sz w:val="20"/>
          <w:szCs w:val="20"/>
        </w:rPr>
        <w:t xml:space="preserve"> Stwarzające zagrożenie dla środowiska wodnego – zagrożenie przewlekłe, kategoria 2</w:t>
      </w:r>
    </w:p>
    <w:p>
      <w:pPr>
        <w:spacing w:after="80" w:before="80"/>
      </w:pPr>
      <w:r>
        <w:rPr>
          <w:rFonts w:ascii="Arial" w:cs="Arial" w:eastAsia="Arial" w:hAnsi="Arial"/>
          <w:b/>
          <w:bCs/>
          <w:sz w:val="20"/>
          <w:szCs w:val="20"/>
        </w:rPr>
        <w:t xml:space="preserve">Aquatic Chronic 3:</w:t>
      </w:r>
      <w:r>
        <w:rPr>
          <w:rFonts w:ascii="Arial" w:cs="Arial" w:eastAsia="Arial" w:hAnsi="Arial"/>
          <w:sz w:val="20"/>
          <w:szCs w:val="20"/>
        </w:rPr>
        <w:t xml:space="preserve"> Stwarzające zagrożenie dla środowiska wodnego – zagrożenie przewlekłe, kategoria 3</w:t>
      </w:r>
    </w:p>
    <w:p>
      <w:pPr>
        <w:spacing w:after="80" w:before="80"/>
      </w:pPr>
      <w:r>
        <w:rPr>
          <w:rFonts w:ascii="Arial" w:cs="Arial" w:eastAsia="Arial" w:hAnsi="Arial"/>
          <w:b/>
          <w:bCs/>
          <w:sz w:val="20"/>
          <w:szCs w:val="20"/>
        </w:rPr>
        <w:t xml:space="preserve">Asp. Tox. 1:</w:t>
      </w:r>
      <w:r>
        <w:rPr>
          <w:rFonts w:ascii="Arial" w:cs="Arial" w:eastAsia="Arial" w:hAnsi="Arial"/>
          <w:sz w:val="20"/>
          <w:szCs w:val="20"/>
        </w:rPr>
        <w:t xml:space="preserve"> Zagrożenie spowodowane aspiracją, kategoria 1</w:t>
      </w:r>
    </w:p>
    <w:p>
      <w:pPr>
        <w:spacing w:after="80" w:before="80"/>
      </w:pPr>
      <w:r>
        <w:rPr>
          <w:rFonts w:ascii="Arial" w:cs="Arial" w:eastAsia="Arial" w:hAnsi="Arial"/>
          <w:b/>
          <w:bCs/>
          <w:sz w:val="20"/>
          <w:szCs w:val="20"/>
        </w:rPr>
        <w:t xml:space="preserve">Eye Irrit. 2:</w:t>
      </w:r>
      <w:r>
        <w:rPr>
          <w:rFonts w:ascii="Arial" w:cs="Arial" w:eastAsia="Arial" w:hAnsi="Arial"/>
          <w:sz w:val="20"/>
          <w:szCs w:val="20"/>
        </w:rPr>
        <w:t xml:space="preserve"> Działanie drażniące na oczy, kategoria 2</w:t>
      </w:r>
    </w:p>
    <w:p>
      <w:pPr>
        <w:spacing w:after="80" w:before="80"/>
      </w:pPr>
      <w:r>
        <w:rPr>
          <w:rFonts w:ascii="Arial" w:cs="Arial" w:eastAsia="Arial" w:hAnsi="Arial"/>
          <w:b/>
          <w:bCs/>
          <w:sz w:val="20"/>
          <w:szCs w:val="20"/>
        </w:rPr>
        <w:t xml:space="preserve">Flam. Liq. 2:</w:t>
      </w:r>
      <w:r>
        <w:rPr>
          <w:rFonts w:ascii="Arial" w:cs="Arial" w:eastAsia="Arial" w:hAnsi="Arial"/>
          <w:sz w:val="20"/>
          <w:szCs w:val="20"/>
        </w:rPr>
        <w:t xml:space="preserve"> Substancja ciekła łatwopalna, kategoria 2</w:t>
      </w:r>
    </w:p>
    <w:p>
      <w:pPr>
        <w:spacing w:after="80"/>
      </w:pPr>
      <w:r>
        <w:rPr>
          <w:rFonts w:ascii="Arial" w:cs="Arial" w:eastAsia="Arial" w:hAnsi="Arial"/>
          <w:sz w:val="20"/>
          <w:szCs w:val="20"/>
        </w:rPr>
        <w:t xml:space="preserve">Repr. 2: Działanie szkodliwe na rozrodczość, kategoria 2</w:t>
      </w:r>
    </w:p>
    <w:p>
      <w:pPr>
        <w:spacing w:after="80" w:before="80"/>
      </w:pPr>
      <w:r>
        <w:rPr>
          <w:rFonts w:ascii="Arial" w:cs="Arial" w:eastAsia="Arial" w:hAnsi="Arial"/>
          <w:b/>
          <w:bCs/>
          <w:sz w:val="20"/>
          <w:szCs w:val="20"/>
        </w:rPr>
        <w:t xml:space="preserve">STOT RE 2:</w:t>
      </w:r>
      <w:r>
        <w:rPr>
          <w:rFonts w:ascii="Arial" w:cs="Arial" w:eastAsia="Arial" w:hAnsi="Arial"/>
          <w:sz w:val="20"/>
          <w:szCs w:val="20"/>
        </w:rPr>
        <w:t xml:space="preserve"> Działanie toksyczne na narządy docelowe – narażenie powtarzane, kategoria 2</w:t>
      </w:r>
    </w:p>
    <w:p>
      <w:pPr>
        <w:spacing w:after="80" w:before="80"/>
      </w:pPr>
      <w:r>
        <w:rPr>
          <w:rFonts w:ascii="Arial" w:cs="Arial" w:eastAsia="Arial" w:hAnsi="Arial"/>
          <w:b/>
          <w:bCs/>
          <w:sz w:val="20"/>
          <w:szCs w:val="20"/>
        </w:rPr>
        <w:t xml:space="preserve">STOT SE 1:</w:t>
      </w:r>
      <w:r>
        <w:rPr>
          <w:rFonts w:ascii="Arial" w:cs="Arial" w:eastAsia="Arial" w:hAnsi="Arial"/>
          <w:sz w:val="20"/>
          <w:szCs w:val="20"/>
        </w:rPr>
        <w:t xml:space="preserve"> Działanie toksyczne na narządy docelowe – narażenie jednorazowe, kategoria 1</w:t>
      </w:r>
    </w:p>
    <w:p>
      <w:pPr>
        <w:spacing w:after="80" w:before="80"/>
      </w:pPr>
      <w:r>
        <w:rPr>
          <w:rFonts w:ascii="Arial" w:cs="Arial" w:eastAsia="Arial" w:hAnsi="Arial"/>
          <w:b/>
          <w:bCs/>
          <w:sz w:val="20"/>
          <w:szCs w:val="20"/>
        </w:rPr>
        <w:t xml:space="preserve">STOT SE 2:</w:t>
      </w:r>
      <w:r>
        <w:rPr>
          <w:rFonts w:ascii="Arial" w:cs="Arial" w:eastAsia="Arial" w:hAnsi="Arial"/>
          <w:sz w:val="20"/>
          <w:szCs w:val="20"/>
        </w:rPr>
        <w:t xml:space="preserve"> Działanie toksyczne na narządy docelowe – narażenie jednorazowe, kategoria 2</w:t>
      </w:r>
    </w:p>
    <w:p>
      <w:pPr>
        <w:spacing w:after="80" w:before="80"/>
      </w:pPr>
      <w:r>
        <w:rPr>
          <w:rFonts w:ascii="Arial" w:cs="Arial" w:eastAsia="Arial" w:hAnsi="Arial"/>
          <w:b/>
          <w:bCs/>
          <w:sz w:val="20"/>
          <w:szCs w:val="20"/>
        </w:rPr>
        <w:t xml:space="preserve">STOT SE 3:</w:t>
      </w:r>
      <w:r>
        <w:rPr>
          <w:rFonts w:ascii="Arial" w:cs="Arial" w:eastAsia="Arial" w:hAnsi="Arial"/>
          <w:sz w:val="20"/>
          <w:szCs w:val="20"/>
        </w:rPr>
        <w:t xml:space="preserve"> Działanie toksyczne na narządy docelowe – narażenie jednorazowe, kategoria 3</w:t>
      </w:r>
    </w:p>
    <w:p>
      <w:pPr>
        <w:spacing w:after="80" w:before="80"/>
      </w:pPr>
      <w:r>
        <w:rPr>
          <w:rFonts w:ascii="Arial" w:cs="Arial" w:eastAsia="Arial" w:hAnsi="Arial"/>
          <w:b/>
          <w:bCs/>
          <w:sz w:val="20"/>
          <w:szCs w:val="20"/>
        </w:rPr>
        <w:t xml:space="preserve">Skin Irrit. 2:</w:t>
      </w:r>
      <w:r>
        <w:rPr>
          <w:rFonts w:ascii="Arial" w:cs="Arial" w:eastAsia="Arial" w:hAnsi="Arial"/>
          <w:sz w:val="20"/>
          <w:szCs w:val="20"/>
        </w:rPr>
        <w:t xml:space="preserve"> Działanie drażniące na skórę, kategoria 2</w:t>
      </w:r>
    </w:p>
    <w:p>
      <w:pPr>
        <w:spacing w:after="80" w:before="80"/>
      </w:pPr>
      <w:r>
        <w:rPr>
          <w:rFonts w:ascii="Arial" w:cs="Arial" w:eastAsia="Arial" w:hAnsi="Arial"/>
          <w:b/>
          <w:bCs/>
          <w:sz w:val="20"/>
          <w:szCs w:val="20"/>
        </w:rPr>
        <w:t xml:space="preserve">Skin Sens. 1:</w:t>
      </w:r>
      <w:r>
        <w:rPr>
          <w:rFonts w:ascii="Arial" w:cs="Arial" w:eastAsia="Arial" w:hAnsi="Arial"/>
          <w:sz w:val="20"/>
          <w:szCs w:val="20"/>
        </w:rPr>
        <w:t xml:space="preserve"> Działanie uczulające na skórę, kategoria 1</w:t>
      </w:r>
    </w:p>
    <w:p>
      <w:pPr>
        <w:spacing w:after="80" w:before="80"/>
      </w:pPr>
      <w:r>
        <w:rPr>
          <w:rFonts w:ascii="Arial" w:cs="Arial" w:eastAsia="Arial" w:hAnsi="Arial"/>
          <w:b/>
          <w:bCs/>
          <w:sz w:val="20"/>
          <w:szCs w:val="20"/>
        </w:rPr>
        <w:t xml:space="preserve">Skin Sens. 1B:</w:t>
      </w:r>
      <w:r>
        <w:rPr>
          <w:rFonts w:ascii="Arial" w:cs="Arial" w:eastAsia="Arial" w:hAnsi="Arial"/>
          <w:sz w:val="20"/>
          <w:szCs w:val="20"/>
        </w:rPr>
        <w:t xml:space="preserve"> Działanie uczulające na skórę, kategoria 1B</w:t>
      </w:r>
    </w:p>
    <w:p>
      <w:pPr>
        <w:spacing w:after="80" w:before="150"/>
      </w:pPr>
      <w:r>
        <w:rPr>
          <w:rFonts w:ascii="Arial" w:cs="Arial" w:eastAsia="Arial" w:hAnsi="Arial"/>
          <w:b/>
          <w:bCs/>
          <w:sz w:val="20"/>
          <w:szCs w:val="20"/>
        </w:rPr>
        <w:t xml:space="preserve">Objaśnienie skrótów i akronimów stosowanych w karcie charakterystyki:</w:t>
      </w:r>
    </w:p>
    <w:p>
      <w:pPr>
        <w:spacing w:after="80" w:before="80"/>
      </w:pPr>
      <w:r>
        <w:rPr>
          <w:rFonts w:ascii="Arial" w:cs="Arial" w:eastAsia="Arial" w:hAnsi="Arial"/>
          <w:b/>
          <w:bCs/>
          <w:sz w:val="20"/>
          <w:szCs w:val="20"/>
        </w:rPr>
        <w:t xml:space="preserve">ADR:</w:t>
      </w:r>
      <w:r>
        <w:rPr>
          <w:rFonts w:ascii="Arial" w:cs="Arial" w:eastAsia="Arial" w:hAnsi="Arial"/>
          <w:sz w:val="20"/>
          <w:szCs w:val="20"/>
        </w:rPr>
        <w:t xml:space="preserve"> Umowa europejska dotycząca międzynarodowego przewozu drogowego towarów niebezpiecznych</w:t>
      </w:r>
    </w:p>
    <w:p>
      <w:pPr>
        <w:spacing w:after="80" w:before="80"/>
      </w:pPr>
      <w:r>
        <w:rPr>
          <w:rFonts w:ascii="Arial" w:cs="Arial" w:eastAsia="Arial" w:hAnsi="Arial"/>
          <w:b/>
          <w:bCs/>
          <w:sz w:val="20"/>
          <w:szCs w:val="20"/>
        </w:rPr>
        <w:t xml:space="preserve">RID:</w:t>
      </w:r>
      <w:r>
        <w:rPr>
          <w:rFonts w:ascii="Arial" w:cs="Arial" w:eastAsia="Arial" w:hAnsi="Arial"/>
          <w:sz w:val="20"/>
          <w:szCs w:val="20"/>
        </w:rPr>
        <w:t xml:space="preserve"> Regulamin międzynarodowego przewozu kolejami towarów niebezpiecznych</w:t>
      </w:r>
    </w:p>
    <w:p>
      <w:pPr>
        <w:spacing w:after="80" w:before="80"/>
      </w:pPr>
      <w:r>
        <w:rPr>
          <w:rFonts w:ascii="Arial" w:cs="Arial" w:eastAsia="Arial" w:hAnsi="Arial"/>
          <w:b/>
          <w:bCs/>
          <w:sz w:val="20"/>
          <w:szCs w:val="20"/>
        </w:rPr>
        <w:t xml:space="preserve">IMDG:</w:t>
      </w:r>
      <w:r>
        <w:rPr>
          <w:rFonts w:ascii="Arial" w:cs="Arial" w:eastAsia="Arial" w:hAnsi="Arial"/>
          <w:sz w:val="20"/>
          <w:szCs w:val="20"/>
        </w:rPr>
        <w:t xml:space="preserve"> Międzynarodowy morski kodeks towarów niebezpiecznych (International Maritime Dangerous Goods Code)</w:t>
      </w:r>
    </w:p>
    <w:p>
      <w:pPr>
        <w:spacing w:after="80" w:before="80"/>
      </w:pPr>
      <w:r>
        <w:rPr>
          <w:rFonts w:ascii="Arial" w:cs="Arial" w:eastAsia="Arial" w:hAnsi="Arial"/>
          <w:b/>
          <w:bCs/>
          <w:sz w:val="20"/>
          <w:szCs w:val="20"/>
        </w:rPr>
        <w:t xml:space="preserve">IATA:</w:t>
      </w:r>
      <w:r>
        <w:rPr>
          <w:rFonts w:ascii="Arial" w:cs="Arial" w:eastAsia="Arial" w:hAnsi="Arial"/>
          <w:sz w:val="20"/>
          <w:szCs w:val="20"/>
        </w:rPr>
        <w:t xml:space="preserve"> Międzynarodowe Zrzeszenie Przewoźników Powietrznych (International Air Transport Association)</w:t>
      </w:r>
    </w:p>
    <w:p>
      <w:pPr>
        <w:spacing w:after="80" w:before="80"/>
      </w:pPr>
      <w:r>
        <w:rPr>
          <w:rFonts w:ascii="Arial" w:cs="Arial" w:eastAsia="Arial" w:hAnsi="Arial"/>
          <w:b/>
          <w:bCs/>
          <w:sz w:val="20"/>
          <w:szCs w:val="20"/>
        </w:rPr>
        <w:t xml:space="preserve">ICAO:</w:t>
      </w:r>
      <w:r>
        <w:rPr>
          <w:rFonts w:ascii="Arial" w:cs="Arial" w:eastAsia="Arial" w:hAnsi="Arial"/>
          <w:sz w:val="20"/>
          <w:szCs w:val="20"/>
        </w:rPr>
        <w:t xml:space="preserve"> Organizacja Międzynarodowego Lotnictwa Cywilnego</w:t>
      </w:r>
    </w:p>
    <w:p>
      <w:pPr>
        <w:spacing w:after="80" w:before="80"/>
      </w:pPr>
      <w:r>
        <w:rPr>
          <w:rFonts w:ascii="Arial" w:cs="Arial" w:eastAsia="Arial" w:hAnsi="Arial"/>
          <w:b/>
          <w:bCs/>
          <w:sz w:val="20"/>
          <w:szCs w:val="20"/>
        </w:rPr>
        <w:t xml:space="preserve">CLP:</w:t>
      </w:r>
      <w:r>
        <w:rPr>
          <w:rFonts w:ascii="Arial" w:cs="Arial" w:eastAsia="Arial" w:hAnsi="Arial"/>
          <w:sz w:val="20"/>
          <w:szCs w:val="20"/>
        </w:rPr>
        <w:t xml:space="preserve"> Rozporządzenie (WE) nr 1272/2008 w sprawie klasyfikacji, oznakowania i pakowania substancji i mieszanin</w:t>
      </w:r>
    </w:p>
    <w:p>
      <w:pPr>
        <w:spacing w:after="80" w:before="80"/>
      </w:pPr>
      <w:r>
        <w:rPr>
          <w:rFonts w:ascii="Arial" w:cs="Arial" w:eastAsia="Arial" w:hAnsi="Arial"/>
          <w:b/>
          <w:bCs/>
          <w:sz w:val="20"/>
          <w:szCs w:val="20"/>
        </w:rPr>
        <w:t xml:space="preserve">REACH:</w:t>
      </w:r>
      <w:r>
        <w:rPr>
          <w:rFonts w:ascii="Arial" w:cs="Arial" w:eastAsia="Arial" w:hAnsi="Arial"/>
          <w:sz w:val="20"/>
          <w:szCs w:val="20"/>
        </w:rPr>
        <w:t xml:space="preserve"> Rozporządzenie (WE) nr 1907/2006 w sprawie rejestracji, oceny, udzielania zezwoleń i stosowanych ograniczeń w zakresie chemikaliów</w:t>
      </w:r>
    </w:p>
    <w:p>
      <w:pPr>
        <w:spacing w:after="80" w:before="80"/>
      </w:pPr>
      <w:r>
        <w:rPr>
          <w:rFonts w:ascii="Arial" w:cs="Arial" w:eastAsia="Arial" w:hAnsi="Arial"/>
          <w:b/>
          <w:bCs/>
          <w:sz w:val="20"/>
          <w:szCs w:val="20"/>
        </w:rPr>
        <w:t xml:space="preserve">GHS:</w:t>
      </w:r>
      <w:r>
        <w:rPr>
          <w:rFonts w:ascii="Arial" w:cs="Arial" w:eastAsia="Arial" w:hAnsi="Arial"/>
          <w:sz w:val="20"/>
          <w:szCs w:val="20"/>
        </w:rPr>
        <w:t xml:space="preserve"> Globalnie Zharmonizowany System Klasyfikacji i Oznakowania Chemikaliów</w:t>
      </w:r>
    </w:p>
    <w:p>
      <w:pPr>
        <w:spacing w:after="80" w:before="80"/>
      </w:pPr>
      <w:r>
        <w:rPr>
          <w:rFonts w:ascii="Arial" w:cs="Arial" w:eastAsia="Arial" w:hAnsi="Arial"/>
          <w:b/>
          <w:bCs/>
          <w:sz w:val="20"/>
          <w:szCs w:val="20"/>
        </w:rPr>
        <w:t xml:space="preserve">CAS:</w:t>
      </w:r>
      <w:r>
        <w:rPr>
          <w:rFonts w:ascii="Arial" w:cs="Arial" w:eastAsia="Arial" w:hAnsi="Arial"/>
          <w:sz w:val="20"/>
          <w:szCs w:val="20"/>
        </w:rPr>
        <w:t xml:space="preserve"> Chemical Abstracts Service (unikalny numeryczny identyfikator substancji chemicznej)</w:t>
      </w:r>
    </w:p>
    <w:p>
      <w:pPr>
        <w:spacing w:after="80" w:before="80"/>
      </w:pPr>
      <w:r>
        <w:rPr>
          <w:rFonts w:ascii="Arial" w:cs="Arial" w:eastAsia="Arial" w:hAnsi="Arial"/>
          <w:b/>
          <w:bCs/>
          <w:sz w:val="20"/>
          <w:szCs w:val="20"/>
        </w:rPr>
        <w:t xml:space="preserve">WE:</w:t>
      </w:r>
      <w:r>
        <w:rPr>
          <w:rFonts w:ascii="Arial" w:cs="Arial" w:eastAsia="Arial" w:hAnsi="Arial"/>
          <w:sz w:val="20"/>
          <w:szCs w:val="20"/>
        </w:rPr>
        <w:t xml:space="preserve"> Numer Wspólnoty Europejskiej (oficjalny numer rejestracyjny substancji w UE: EINECS, ELINCS lub NLP)</w:t>
      </w:r>
    </w:p>
    <w:p>
      <w:pPr>
        <w:spacing w:after="80" w:before="80"/>
      </w:pPr>
      <w:r>
        <w:rPr>
          <w:rFonts w:ascii="Arial" w:cs="Arial" w:eastAsia="Arial" w:hAnsi="Arial"/>
          <w:b/>
          <w:bCs/>
          <w:sz w:val="20"/>
          <w:szCs w:val="20"/>
        </w:rPr>
        <w:t xml:space="preserve">NDS:</w:t>
      </w:r>
      <w:r>
        <w:rPr>
          <w:rFonts w:ascii="Arial" w:cs="Arial" w:eastAsia="Arial" w:hAnsi="Arial"/>
          <w:sz w:val="20"/>
          <w:szCs w:val="20"/>
        </w:rPr>
        <w:t xml:space="preserve"> Najwyższe dopuszczalne stężenie na stanowisku pracy w ciągu 8-godzinnego dnia pracy</w:t>
      </w:r>
    </w:p>
    <w:p>
      <w:pPr>
        <w:spacing w:after="80" w:before="80"/>
      </w:pPr>
      <w:r>
        <w:rPr>
          <w:rFonts w:ascii="Arial" w:cs="Arial" w:eastAsia="Arial" w:hAnsi="Arial"/>
          <w:b/>
          <w:bCs/>
          <w:sz w:val="20"/>
          <w:szCs w:val="20"/>
        </w:rPr>
        <w:t xml:space="preserve">NDSCh:</w:t>
      </w:r>
      <w:r>
        <w:rPr>
          <w:rFonts w:ascii="Arial" w:cs="Arial" w:eastAsia="Arial" w:hAnsi="Arial"/>
          <w:sz w:val="20"/>
          <w:szCs w:val="20"/>
        </w:rPr>
        <w:t xml:space="preserve"> Najwyższe dopuszczalne stężenie chwilowe (czas ekspozycji do 15 minut)</w:t>
      </w:r>
    </w:p>
    <w:p>
      <w:pPr>
        <w:spacing w:after="80" w:before="80"/>
      </w:pPr>
      <w:r>
        <w:rPr>
          <w:rFonts w:ascii="Arial" w:cs="Arial" w:eastAsia="Arial" w:hAnsi="Arial"/>
          <w:b/>
          <w:bCs/>
          <w:sz w:val="20"/>
          <w:szCs w:val="20"/>
        </w:rPr>
        <w:t xml:space="preserve">NDSP:</w:t>
      </w:r>
      <w:r>
        <w:rPr>
          <w:rFonts w:ascii="Arial" w:cs="Arial" w:eastAsia="Arial" w:hAnsi="Arial"/>
          <w:sz w:val="20"/>
          <w:szCs w:val="20"/>
        </w:rPr>
        <w:t xml:space="preserve"> Najwyższe dopuszczalne stężenie pułapowe (wartość, która nie może być przekroczona w żadnym momencie)</w:t>
      </w:r>
    </w:p>
    <w:p>
      <w:pPr>
        <w:spacing w:after="80" w:before="80"/>
      </w:pPr>
      <w:r>
        <w:rPr>
          <w:rFonts w:ascii="Arial" w:cs="Arial" w:eastAsia="Arial" w:hAnsi="Arial"/>
          <w:b/>
          <w:bCs/>
          <w:sz w:val="20"/>
          <w:szCs w:val="20"/>
        </w:rPr>
        <w:t xml:space="preserve">DNEL:</w:t>
      </w:r>
      <w:r>
        <w:rPr>
          <w:rFonts w:ascii="Arial" w:cs="Arial" w:eastAsia="Arial" w:hAnsi="Arial"/>
          <w:sz w:val="20"/>
          <w:szCs w:val="20"/>
        </w:rPr>
        <w:t xml:space="preserve"> Pochodny poziom niepowodujący zmian (Derived No-Effect Level)</w:t>
      </w:r>
    </w:p>
    <w:p>
      <w:pPr>
        <w:spacing w:after="80" w:before="80"/>
      </w:pPr>
      <w:r>
        <w:rPr>
          <w:rFonts w:ascii="Arial" w:cs="Arial" w:eastAsia="Arial" w:hAnsi="Arial"/>
          <w:b/>
          <w:bCs/>
          <w:sz w:val="20"/>
          <w:szCs w:val="20"/>
        </w:rPr>
        <w:t xml:space="preserve">PNEC:</w:t>
      </w:r>
      <w:r>
        <w:rPr>
          <w:rFonts w:ascii="Arial" w:cs="Arial" w:eastAsia="Arial" w:hAnsi="Arial"/>
          <w:sz w:val="20"/>
          <w:szCs w:val="20"/>
        </w:rPr>
        <w:t xml:space="preserve"> Przewidywane stężenie niepowodujące zmian w środowisku (Predicted No-Effect Concentration)</w:t>
      </w:r>
    </w:p>
    <w:p>
      <w:pPr>
        <w:spacing w:after="80"/>
      </w:pPr>
      <w:r>
        <w:rPr>
          <w:rFonts w:ascii="Arial" w:cs="Arial" w:eastAsia="Arial" w:hAnsi="Arial"/>
          <w:sz w:val="20"/>
          <w:szCs w:val="20"/>
        </w:rPr>
        <w:t xml:space="preserve">PBT: Substancja trwała, wykazująca zdolność do bioakumulacji i toksyczna</w:t>
      </w:r>
    </w:p>
    <w:p>
      <w:pPr>
        <w:spacing w:after="80" w:before="80"/>
      </w:pPr>
      <w:r>
        <w:rPr>
          <w:rFonts w:ascii="Arial" w:cs="Arial" w:eastAsia="Arial" w:hAnsi="Arial"/>
          <w:b/>
          <w:bCs/>
          <w:sz w:val="20"/>
          <w:szCs w:val="20"/>
        </w:rPr>
        <w:t xml:space="preserve">vPvB:</w:t>
      </w:r>
      <w:r>
        <w:rPr>
          <w:rFonts w:ascii="Arial" w:cs="Arial" w:eastAsia="Arial" w:hAnsi="Arial"/>
          <w:sz w:val="20"/>
          <w:szCs w:val="20"/>
        </w:rPr>
        <w:t xml:space="preserve"> Substancja bardzo trwała i wykazująca bardzo dużą zdolność do bioakumulacji</w:t>
      </w:r>
    </w:p>
    <w:p>
      <w:pPr>
        <w:spacing w:after="80" w:before="80"/>
      </w:pPr>
      <w:r>
        <w:rPr>
          <w:rFonts w:ascii="Arial" w:cs="Arial" w:eastAsia="Arial" w:hAnsi="Arial"/>
          <w:b/>
          <w:bCs/>
          <w:sz w:val="20"/>
          <w:szCs w:val="20"/>
        </w:rPr>
        <w:t xml:space="preserve">SVHC:</w:t>
      </w:r>
      <w:r>
        <w:rPr>
          <w:rFonts w:ascii="Arial" w:cs="Arial" w:eastAsia="Arial" w:hAnsi="Arial"/>
          <w:sz w:val="20"/>
          <w:szCs w:val="20"/>
        </w:rPr>
        <w:t xml:space="preserve"> Substancje wzbudzające szczególnie duże obawy (Substances of Very High Concern)</w:t>
      </w:r>
    </w:p>
    <w:p>
      <w:pPr>
        <w:spacing w:after="80"/>
      </w:pPr>
      <w:r>
        <w:rPr>
          <w:rFonts w:ascii="Arial" w:cs="Arial" w:eastAsia="Arial" w:hAnsi="Arial"/>
          <w:sz w:val="20"/>
          <w:szCs w:val="20"/>
        </w:rPr>
        <w:t xml:space="preserve">BCF: Współczynnik biokoncentracji (Bioconcentration Factor)</w:t>
      </w:r>
    </w:p>
    <w:p>
      <w:pPr>
        <w:spacing w:after="80" w:before="80"/>
      </w:pPr>
      <w:r>
        <w:rPr>
          <w:rFonts w:ascii="Arial" w:cs="Arial" w:eastAsia="Arial" w:hAnsi="Arial"/>
          <w:b/>
          <w:bCs/>
          <w:sz w:val="20"/>
          <w:szCs w:val="20"/>
        </w:rPr>
        <w:t xml:space="preserve">log Kow:</w:t>
      </w:r>
      <w:r>
        <w:rPr>
          <w:rFonts w:ascii="Arial" w:cs="Arial" w:eastAsia="Arial" w:hAnsi="Arial"/>
          <w:sz w:val="20"/>
          <w:szCs w:val="20"/>
        </w:rPr>
        <w:t xml:space="preserve"> Współczynnik podziału n-oktanol/woda</w:t>
      </w:r>
    </w:p>
    <w:p>
      <w:pPr>
        <w:spacing w:after="80" w:before="80"/>
      </w:pPr>
      <w:r>
        <w:rPr>
          <w:rFonts w:ascii="Arial" w:cs="Arial" w:eastAsia="Arial" w:hAnsi="Arial"/>
          <w:b/>
          <w:bCs/>
          <w:sz w:val="20"/>
          <w:szCs w:val="20"/>
        </w:rPr>
        <w:t xml:space="preserve">LD50:</w:t>
      </w:r>
      <w:r>
        <w:rPr>
          <w:rFonts w:ascii="Arial" w:cs="Arial" w:eastAsia="Arial" w:hAnsi="Arial"/>
          <w:sz w:val="20"/>
          <w:szCs w:val="20"/>
        </w:rPr>
        <w:t xml:space="preserve"> Dawka śmiertelna dla 50% badanej populacji zwierząt laboratoryjnych</w:t>
      </w:r>
    </w:p>
    <w:p>
      <w:pPr>
        <w:spacing w:after="80" w:before="80"/>
      </w:pPr>
      <w:r>
        <w:rPr>
          <w:rFonts w:ascii="Arial" w:cs="Arial" w:eastAsia="Arial" w:hAnsi="Arial"/>
          <w:b/>
          <w:bCs/>
          <w:sz w:val="20"/>
          <w:szCs w:val="20"/>
        </w:rPr>
        <w:t xml:space="preserve">LC50:</w:t>
      </w:r>
      <w:r>
        <w:rPr>
          <w:rFonts w:ascii="Arial" w:cs="Arial" w:eastAsia="Arial" w:hAnsi="Arial"/>
          <w:sz w:val="20"/>
          <w:szCs w:val="20"/>
        </w:rPr>
        <w:t xml:space="preserve"> Stężenie śmiertelne dla 50% badanej populacji organizmów testowych</w:t>
      </w:r>
    </w:p>
    <w:p>
      <w:pPr>
        <w:spacing w:after="80" w:before="80"/>
      </w:pPr>
      <w:r>
        <w:rPr>
          <w:rFonts w:ascii="Arial" w:cs="Arial" w:eastAsia="Arial" w:hAnsi="Arial"/>
          <w:b/>
          <w:bCs/>
          <w:sz w:val="20"/>
          <w:szCs w:val="20"/>
        </w:rPr>
        <w:t xml:space="preserve">EC50:</w:t>
      </w:r>
      <w:r>
        <w:rPr>
          <w:rFonts w:ascii="Arial" w:cs="Arial" w:eastAsia="Arial" w:hAnsi="Arial"/>
          <w:sz w:val="20"/>
          <w:szCs w:val="20"/>
        </w:rPr>
        <w:t xml:space="preserve"> Stężenie wywołujące efekt u 50% badanej populacji testowej</w:t>
      </w:r>
    </w:p>
    <w:p>
      <w:pPr>
        <w:spacing w:after="80" w:before="80"/>
      </w:pPr>
      <w:r>
        <w:rPr>
          <w:rFonts w:ascii="Arial" w:cs="Arial" w:eastAsia="Arial" w:hAnsi="Arial"/>
          <w:b/>
          <w:bCs/>
          <w:sz w:val="20"/>
          <w:szCs w:val="20"/>
        </w:rPr>
        <w:t xml:space="preserve">NOEC:</w:t>
      </w:r>
      <w:r>
        <w:rPr>
          <w:rFonts w:ascii="Arial" w:cs="Arial" w:eastAsia="Arial" w:hAnsi="Arial"/>
          <w:sz w:val="20"/>
          <w:szCs w:val="20"/>
        </w:rPr>
        <w:t xml:space="preserve"> Najwyższe stężenie, przy którym nie obserwuje się statystycznie istotnych skutków (No Observed Effect Concentration)</w:t>
      </w:r>
    </w:p>
    <w:p>
      <w:pPr>
        <w:spacing w:after="80" w:before="80"/>
      </w:pPr>
      <w:r>
        <w:rPr>
          <w:rFonts w:ascii="Arial" w:cs="Arial" w:eastAsia="Arial" w:hAnsi="Arial"/>
          <w:b/>
          <w:bCs/>
          <w:sz w:val="20"/>
          <w:szCs w:val="20"/>
        </w:rPr>
        <w:t xml:space="preserve">SCL:</w:t>
      </w:r>
      <w:r>
        <w:rPr>
          <w:rFonts w:ascii="Arial" w:cs="Arial" w:eastAsia="Arial" w:hAnsi="Arial"/>
          <w:sz w:val="20"/>
          <w:szCs w:val="20"/>
        </w:rPr>
        <w:t xml:space="preserve"> Specyficzne stężenie graniczne (Specific Concentration Limit)</w:t>
      </w:r>
    </w:p>
    <w:p>
      <w:pPr>
        <w:spacing w:after="80" w:before="80"/>
      </w:pPr>
      <w:r>
        <w:rPr>
          <w:rFonts w:ascii="Arial" w:cs="Arial" w:eastAsia="Arial" w:hAnsi="Arial"/>
          <w:b/>
          <w:bCs/>
          <w:sz w:val="20"/>
          <w:szCs w:val="20"/>
        </w:rPr>
        <w:t xml:space="preserve">BDO:</w:t>
      </w:r>
      <w:r>
        <w:rPr>
          <w:rFonts w:ascii="Arial" w:cs="Arial" w:eastAsia="Arial" w:hAnsi="Arial"/>
          <w:sz w:val="20"/>
          <w:szCs w:val="20"/>
        </w:rPr>
        <w:t xml:space="preserve"> Baza danych o produktach i opakowaniach oraz o gospodarce odpadami</w:t>
      </w:r>
    </w:p>
    <w:p>
      <w:pPr>
        <w:spacing w:after="80" w:before="80"/>
      </w:pPr>
      <w:r>
        <w:rPr>
          <w:rFonts w:ascii="Arial" w:cs="Arial" w:eastAsia="Arial" w:hAnsi="Arial"/>
          <w:b/>
          <w:bCs/>
          <w:sz w:val="20"/>
          <w:szCs w:val="20"/>
        </w:rPr>
        <w:t xml:space="preserve">ECHA:</w:t>
      </w:r>
      <w:r>
        <w:rPr>
          <w:rFonts w:ascii="Arial" w:cs="Arial" w:eastAsia="Arial" w:hAnsi="Arial"/>
          <w:sz w:val="20"/>
          <w:szCs w:val="20"/>
        </w:rPr>
        <w:t xml:space="preserve"> Europejska Agencja Chemikaliów</w:t>
      </w:r>
    </w:p>
    <w:p>
      <w:pPr>
        <w:spacing w:after="80" w:before="150"/>
      </w:pPr>
      <w:r>
        <w:rPr>
          <w:rFonts w:ascii="Arial" w:cs="Arial" w:eastAsia="Arial" w:hAnsi="Arial"/>
          <w:b/>
          <w:bCs/>
          <w:sz w:val="20"/>
          <w:szCs w:val="20"/>
        </w:rPr>
        <w:t xml:space="preserve">Główne źródła literatury i danych:</w:t>
      </w:r>
    </w:p>
    <w:p>
      <w:pPr>
        <w:spacing w:after="80"/>
      </w:pPr>
      <w:r>
        <w:rPr>
          <w:rFonts w:ascii="Arial" w:cs="Arial" w:eastAsia="Arial" w:hAnsi="Arial"/>
          <w:sz w:val="20"/>
          <w:szCs w:val="20"/>
        </w:rPr>
        <w:t xml:space="preserve">- Karty charakterystyki substancji składowych udostępnione przez producentów i dostawców surowców.</w:t>
      </w:r>
    </w:p>
    <w:p>
      <w:pPr>
        <w:spacing w:after="60" w:before="60"/>
      </w:pPr>
      <w:r>
        <w:rPr>
          <w:rFonts w:ascii="Arial" w:cs="Arial" w:eastAsia="Arial" w:hAnsi="Arial"/>
          <w:b/>
          <w:bCs/>
          <w:sz w:val="20"/>
          <w:szCs w:val="20"/>
        </w:rPr>
        <w:t xml:space="preserve">- Baza danych Europejskiej Agencji Chemikaliów (ECHA):</w:t>
      </w:r>
      <w:r>
        <w:rPr>
          <w:rFonts w:ascii="Arial" w:cs="Arial" w:eastAsia="Arial" w:hAnsi="Arial"/>
          <w:sz w:val="20"/>
          <w:szCs w:val="20"/>
        </w:rPr>
        <w:t xml:space="preserve"> https://echa.europa.eu/</w:t>
      </w:r>
    </w:p>
    <w:p>
      <w:pPr>
        <w:spacing w:after="60" w:before="60"/>
      </w:pPr>
      <w:r>
        <w:rPr>
          <w:rFonts w:ascii="Arial" w:cs="Arial" w:eastAsia="Arial" w:hAnsi="Arial"/>
          <w:b/>
          <w:bCs/>
          <w:sz w:val="20"/>
          <w:szCs w:val="20"/>
        </w:rPr>
        <w:t xml:space="preserve">- Baza danych PubChem National Library of Medicine:</w:t>
      </w:r>
      <w:r>
        <w:rPr>
          <w:rFonts w:ascii="Arial" w:cs="Arial" w:eastAsia="Arial" w:hAnsi="Arial"/>
          <w:sz w:val="20"/>
          <w:szCs w:val="20"/>
        </w:rPr>
        <w:t xml:space="preserve"> https://pubchem.ncbi.nlm.nih.gov/</w:t>
      </w:r>
    </w:p>
    <w:p>
      <w:pPr>
        <w:spacing w:after="80"/>
      </w:pPr>
      <w:r>
        <w:rPr>
          <w:rFonts w:ascii="Arial" w:cs="Arial" w:eastAsia="Arial" w:hAnsi="Arial"/>
          <w:sz w:val="20"/>
          <w:szCs w:val="20"/>
        </w:rPr>
        <w:t xml:space="preserve">- Obowiązujące unijne i krajowe akty prawne (REACH, CLP, Dz.U. 2018 poz. 1286, Dz.U. 2023 poz. 1587).</w:t>
      </w:r>
    </w:p>
    <w:p>
      <w:pPr>
        <w:spacing w:after="80" w:before="150"/>
      </w:pPr>
      <w:r>
        <w:rPr>
          <w:rFonts w:ascii="Arial" w:cs="Arial" w:eastAsia="Arial" w:hAnsi="Arial"/>
          <w:b/>
          <w:bCs/>
          <w:sz w:val="20"/>
          <w:szCs w:val="20"/>
        </w:rPr>
        <w:t xml:space="preserve">Zalecenia i wskazówki szkoleniowe dla pracowników:</w:t>
      </w:r>
    </w:p>
    <w:p>
      <w:pPr>
        <w:spacing w:after="80"/>
      </w:pPr>
      <w:r>
        <w:rPr>
          <w:rFonts w:ascii="Arial" w:cs="Arial" w:eastAsia="Arial" w:hAnsi="Arial"/>
          <w:sz w:val="20"/>
          <w:szCs w:val="20"/>
        </w:rPr>
        <w:t xml:space="preserve">Przed przystąpieniem do pracy z produktem należy zapoznać się z treścią niniejszej karty charakterystyki oraz przepisami BHP obowiązującymi na stanowisku pracy. Pracownicy mający kontakt z produktem powinni zostać przeszkoleni w zakresie prawidłowego i bezpiecznego obchodzenia się z chemikaliami oraz postępowania w sytuacjach awaryjnych.</w:t>
      </w:r>
    </w:p>
    <w:p>
      <w:pPr>
        <w:spacing w:after="80" w:before="150"/>
      </w:pPr>
      <w:r>
        <w:rPr>
          <w:rFonts w:ascii="Arial" w:cs="Arial" w:eastAsia="Arial" w:hAnsi="Arial"/>
          <w:b/>
          <w:bCs/>
          <w:sz w:val="20"/>
          <w:szCs w:val="20"/>
        </w:rPr>
        <w:t xml:space="preserve">Informacje o zmianach i aktualizacji:</w:t>
      </w:r>
    </w:p>
    <w:p>
      <w:pPr>
        <w:spacing w:after="80"/>
      </w:pPr>
      <w:r>
        <w:rPr>
          <w:rFonts w:ascii="Arial" w:cs="Arial" w:eastAsia="Arial" w:hAnsi="Arial"/>
          <w:sz w:val="20"/>
          <w:szCs w:val="20"/>
        </w:rPr>
        <w:t xml:space="preserve">Niniejsza karta charakterystyki (wersja 1.0 PL) stanowi wydanie pierwsze w języku polskim, opracowane na podstawie karty charakterystyki SDS producenta z dnia 05.12.2024 r.</w:t>
      </w:r>
    </w:p>
    <w:p>
      <w:pPr>
        <w:spacing w:after="80"/>
      </w:pPr>
      <w:r>
        <w:rPr>
          <w:rFonts w:ascii="Arial" w:cs="Arial" w:eastAsia="Arial" w:hAnsi="Arial"/>
          <w:sz w:val="20"/>
          <w:szCs w:val="20"/>
        </w:rPr>
        <w:t xml:space="preserve">Aktualizacja została sporządzona i dostosowana zgodnie z wymogami Rozporządzenia Komisji (UE) 2020/878 z dnia 18 czerwca 2020 r. zmieniającego załącznik II do rozporządzenia (WE) nr 1907/2006 (REACH) oraz przepisami prawa Rzeczypospolitej Polskiej.</w:t>
      </w:r>
    </w:p>
    <w:p>
      <w:pPr>
        <w:spacing w:after="80"/>
      </w:pPr>
      <w:r>
        <w:rPr>
          <w:rFonts w:ascii="Arial" w:cs="Arial" w:eastAsia="Arial" w:hAnsi="Arial"/>
          <w:sz w:val="20"/>
          <w:szCs w:val="20"/>
        </w:rPr>
        <w:t xml:space="preserve">Główne zmiany wprowadzone w bieżącej wersji obejmują:</w:t>
      </w:r>
    </w:p>
    <w:p>
      <w:pPr>
        <w:spacing w:after="60" w:before="60"/>
      </w:pPr>
      <w:r>
        <w:rPr>
          <w:rFonts w:ascii="Arial" w:cs="Arial" w:eastAsia="Arial" w:hAnsi="Arial"/>
          <w:b/>
          <w:bCs/>
          <w:sz w:val="20"/>
          <w:szCs w:val="20"/>
        </w:rPr>
        <w:t xml:space="preserve">- Sekcja 1.3:</w:t>
      </w:r>
      <w:r>
        <w:rPr>
          <w:rFonts w:ascii="Arial" w:cs="Arial" w:eastAsia="Arial" w:hAnsi="Arial"/>
          <w:sz w:val="20"/>
          <w:szCs w:val="20"/>
        </w:rPr>
        <w:t xml:space="preserve"> Aktualizacja danych dostawcy karty w Rzeczypospolitej Polskiej na ITALLUX Sp. z o.o. (ul. Wesoła 16, 63-600 Kępno, www.prostozwloch.com.pl).</w:t>
      </w:r>
    </w:p>
    <w:p>
      <w:pPr>
        <w:spacing w:after="60" w:before="60"/>
      </w:pPr>
      <w:r>
        <w:rPr>
          <w:rFonts w:ascii="Arial" w:cs="Arial" w:eastAsia="Arial" w:hAnsi="Arial"/>
          <w:b/>
          <w:bCs/>
          <w:sz w:val="20"/>
          <w:szCs w:val="20"/>
        </w:rPr>
        <w:t xml:space="preserve">- Sekcja 8.1:</w:t>
      </w:r>
      <w:r>
        <w:rPr>
          <w:rFonts w:ascii="Arial" w:cs="Arial" w:eastAsia="Arial" w:hAnsi="Arial"/>
          <w:sz w:val="20"/>
          <w:szCs w:val="20"/>
        </w:rPr>
        <w:t xml:space="preserve"> Weryfikacja i implementacja krajowych norm higienicznych w środowisku pracy (NDS, NDSCh) na podstawie Rozporządzenia MRPiPS (Dz.U. 2018 poz. 1286 z późn. zm.).</w:t>
      </w:r>
    </w:p>
    <w:p>
      <w:pPr>
        <w:spacing w:after="60" w:before="60"/>
      </w:pPr>
      <w:r>
        <w:rPr>
          <w:rFonts w:ascii="Arial" w:cs="Arial" w:eastAsia="Arial" w:hAnsi="Arial"/>
          <w:b/>
          <w:bCs/>
          <w:sz w:val="20"/>
          <w:szCs w:val="20"/>
        </w:rPr>
        <w:t xml:space="preserve">- Sekcja 11.2 i 12.6:</w:t>
      </w:r>
      <w:r>
        <w:rPr>
          <w:rFonts w:ascii="Arial" w:cs="Arial" w:eastAsia="Arial" w:hAnsi="Arial"/>
          <w:sz w:val="20"/>
          <w:szCs w:val="20"/>
        </w:rPr>
        <w:t xml:space="preserve"> Wdrożenie obligatoryjnych podsekcji dotyczących właściwości zaburzających funkcjonowanie układu hormonalnego.</w:t>
      </w:r>
    </w:p>
    <w:p>
      <w:pPr>
        <w:spacing w:after="60" w:before="60"/>
      </w:pPr>
      <w:r>
        <w:rPr>
          <w:rFonts w:ascii="Arial" w:cs="Arial" w:eastAsia="Arial" w:hAnsi="Arial"/>
          <w:b/>
          <w:bCs/>
          <w:sz w:val="20"/>
          <w:szCs w:val="20"/>
        </w:rPr>
        <w:t xml:space="preserve">- Sekcja 13:</w:t>
      </w:r>
      <w:r>
        <w:rPr>
          <w:rFonts w:ascii="Arial" w:cs="Arial" w:eastAsia="Arial" w:hAnsi="Arial"/>
          <w:sz w:val="20"/>
          <w:szCs w:val="20"/>
        </w:rPr>
        <w:t xml:space="preserve"> Aktualizacja klasyfikacji i 6-cyfrowych kodów odpadów zgodnie z ustawą o odpadach i Dz.U. 2020 poz. 10.</w:t>
      </w:r>
    </w:p>
    <w:p>
      <w:pPr>
        <w:spacing w:after="60" w:before="60"/>
      </w:pPr>
      <w:r>
        <w:rPr>
          <w:rFonts w:ascii="Arial" w:cs="Arial" w:eastAsia="Arial" w:hAnsi="Arial"/>
          <w:b/>
          <w:bCs/>
          <w:sz w:val="20"/>
          <w:szCs w:val="20"/>
        </w:rPr>
        <w:t xml:space="preserve">- Sekcja 14:</w:t>
      </w:r>
      <w:r>
        <w:rPr>
          <w:rFonts w:ascii="Arial" w:cs="Arial" w:eastAsia="Arial" w:hAnsi="Arial"/>
          <w:sz w:val="20"/>
          <w:szCs w:val="20"/>
        </w:rPr>
        <w:t xml:space="preserve"> Weryfikacja i zharmonizowanie warunków przewozu zgodnie z Umową ADR.</w:t>
      </w:r>
    </w:p>
    <w:p>
      <w:pPr>
        <w:spacing w:after="80" w:before="150"/>
      </w:pPr>
      <w:r>
        <w:rPr>
          <w:rFonts w:ascii="Arial" w:cs="Arial" w:eastAsia="Arial" w:hAnsi="Arial"/>
          <w:b/>
          <w:bCs/>
          <w:sz w:val="20"/>
          <w:szCs w:val="20"/>
        </w:rPr>
        <w:t xml:space="preserve">Klauzula prawna i ochrona praw autorskich:</w:t>
      </w:r>
    </w:p>
    <w:p>
      <w:pPr>
        <w:spacing w:after="80"/>
      </w:pPr>
      <w:r>
        <w:rPr>
          <w:rFonts w:ascii="Arial" w:cs="Arial" w:eastAsia="Arial" w:hAnsi="Arial"/>
          <w:sz w:val="20"/>
          <w:szCs w:val="20"/>
        </w:rPr>
        <w:t xml:space="preserve">Niniejsze autorskie opracowanie tłumaczenia, formatowania oraz adaptacji regulacyjnej do prawa polskiego stanowi własność intelektualną firmy ITALLUX Sp. z o.o.. Kopiowanie i wykorzystywanie całości lub fragmentów w celach komercyjnych przez podmioty trzecie bez uprzedniej zgody właściciela jest zabronione. Dozwolone jest wykorzystanie dokumentu przez odbiorców w łańcuchu dostaw do celów bezpieczeństwa pracy i ochrony zdrowia.</w:t>
      </w:r>
    </w:p>
    <w:p>
      <w:pPr>
        <w:spacing w:after="80"/>
      </w:pPr>
      <w:r>
        <w:rPr>
          <w:rFonts w:ascii="Arial" w:cs="Arial" w:eastAsia="Arial" w:hAnsi="Arial"/>
          <w:sz w:val="20"/>
          <w:szCs w:val="20"/>
        </w:rPr>
        <w:t xml:space="preserve">Informacje zawarte w niniejszej karcie wynikają z aktualnego stanu wiedzy producenta i dystrybutora i odnoszą się wyłącznie do opisanego produktu. Użytkownik ponosi odpowiedzialność za stworzenie bezpiecznych warunków pracy oraz spełnienie wymagań prawnych związanych z jego zastosowaniem.</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color="E5E7EB" w:sz="4" w:space="4"/>
      </w:pBdr>
      <w:spacing w:before="120"/>
      <w:jc w:val="right"/>
    </w:pPr>
    <w:r>
      <w:rPr>
        <w:rFonts w:ascii="Arial" w:cs="Arial" w:eastAsia="Arial" w:hAnsi="Arial"/>
        <w:color w:val="555555"/>
        <w:sz w:val="16"/>
        <w:szCs w:val="16"/>
      </w:rPr>
      <w:t xml:space="preserve">Dystrybutor: ITALLUX Sp. z o.o. | </w:t>
    </w:r>
    <w:r>
      <w:rPr>
        <w:rFonts w:ascii="Arial" w:cs="Arial" w:eastAsia="Arial" w:hAnsi="Arial"/>
        <w:color w:val="555555"/>
        <w:sz w:val="16"/>
        <w:szCs w:val="16"/>
      </w:rPr>
      <w:t xml:space="preserve">Strona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z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color="E5E7EB" w:sz="4" w:space="4"/>
      </w:pBdr>
      <w:spacing w:after="120"/>
      <w:jc w:val="right"/>
    </w:pPr>
    <w:r>
      <w:rPr>
        <w:rFonts w:ascii="Arial" w:cs="Arial" w:eastAsia="Arial" w:hAnsi="Arial"/>
        <w:color w:val="555555"/>
        <w:sz w:val="16"/>
        <w:szCs w:val="16"/>
      </w:rPr>
      <w:t xml:space="preserve">KARTA CHARAKTERYSTYKI | SWEET HOME - PROFUMATORE AMBIENTE TALCO | Wersja: 1.0 PL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edf4620fc619cfcec683facca7e88bc7fd37dd8.undefined"/><Relationship Id="rId10" Type="http://schemas.openxmlformats.org/officeDocument/2006/relationships/image" Target="media/ab3b38ff5aec5db8cf291d921b1836a765ff072f.undefined"/><Relationship Id="rId11" Type="http://schemas.openxmlformats.org/officeDocument/2006/relationships/image" Target="media/bb4e46ba2799965d0181b8cc93349251770e4a8c.undefined"/><Relationship Id="rId12" Type="http://schemas.openxmlformats.org/officeDocument/2006/relationships/image" Target="media/40ebfa5564939c27d85f5e4019dc884a31c847f6.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2026-09-16T07:58:35.593Z</dcterms:created>
  <dcterms:modified xsi:type="dcterms:W3CDTF">2026-09-16T07:58:35.593Z</dcterms:modified>
</cp:coreProperties>
</file>

<file path=docProps/custom.xml><?xml version="1.0" encoding="utf-8"?>
<Properties xmlns="http://schemas.openxmlformats.org/officeDocument/2006/custom-properties" xmlns:vt="http://schemas.openxmlformats.org/officeDocument/2006/docPropsVTypes"/>
</file>