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Karta Charakterystyki</w:t>
      </w:r>
    </w:p>
    <w:p>
      <w:pPr>
        <w:spacing w:after="300"/>
        <w:jc w:val="center"/>
      </w:pPr>
      <w:r>
        <w:rPr>
          <w:sz w:val="16"/>
          <w:szCs w:val="16"/>
        </w:rPr>
        <w:t xml:space="preserve">[Sporządzona zgodnie z rozporządzeniem WE 1907/2006(REACH) wraz z późn. zm.]</w:t>
      </w:r>
    </w:p>
    <w:p>
      <w:pPr>
        <w:spacing w:after="400"/>
        <w:jc w:val="right"/>
      </w:pPr>
      <w:r>
        <w:rPr>
          <w:sz w:val="16"/>
          <w:szCs w:val="16"/>
        </w:rPr>
        <w:t xml:space="preserve">Data wystawienia: 14.09.2026</w:t>
      </w:r>
      <w:r>
        <w:rPr>
          <w:sz w:val="16"/>
          <w:szCs w:val="16"/>
        </w:rPr>
        <w:t xml:space="preserve">
Wersja: 1.0 PL</w:t>
      </w: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ORCHIDEA E VANIGLIA V2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1JUA-J3HY-KX04-SM29</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before="80"/>
      </w:pPr>
      <w:r>
        <w:rPr>
          <w:rFonts w:ascii="Arial" w:cs="Arial" w:eastAsia="Arial" w:hAnsi="Arial"/>
          <w:b/>
          <w:bCs/>
          <w:sz w:val="20"/>
          <w:szCs w:val="20"/>
        </w:rPr>
        <w:t xml:space="preserve">Zastosowanie zidentyfikowane:</w:t>
      </w:r>
      <w:r>
        <w:rPr>
          <w:rFonts w:ascii="Arial" w:cs="Arial" w:eastAsia="Arial" w:hAnsi="Arial"/>
          <w:sz w:val="20"/>
          <w:szCs w:val="20"/>
        </w:rPr>
        <w:t xml:space="preserve"> Zastosowanie konsumenckie, profesjonalne, przemysłowe: Industrial Professional Consumer.</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Do not use for uses other than those indicated</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MITRANS Weronika Grzesiak</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 woj. wielkopolskie</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kontakt@prostozwloch.com.pl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H225</w:t>
      </w:r>
    </w:p>
    <w:p>
      <w:pPr>
        <w:spacing w:after="80"/>
      </w:pPr>
      <w:r>
        <w:rPr>
          <w:rFonts w:ascii="Arial" w:cs="Arial" w:eastAsia="Arial" w:hAnsi="Arial"/>
          <w:sz w:val="20"/>
          <w:szCs w:val="20"/>
        </w:rPr>
        <w:t xml:space="preserve">Wysoce łatwopalna ciecz i pary.</w:t>
      </w:r>
    </w:p>
    <w:p>
      <w:pPr>
        <w:spacing w:after="80"/>
      </w:pPr>
      <w:r>
        <w:rPr>
          <w:rFonts w:ascii="Arial" w:cs="Arial" w:eastAsia="Arial" w:hAnsi="Arial"/>
          <w:sz w:val="20"/>
          <w:szCs w:val="20"/>
        </w:rPr>
        <w:t xml:space="preserve">H319</w:t>
      </w:r>
    </w:p>
    <w:p>
      <w:pPr>
        <w:spacing w:after="80"/>
      </w:pPr>
      <w:r>
        <w:rPr>
          <w:rFonts w:ascii="Arial" w:cs="Arial" w:eastAsia="Arial" w:hAnsi="Arial"/>
          <w:sz w:val="20"/>
          <w:szCs w:val="20"/>
        </w:rPr>
        <w:t xml:space="preserve">Działa drażniąco na oczy.</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 i hasło ostrzegawcze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Niebezpieczeństwo</w:t>
      </w:r>
    </w:p>
    <w:p>
      <w:pPr>
        <w:spacing w:after="80" w:before="150"/>
      </w:pPr>
      <w:r>
        <w:rPr>
          <w:rFonts w:ascii="Arial" w:cs="Arial" w:eastAsia="Arial" w:hAnsi="Arial"/>
          <w:b/>
          <w:bCs/>
          <w:sz w:val="20"/>
          <w:szCs w:val="20"/>
        </w:rPr>
        <w:t xml:space="preserve">Nazwy niebezpiecznych substancji wymienione na etykiecie</w:t>
      </w:r>
    </w:p>
    <w:p>
      <w:pPr>
        <w:spacing w:after="80"/>
      </w:pPr>
      <w:r>
        <w:rPr>
          <w:rFonts w:ascii="Arial" w:cs="Arial" w:eastAsia="Arial" w:hAnsi="Arial"/>
          <w:sz w:val="20"/>
          <w:szCs w:val="20"/>
        </w:rPr>
        <w:t xml:space="preserve">etanol, 4-methoxybenzaldehyde, kumaryna, 2,6-ditert-butyl-4-methylphenol, toluene</w:t>
      </w:r>
    </w:p>
    <w:p>
      <w:pPr>
        <w:spacing w:after="80" w:before="150"/>
      </w:pPr>
      <w:r>
        <w:rPr>
          <w:rFonts w:ascii="Arial" w:cs="Arial" w:eastAsia="Arial" w:hAnsi="Arial"/>
          <w:b/>
          <w:bCs/>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before="150"/>
      </w:pPr>
      <w:r>
        <w:rPr>
          <w:rFonts w:ascii="Arial" w:cs="Arial" w:eastAsia="Arial" w:hAnsi="Arial"/>
          <w:b/>
          <w:bCs/>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pPr>
      <w:r>
        <w:rPr>
          <w:rFonts w:ascii="Arial" w:cs="Arial" w:eastAsia="Arial" w:hAnsi="Arial"/>
          <w:sz w:val="20"/>
          <w:szCs w:val="20"/>
        </w:rPr>
        <w:t xml:space="preserve">P302+P352 W PRZYPADKU KONTAKTU ZE SKÓRĄ: Umyć dużą ilością wody z mydłem.</w:t>
      </w:r>
    </w:p>
    <w:p>
      <w:pPr>
        <w:spacing w:after="80" w:before="150"/>
      </w:pPr>
      <w:r>
        <w:rPr>
          <w:rFonts w:ascii="Arial" w:cs="Arial" w:eastAsia="Arial" w:hAnsi="Arial"/>
          <w:b/>
          <w:bCs/>
          <w:sz w:val="20"/>
          <w:szCs w:val="20"/>
        </w:rPr>
        <w:t xml:space="preserve">Informacje uzupełniające</w:t>
      </w:r>
    </w:p>
    <w:p>
      <w:pPr>
        <w:spacing w:after="80"/>
      </w:pPr>
      <w:r>
        <w:rPr>
          <w:rFonts w:ascii="Arial" w:cs="Arial" w:eastAsia="Arial" w:hAnsi="Arial"/>
          <w:sz w:val="20"/>
          <w:szCs w:val="20"/>
        </w:rPr>
        <w:t xml:space="preserve">Brak.</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tc>
        <w:tc>
          <w:tcPr>
            <w:tcW w:type="dxa" w:w="2800"/>
          </w:tcPr>
          <w:p>
            <w:pPr>
              <w:spacing w:after="40"/>
            </w:pPr>
            <w:r>
              <w:rPr>
                <w:rFonts w:ascii="Arial" w:cs="Arial" w:eastAsia="Arial" w:hAnsi="Arial"/>
                <w:sz w:val="17"/>
                <w:szCs w:val="17"/>
              </w:rPr>
              <w:t xml:space="preserve">Flam. Liq. 2 H225, Eye Irrit. 2 H319, Eye Irrit. 2 H319: ≥ 50%</w:t>
            </w:r>
          </w:p>
        </w:tc>
        <w:tc>
          <w:tcPr>
            <w:tcW w:type="dxa" w:w="1400"/>
          </w:tcPr>
          <w:p>
            <w:r>
              <w:rPr>
                <w:rFonts w:ascii="Arial" w:cs="Arial" w:eastAsia="Arial" w:hAnsi="Arial"/>
                <w:sz w:val="18"/>
                <w:szCs w:val="18"/>
              </w:rPr>
              <w:t xml:space="preserve">74 ≤ x &lt; 78</w:t>
            </w:r>
          </w:p>
        </w:tc>
      </w:tr>
      <w:tr>
        <w:tc>
          <w:tcPr>
            <w:tcW w:type="dxa" w:w="2800"/>
          </w:tcPr>
          <w:p>
            <w:pPr>
              <w:spacing w:after="40"/>
            </w:pPr>
            <w:r>
              <w:rPr>
                <w:rFonts w:ascii="Arial" w:cs="Arial" w:eastAsia="Arial" w:hAnsi="Arial"/>
                <w:b/>
                <w:bCs/>
                <w:sz w:val="18"/>
                <w:szCs w:val="18"/>
              </w:rPr>
              <w:t xml:space="preserve">4-methoxybenzaldehyde</w:t>
            </w:r>
          </w:p>
          <w:p>
            <w:r>
              <w:rPr>
                <w:rFonts w:ascii="Arial" w:cs="Arial" w:eastAsia="Arial" w:hAnsi="Arial"/>
                <w:i/>
                <w:iCs/>
                <w:color w:val="666666"/>
                <w:sz w:val="16"/>
                <w:szCs w:val="16"/>
              </w:rPr>
              <w:t xml:space="preserve">(ang. ANISALDEHYDE)</w:t>
            </w:r>
          </w:p>
        </w:tc>
        <w:tc>
          <w:tcPr>
            <w:tcW w:type="dxa" w:w="2600"/>
          </w:tcPr>
          <w:p>
            <w:pPr>
              <w:spacing w:after="40"/>
            </w:pPr>
            <w:r>
              <w:rPr>
                <w:rFonts w:ascii="Arial" w:cs="Arial" w:eastAsia="Arial" w:hAnsi="Arial"/>
                <w:sz w:val="17"/>
                <w:szCs w:val="17"/>
              </w:rPr>
              <w:t xml:space="preserve">Numer CAS: 123-11-5</w:t>
            </w:r>
          </w:p>
          <w:p>
            <w:pPr>
              <w:spacing w:after="40"/>
            </w:pPr>
            <w:r>
              <w:rPr>
                <w:rFonts w:ascii="Arial" w:cs="Arial" w:eastAsia="Arial" w:hAnsi="Arial"/>
                <w:sz w:val="17"/>
                <w:szCs w:val="17"/>
              </w:rPr>
              <w:t xml:space="preserve">Numer WE: 204-602-6</w:t>
            </w:r>
          </w:p>
        </w:tc>
        <w:tc>
          <w:tcPr>
            <w:tcW w:type="dxa" w:w="2800"/>
          </w:tcPr>
          <w:p>
            <w:pPr>
              <w:spacing w:after="40"/>
            </w:pPr>
            <w:r>
              <w:rPr>
                <w:rFonts w:ascii="Arial" w:cs="Arial" w:eastAsia="Arial" w:hAnsi="Arial"/>
                <w:sz w:val="17"/>
                <w:szCs w:val="17"/>
              </w:rPr>
              <w:t xml:space="preserve">Repr. 2 H361fd, Stwarzające zagrożenie dla środowiska wodnego - kategoria przewlekła 3 H412</w:t>
            </w:r>
          </w:p>
        </w:tc>
        <w:tc>
          <w:tcPr>
            <w:tcW w:type="dxa" w:w="1400"/>
          </w:tcPr>
          <w:p>
            <w:r>
              <w:rPr>
                <w:rFonts w:ascii="Arial" w:cs="Arial" w:eastAsia="Arial" w:hAnsi="Arial"/>
                <w:sz w:val="18"/>
                <w:szCs w:val="18"/>
              </w:rPr>
              <w:t xml:space="preserve">0,7 ≤ x &lt; 0,8</w:t>
            </w:r>
          </w:p>
        </w:tc>
      </w:tr>
      <w:tr>
        <w:tc>
          <w:tcPr>
            <w:tcW w:type="dxa" w:w="2800"/>
          </w:tcPr>
          <w:p>
            <w:pPr>
              <w:spacing w:after="40"/>
            </w:pPr>
            <w:r>
              <w:rPr>
                <w:rFonts w:ascii="Arial" w:cs="Arial" w:eastAsia="Arial" w:hAnsi="Arial"/>
                <w:b/>
                <w:bCs/>
                <w:sz w:val="18"/>
                <w:szCs w:val="18"/>
              </w:rPr>
              <w:t xml:space="preserve">kumaryna</w:t>
            </w:r>
          </w:p>
          <w:p>
            <w:r>
              <w:rPr>
                <w:rFonts w:ascii="Arial" w:cs="Arial" w:eastAsia="Arial" w:hAnsi="Arial"/>
                <w:i/>
                <w:iCs/>
                <w:color w:val="666666"/>
                <w:sz w:val="16"/>
                <w:szCs w:val="16"/>
              </w:rPr>
              <w:t xml:space="preserve">(ang. 2H-CHROMEN-2-ONE)</w:t>
            </w:r>
          </w:p>
        </w:tc>
        <w:tc>
          <w:tcPr>
            <w:tcW w:type="dxa" w:w="2600"/>
          </w:tcPr>
          <w:p>
            <w:pPr>
              <w:spacing w:after="40"/>
            </w:pPr>
            <w:r>
              <w:rPr>
                <w:rFonts w:ascii="Arial" w:cs="Arial" w:eastAsia="Arial" w:hAnsi="Arial"/>
                <w:sz w:val="17"/>
                <w:szCs w:val="17"/>
              </w:rPr>
              <w:t xml:space="preserve">Numer CAS: 91-64-5</w:t>
            </w:r>
          </w:p>
          <w:p>
            <w:pPr>
              <w:spacing w:after="40"/>
            </w:pPr>
            <w:r>
              <w:rPr>
                <w:rFonts w:ascii="Arial" w:cs="Arial" w:eastAsia="Arial" w:hAnsi="Arial"/>
                <w:sz w:val="17"/>
                <w:szCs w:val="17"/>
              </w:rPr>
              <w:t xml:space="preserve">Numer WE: 202-086-7</w:t>
            </w:r>
          </w:p>
        </w:tc>
        <w:tc>
          <w:tcPr>
            <w:tcW w:type="dxa" w:w="2800"/>
          </w:tcPr>
          <w:p>
            <w:pPr>
              <w:spacing w:after="40"/>
            </w:pPr>
            <w:r>
              <w:rPr>
                <w:rFonts w:ascii="Arial" w:cs="Arial" w:eastAsia="Arial" w:hAnsi="Arial"/>
                <w:sz w:val="17"/>
                <w:szCs w:val="17"/>
              </w:rPr>
              <w:t xml:space="preserve">Acute Tox. 4 H302, Skin Sens. 1 H317, Stwarzające zagrożenie dla środowiska wodnego - kategoria przewlekła 3 H412, ATE Oral: 500 mg/kg</w:t>
            </w:r>
          </w:p>
        </w:tc>
        <w:tc>
          <w:tcPr>
            <w:tcW w:type="dxa" w:w="1400"/>
          </w:tcPr>
          <w:p>
            <w:r>
              <w:rPr>
                <w:rFonts w:ascii="Arial" w:cs="Arial" w:eastAsia="Arial" w:hAnsi="Arial"/>
                <w:sz w:val="18"/>
                <w:szCs w:val="18"/>
              </w:rPr>
              <w:t xml:space="preserve">0,4 ≤ x &lt; 0,45</w:t>
            </w:r>
          </w:p>
        </w:tc>
      </w:tr>
      <w:tr>
        <w:tc>
          <w:tcPr>
            <w:tcW w:type="dxa" w:w="2800"/>
          </w:tcPr>
          <w:p>
            <w:pPr>
              <w:spacing w:after="40"/>
            </w:pPr>
            <w:r>
              <w:rPr>
                <w:rFonts w:ascii="Arial" w:cs="Arial" w:eastAsia="Arial" w:hAnsi="Arial"/>
                <w:b/>
                <w:bCs/>
                <w:sz w:val="18"/>
                <w:szCs w:val="18"/>
              </w:rPr>
              <w:t xml:space="preserve">2,6-ditert-butyl-4-methylphenol</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tc>
        <w:tc>
          <w:tcPr>
            <w:tcW w:type="dxa" w:w="2800"/>
          </w:tcPr>
          <w:p>
            <w:pPr>
              <w:spacing w:after="40"/>
            </w:pPr>
            <w:r>
              <w:rPr>
                <w:rFonts w:ascii="Arial" w:cs="Arial" w:eastAsia="Arial" w:hAnsi="Arial"/>
                <w:sz w:val="17"/>
                <w:szCs w:val="17"/>
              </w:rPr>
              <w:t xml:space="preserve">Stwarzające zagrożenie dla środowiska wodnego - kategoria przewlekła 1 H410 M= 1</w:t>
            </w:r>
          </w:p>
        </w:tc>
        <w:tc>
          <w:tcPr>
            <w:tcW w:type="dxa" w:w="1400"/>
          </w:tcPr>
          <w:p>
            <w:r>
              <w:rPr>
                <w:rFonts w:ascii="Arial" w:cs="Arial" w:eastAsia="Arial" w:hAnsi="Arial"/>
                <w:sz w:val="18"/>
                <w:szCs w:val="18"/>
              </w:rPr>
              <w:t xml:space="preserve">0,1 ≤ x &lt; 0,15</w:t>
            </w:r>
          </w:p>
        </w:tc>
      </w:tr>
      <w:tr>
        <w:tc>
          <w:tcPr>
            <w:tcW w:type="dxa" w:w="2800"/>
          </w:tcPr>
          <w:p>
            <w:pPr>
              <w:spacing w:after="40"/>
            </w:pPr>
            <w:r>
              <w:rPr>
                <w:rFonts w:ascii="Arial" w:cs="Arial" w:eastAsia="Arial" w:hAnsi="Arial"/>
                <w:b/>
                <w:bCs/>
                <w:sz w:val="18"/>
                <w:szCs w:val="18"/>
              </w:rPr>
              <w:t xml:space="preserve">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 Irrit. 2 H315, Działanie toksyczne na narządy docelowe – narażenie jednorazowe 3 H336</w:t>
            </w:r>
          </w:p>
        </w:tc>
        <w:tc>
          <w:tcPr>
            <w:tcW w:type="dxa" w:w="1400"/>
          </w:tcPr>
          <w:p>
            <w:r>
              <w:rPr>
                <w:rFonts w:ascii="Arial" w:cs="Arial" w:eastAsia="Arial" w:hAnsi="Arial"/>
                <w:sz w:val="18"/>
                <w:szCs w:val="18"/>
              </w:rPr>
              <w:t xml:space="preserve">0 &lt; x &lt; 0,05</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Zmyć natychmiast dużą ilością wody z mydłem.</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Płukać wodą przy otwartych powiekach przez wystarczająco długi czas, następnie natychmiast skonsultować się z lekarzem okulistą. Usunąć soczewki kontaktowe, jeżeli są i można je łatwo usunąć.</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zapewnić ciepło i spokój. W przypadku wystąpienia objawów skonsultować się z lekarzem i pokazać opakowanie lub etykietę.</w:t>
      </w:r>
    </w:p>
    <w:p>
      <w:pPr>
        <w:spacing w:after="100" w:before="200"/>
      </w:pPr>
      <w:r>
        <w:rPr>
          <w:rFonts w:ascii="Arial" w:cs="Arial" w:eastAsia="Arial" w:hAnsi="Arial"/>
          <w:b/>
          <w:bCs/>
          <w:sz w:val="20"/>
          <w:szCs w:val="20"/>
        </w:rPr>
        <w:t xml:space="preserve">4.2. Najważniejsze ostre i opóźnione objawy oraz skutki narażenia</w:t>
      </w:r>
    </w:p>
    <w:p>
      <w:pPr>
        <w:spacing w:after="80"/>
      </w:pPr>
      <w:r>
        <w:rPr>
          <w:rFonts w:ascii="Arial" w:cs="Arial" w:eastAsia="Arial" w:hAnsi="Arial"/>
          <w:sz w:val="20"/>
          <w:szCs w:val="20"/>
        </w:rPr>
        <w:t xml:space="preserve">Specific information on symptoms and effects caused by the product are unknown. DELAYED EFFECTS: Based on the information currently available, there are no known cases of delayed effects following exposure to this product.</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before="80"/>
      </w:pPr>
      <w:r>
        <w:rPr>
          <w:rFonts w:ascii="Arial" w:cs="Arial" w:eastAsia="Arial" w:hAnsi="Arial"/>
          <w:b/>
          <w:bCs/>
          <w:sz w:val="20"/>
          <w:szCs w:val="20"/>
        </w:rPr>
        <w:t xml:space="preserve">Leczenie:</w:t>
      </w:r>
      <w:r>
        <w:rPr>
          <w:rFonts w:ascii="Arial" w:cs="Arial" w:eastAsia="Arial" w:hAnsi="Arial"/>
          <w:sz w:val="20"/>
          <w:szCs w:val="20"/>
        </w:rPr>
        <w:t xml:space="preserve"> If symptoms occur, whether acute or delayed, consult a doctor. Means to have available in the workplace for specific and immediate treatment Running water for skin and eye wash.</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w:t>
      </w:r>
    </w:p>
    <w:p>
      <w:pPr>
        <w:spacing w:after="80" w:before="80"/>
      </w:pPr>
      <w:r>
        <w:rPr>
          <w:rFonts w:ascii="Arial" w:cs="Arial" w:eastAsia="Arial" w:hAnsi="Arial"/>
          <w:b/>
          <w:bCs/>
          <w:sz w:val="20"/>
          <w:szCs w:val="20"/>
        </w:rPr>
        <w:t xml:space="preserve">Odpowiednie środki gaśnicze:</w:t>
      </w:r>
      <w:r>
        <w:rPr>
          <w:rFonts w:ascii="Arial" w:cs="Arial" w:eastAsia="Arial" w:hAnsi="Arial"/>
          <w:sz w:val="20"/>
          <w:szCs w:val="20"/>
        </w:rPr>
        <w:t xml:space="preserve"> Piana gaśnicza, proszek gaśniczy, dwutlenek węgla (CO2), rozproszone prądy wody. Środki gaśnicze dobrać odpowiednio do materiałów palnych znajdujących się w otoczeniu pożaru.</w:t>
      </w:r>
    </w:p>
    <w:p>
      <w:pPr>
        <w:spacing w:after="80" w:before="80"/>
      </w:pPr>
      <w:r>
        <w:rPr>
          <w:rFonts w:ascii="Arial" w:cs="Arial" w:eastAsia="Arial" w:hAnsi="Arial"/>
          <w:b/>
          <w:bCs/>
          <w:sz w:val="20"/>
          <w:szCs w:val="20"/>
        </w:rPr>
        <w:t xml:space="preserve">Niewłaściwe środki gaśnicze:</w:t>
      </w:r>
      <w:r>
        <w:rPr>
          <w:rFonts w:ascii="Arial" w:cs="Arial" w:eastAsia="Arial" w:hAnsi="Arial"/>
          <w:sz w:val="20"/>
          <w:szCs w:val="20"/>
        </w:rPr>
        <w:t xml:space="preserve"> Brak szczególnych.</w:t>
      </w:r>
    </w:p>
    <w:p>
      <w:pPr>
        <w:spacing w:after="100" w:before="200"/>
      </w:pPr>
      <w:r>
        <w:rPr>
          <w:rFonts w:ascii="Arial" w:cs="Arial" w:eastAsia="Arial" w:hAnsi="Arial"/>
          <w:b/>
          <w:bCs/>
          <w:sz w:val="20"/>
          <w:szCs w:val="20"/>
        </w:rPr>
        <w:t xml:space="preserve">5.2. Szczególne zagrożenia związane z substancją lub mieszaniną</w:t>
      </w:r>
    </w:p>
    <w:p>
      <w:pPr>
        <w:spacing w:after="80" w:before="80"/>
      </w:pPr>
      <w:r>
        <w:rPr>
          <w:rFonts w:ascii="Arial" w:cs="Arial" w:eastAsia="Arial" w:hAnsi="Arial"/>
          <w:b/>
          <w:bCs/>
          <w:sz w:val="20"/>
          <w:szCs w:val="20"/>
        </w:rPr>
        <w:t xml:space="preserve">Szczególne zagrożenia:</w:t>
      </w:r>
      <w:r>
        <w:rPr>
          <w:rFonts w:ascii="Arial" w:cs="Arial" w:eastAsia="Arial" w:hAnsi="Arial"/>
          <w:sz w:val="20"/>
          <w:szCs w:val="20"/>
        </w:rPr>
        <w:t xml:space="preserve"> HAZARDS CAUSED BY EXPOSURE IN THE EVENT OF FIRE Excess pressure may form in containers exposed to fire at a risk of explosion. Do not breathe combustion products.</w:t>
      </w:r>
    </w:p>
    <w:p>
      <w:pPr>
        <w:spacing w:after="100" w:before="200"/>
      </w:pPr>
      <w:r>
        <w:rPr>
          <w:rFonts w:ascii="Arial" w:cs="Arial" w:eastAsia="Arial" w:hAnsi="Arial"/>
          <w:b/>
          <w:bCs/>
          <w:sz w:val="20"/>
          <w:szCs w:val="20"/>
        </w:rPr>
        <w:t xml:space="preserve">5.3. Informacje dla straży pożarnej</w:t>
      </w:r>
    </w:p>
    <w:p>
      <w:pPr>
        <w:spacing w:after="80" w:before="80"/>
      </w:pPr>
      <w:r>
        <w:rPr>
          <w:rFonts w:ascii="Arial" w:cs="Arial" w:eastAsia="Arial" w:hAnsi="Arial"/>
          <w:b/>
          <w:bCs/>
          <w:sz w:val="20"/>
          <w:szCs w:val="20"/>
        </w:rPr>
        <w:t xml:space="preserve">Środki ochrony strażaków:</w:t>
      </w:r>
      <w:r>
        <w:rPr>
          <w:rFonts w:ascii="Arial" w:cs="Arial" w:eastAsia="Arial" w:hAnsi="Arial"/>
          <w:sz w:val="20"/>
          <w:szCs w:val="20"/>
        </w:rPr>
        <w:t xml:space="preserve"> GENERAL INFORMATION Use jets of water to cool the containers to prevent product decomposition and the development of substances potentially hazardous for health. Always wear full fire prevention gear. Collect extinguishing water to prevent it from draining into the sewer system. Dispose of contaminated water used for extinction and the remains of the fire according to applicable regulations. SPECIAL PROTECTIVE EQUIPMENT FOR FIRE-FIGHTERS Normal fire fighting clothing i.e. fire kit (BS EN 469), gloves (BS EN 659) and boots (HO specification A29 and A30) in combination with self-contained open circuit positive pressure compressed air breathing apparatus (BS EN 137).</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Indywidualne środki ostrożności, wyposażenie ochronne i procedury w sytuacjach awaryjnych</w:t>
      </w:r>
    </w:p>
    <w:p>
      <w:pPr>
        <w:spacing w:after="80" w:before="80"/>
      </w:pPr>
      <w:r>
        <w:rPr>
          <w:rFonts w:ascii="Arial" w:cs="Arial" w:eastAsia="Arial" w:hAnsi="Arial"/>
          <w:b/>
          <w:bCs/>
          <w:sz w:val="20"/>
          <w:szCs w:val="20"/>
        </w:rPr>
        <w:t xml:space="preserve">Dla osób nienależących do personelu udzielającego pomocy:</w:t>
      </w:r>
      <w:r>
        <w:rPr>
          <w:rFonts w:ascii="Arial" w:cs="Arial" w:eastAsia="Arial" w:hAnsi="Arial"/>
          <w:sz w:val="20"/>
          <w:szCs w:val="20"/>
        </w:rPr>
        <w:t xml:space="preserve"> Stosować środki ochrony indywidualnej. Ewakuować osoby w bezpieczne miejsce. Patrz środki ochronne w punkcie 7 i 8.</w:t>
      </w:r>
    </w:p>
    <w:p>
      <w:pPr>
        <w:spacing w:after="80" w:before="80"/>
      </w:pPr>
      <w:r>
        <w:rPr>
          <w:rFonts w:ascii="Arial" w:cs="Arial" w:eastAsia="Arial" w:hAnsi="Arial"/>
          <w:b/>
          <w:bCs/>
          <w:sz w:val="20"/>
          <w:szCs w:val="20"/>
        </w:rPr>
        <w:t xml:space="preserve">Dla osób udzielających pomocy:</w:t>
      </w:r>
      <w:r>
        <w:rPr>
          <w:rFonts w:ascii="Arial" w:cs="Arial" w:eastAsia="Arial" w:hAnsi="Arial"/>
          <w:sz w:val="20"/>
          <w:szCs w:val="20"/>
        </w:rPr>
        <w:t xml:space="preserve"> Stosować środki ochrony indywidualnej.</w:t>
      </w:r>
    </w:p>
    <w:p>
      <w:pPr>
        <w:spacing w:after="100" w:before="200"/>
      </w:pPr>
      <w:r>
        <w:rPr>
          <w:rFonts w:ascii="Arial" w:cs="Arial" w:eastAsia="Arial" w:hAnsi="Arial"/>
          <w:b/>
          <w:bCs/>
          <w:sz w:val="20"/>
          <w:szCs w:val="20"/>
        </w:rPr>
        <w:t xml:space="preserve">6.2. Środki ostrożności w zakresie ochrony środowiska</w:t>
      </w:r>
    </w:p>
    <w:p>
      <w:pPr>
        <w:spacing w:after="80"/>
      </w:pPr>
      <w:r>
        <w:rPr>
          <w:rFonts w:ascii="Arial" w:cs="Arial" w:eastAsia="Arial" w:hAnsi="Arial"/>
          <w:sz w:val="20"/>
          <w:szCs w:val="20"/>
        </w:rPr>
        <w:t xml:space="preserve">The product must not penetrate into the sewer system or come into contact with surface water or ground water.</w:t>
      </w:r>
    </w:p>
    <w:p>
      <w:pPr>
        <w:spacing w:after="100" w:before="200"/>
      </w:pPr>
      <w:r>
        <w:rPr>
          <w:rFonts w:ascii="Arial" w:cs="Arial" w:eastAsia="Arial" w:hAnsi="Arial"/>
          <w:b/>
          <w:bCs/>
          <w:sz w:val="20"/>
          <w:szCs w:val="20"/>
        </w:rPr>
        <w:t xml:space="preserve">6.3. Metody i materiały zapobiegające rozprzestrzenianiu się skażenia i służące do usuwania skażenia</w:t>
      </w:r>
    </w:p>
    <w:p>
      <w:pPr>
        <w:spacing w:after="80"/>
      </w:pPr>
      <w:r>
        <w:rPr>
          <w:rFonts w:ascii="Arial" w:cs="Arial" w:eastAsia="Arial" w:hAnsi="Arial"/>
          <w:sz w:val="20"/>
          <w:szCs w:val="20"/>
        </w:rPr>
        <w:t xml:space="preserve">Collect the leaked product into a suitable container. Evaluate the compatibility of the container to be used, by checking section 10. Absorb the remainder with inert absorbent material. Make sure the leakage site is well aired. Contaminated material should be disposed of in compliance with the provisions set forth in point 13.</w:t>
      </w:r>
    </w:p>
    <w:p>
      <w:pPr>
        <w:spacing w:after="100" w:before="200"/>
      </w:pPr>
      <w:r>
        <w:rPr>
          <w:rFonts w:ascii="Arial" w:cs="Arial" w:eastAsia="Arial" w:hAnsi="Arial"/>
          <w:b/>
          <w:bCs/>
          <w:sz w:val="20"/>
          <w:szCs w:val="20"/>
        </w:rPr>
        <w:t xml:space="preserve">6.4. Odniesienia do innych sekcji</w:t>
      </w:r>
    </w:p>
    <w:p>
      <w:pPr>
        <w:spacing w:after="80"/>
      </w:pPr>
      <w:r>
        <w:rPr>
          <w:rFonts w:ascii="Arial" w:cs="Arial" w:eastAsia="Arial" w:hAnsi="Arial"/>
          <w:sz w:val="20"/>
          <w:szCs w:val="20"/>
        </w:rPr>
        <w:t xml:space="preserve">Any information on personal protection and disposal is given in sections 8 and 13.</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dotyczące bezpiecznego postępowania</w:t>
      </w:r>
    </w:p>
    <w:p>
      <w:pPr>
        <w:spacing w:after="80" w:before="80"/>
      </w:pPr>
      <w:r>
        <w:rPr>
          <w:rFonts w:ascii="Arial" w:cs="Arial" w:eastAsia="Arial" w:hAnsi="Arial"/>
          <w:b/>
          <w:bCs/>
          <w:sz w:val="20"/>
          <w:szCs w:val="20"/>
        </w:rPr>
        <w:t xml:space="preserve">Środki ostrożności:</w:t>
      </w:r>
      <w:r>
        <w:rPr>
          <w:rFonts w:ascii="Arial" w:cs="Arial" w:eastAsia="Arial" w:hAnsi="Arial"/>
          <w:sz w:val="20"/>
          <w:szCs w:val="20"/>
        </w:rPr>
        <w:t xml:space="preserve"> Keep away from heat, sparks and naked flames; do not smoke or use matches or lighters. Without adequate ventilation, vapours may accumulate at ground level and, if ignited, catch fire even at a distance, with the danger of backfire. Avoid bunching of electrostatic charges. When performing transfer operations involving large containers, connect to an earthing system and wear antistatic footwear. Vigorous stirring and flow through the tubes and equipment may cause the formation and accumulation of electrostatic charges. In order to avoid the risk of fires and explosions, never use compressed air when handling. Open containers with caution as they may be pressurised. Do not eat, drink or smoke during use. Avoid leakage of the product into the environment.</w:t>
      </w:r>
    </w:p>
    <w:p>
      <w:pPr>
        <w:spacing w:after="80" w:before="80"/>
      </w:pPr>
      <w:r>
        <w:rPr>
          <w:rFonts w:ascii="Arial" w:cs="Arial" w:eastAsia="Arial" w:hAnsi="Arial"/>
          <w:b/>
          <w:bCs/>
          <w:sz w:val="20"/>
          <w:szCs w:val="20"/>
        </w:rPr>
        <w:t xml:space="preserve">Zalecenia dotyczące ogólnej higieny pracy:</w:t>
      </w:r>
      <w:r>
        <w:rPr>
          <w:rFonts w:ascii="Arial" w:cs="Arial" w:eastAsia="Arial" w:hAnsi="Arial"/>
          <w:sz w:val="20"/>
          <w:szCs w:val="20"/>
        </w:rPr>
        <w:t xml:space="preserve"> Nie jeść i nie pić podczas pracy.</w:t>
      </w:r>
    </w:p>
    <w:p>
      <w:pPr>
        <w:spacing w:after="100" w:before="200"/>
      </w:pPr>
      <w:r>
        <w:rPr>
          <w:rFonts w:ascii="Arial" w:cs="Arial" w:eastAsia="Arial" w:hAnsi="Arial"/>
          <w:b/>
          <w:bCs/>
          <w:sz w:val="20"/>
          <w:szCs w:val="20"/>
        </w:rPr>
        <w:t xml:space="preserve">7.2. Warunki bezpiecznego magazynowania, w tym informacje dotyczące wszelkich wzajemnych niezgodności</w:t>
      </w:r>
    </w:p>
    <w:p>
      <w:pPr>
        <w:spacing w:after="80" w:before="80"/>
      </w:pPr>
      <w:r>
        <w:rPr>
          <w:rFonts w:ascii="Arial" w:cs="Arial" w:eastAsia="Arial" w:hAnsi="Arial"/>
          <w:b/>
          <w:bCs/>
          <w:sz w:val="20"/>
          <w:szCs w:val="20"/>
        </w:rPr>
        <w:t xml:space="preserve">Materiały niezgodne:</w:t>
      </w:r>
      <w:r>
        <w:rPr>
          <w:rFonts w:ascii="Arial" w:cs="Arial" w:eastAsia="Arial" w:hAnsi="Arial"/>
          <w:sz w:val="20"/>
          <w:szCs w:val="20"/>
        </w:rPr>
        <w:t xml:space="preserve"> , see section 10 for details.</w:t>
      </w:r>
    </w:p>
    <w:p>
      <w:pPr>
        <w:spacing w:after="80" w:before="80"/>
      </w:pPr>
      <w:r>
        <w:rPr>
          <w:rFonts w:ascii="Arial" w:cs="Arial" w:eastAsia="Arial" w:hAnsi="Arial"/>
          <w:b/>
          <w:bCs/>
          <w:sz w:val="20"/>
          <w:szCs w:val="20"/>
        </w:rPr>
        <w:t xml:space="preserve">Wskazówki dotyczące pomieszczeń magazynowych:</w:t>
      </w:r>
      <w:r>
        <w:rPr>
          <w:rFonts w:ascii="Arial" w:cs="Arial" w:eastAsia="Arial" w:hAnsi="Arial"/>
          <w:sz w:val="20"/>
          <w:szCs w:val="20"/>
        </w:rPr>
        <w:t xml:space="preserve"> Pomieszczenia odpowiednio wentylowane.</w:t>
      </w:r>
    </w:p>
    <w:p>
      <w:pPr>
        <w:spacing w:after="100" w:before="200"/>
      </w:pPr>
      <w:r>
        <w:rPr>
          <w:rFonts w:ascii="Arial" w:cs="Arial" w:eastAsia="Arial" w:hAnsi="Arial"/>
          <w:b/>
          <w:bCs/>
          <w:sz w:val="20"/>
          <w:szCs w:val="20"/>
        </w:rPr>
        <w:t xml:space="preserve">7.3. Szczególne zastosowanie(-a) końcowe</w:t>
      </w:r>
    </w:p>
    <w:p>
      <w:pPr>
        <w:spacing w:after="80"/>
      </w:pPr>
      <w:r>
        <w:rPr>
          <w:rFonts w:ascii="Arial" w:cs="Arial" w:eastAsia="Arial" w:hAnsi="Arial"/>
          <w:sz w:val="20"/>
          <w:szCs w:val="20"/>
        </w:rPr>
        <w:t xml:space="preserve">Information not available</w:t>
      </w:r>
    </w:p>
    <w:p>
      <w:pPr>
        <w:spacing w:after="80" w:before="80"/>
      </w:pPr>
      <w:r>
        <w:rPr>
          <w:rFonts w:ascii="Arial" w:cs="Arial" w:eastAsia="Arial" w:hAnsi="Arial"/>
          <w:b/>
          <w:bCs/>
          <w:sz w:val="20"/>
          <w:szCs w:val="20"/>
        </w:rPr>
        <w:t xml:space="preserve">Rozwiązania specyficzne dla sektora przemysłowego:</w:t>
      </w:r>
      <w:r>
        <w:rPr>
          <w:rFonts w:ascii="Arial" w:cs="Arial" w:eastAsia="Arial" w:hAnsi="Arial"/>
          <w:sz w:val="20"/>
          <w:szCs w:val="20"/>
        </w:rPr>
        <w:t xml:space="preserve"> Brak szczególnych.</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80"/>
      </w:pPr>
      <w:r>
        <w:rPr>
          <w:rFonts w:ascii="Arial" w:cs="Arial" w:eastAsia="Arial" w:hAnsi="Arial"/>
          <w:sz w:val="20"/>
          <w:szCs w:val="20"/>
        </w:rPr>
        <w:t xml:space="preserve">- NDS: 1900 mg/m³</w:t>
      </w:r>
    </w:p>
    <w:p>
      <w:pPr>
        <w:spacing w:after="80"/>
      </w:pPr>
      <w:r>
        <w:rPr>
          <w:rFonts w:ascii="Arial" w:cs="Arial" w:eastAsia="Arial" w:hAnsi="Arial"/>
          <w:sz w:val="20"/>
          <w:szCs w:val="20"/>
        </w:rPr>
        <w:t xml:space="preserve">2,6-Di-tert-butylo-4-metylofenol [CAS: 128-37-0]:</w:t>
      </w:r>
    </w:p>
    <w:p>
      <w:pPr>
        <w:spacing w:after="80"/>
      </w:pPr>
      <w:r>
        <w:rPr>
          <w:rFonts w:ascii="Arial" w:cs="Arial" w:eastAsia="Arial" w:hAnsi="Arial"/>
          <w:sz w:val="20"/>
          <w:szCs w:val="20"/>
        </w:rPr>
        <w:t xml:space="preserve">- NDS: 10 mg/m³</w:t>
      </w:r>
    </w:p>
    <w:p>
      <w:pPr>
        <w:spacing w:after="80"/>
      </w:pPr>
      <w:r>
        <w:rPr>
          <w:rFonts w:ascii="Arial" w:cs="Arial" w:eastAsia="Arial" w:hAnsi="Arial"/>
          <w:sz w:val="20"/>
          <w:szCs w:val="20"/>
        </w:rPr>
        <w:t xml:space="preserve">Toluen [CAS: 108-88-3]:</w:t>
      </w:r>
    </w:p>
    <w:p>
      <w:pPr>
        <w:spacing w:after="80"/>
      </w:pPr>
      <w:r>
        <w:rPr>
          <w:rFonts w:ascii="Arial" w:cs="Arial" w:eastAsia="Arial" w:hAnsi="Arial"/>
          <w:sz w:val="20"/>
          <w:szCs w:val="20"/>
        </w:rPr>
        <w:t xml:space="preserve">- NDS: 100 mg/m³</w:t>
      </w:r>
    </w:p>
    <w:p>
      <w:pPr>
        <w:spacing w:after="80"/>
      </w:pPr>
      <w:r>
        <w:rPr>
          <w:rFonts w:ascii="Arial" w:cs="Arial" w:eastAsia="Arial" w:hAnsi="Arial"/>
          <w:sz w:val="20"/>
          <w:szCs w:val="20"/>
        </w:rPr>
        <w:t xml:space="preserve">- NDSCh: 200 mg/m³</w:t>
      </w:r>
    </w:p>
    <w:p>
      <w:pPr>
        <w:spacing w:after="80"/>
      </w:pPr>
      <w:r>
        <w:rPr>
          <w:rFonts w:ascii="Arial" w:cs="Arial" w:eastAsia="Arial" w:hAnsi="Arial"/>
          <w:sz w:val="20"/>
          <w:szCs w:val="20"/>
        </w:rPr>
        <w:t xml:space="preserve">- Uwagi: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Wartości DNEL i PNEC wyznaczone dla składników mieszaniny:</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87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2,5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0,39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0,25 mg/kg bw/d</w:t>
      </w:r>
    </w:p>
    <w:p>
      <w:pPr>
        <w:spacing w:after="80"/>
      </w:pPr>
      <w:r>
        <w:rPr>
          <w:rFonts w:ascii="Arial" w:cs="Arial" w:eastAsia="Arial" w:hAnsi="Arial"/>
          <w:sz w:val="20"/>
          <w:szCs w:val="20"/>
        </w:rPr>
        <w:t xml:space="preserve">DNEL / DMEL</w:t>
      </w:r>
    </w:p>
    <w:p>
      <w:pPr>
        <w:spacing w:after="80"/>
      </w:pPr>
      <w:r>
        <w:rPr>
          <w:rFonts w:ascii="Arial" w:cs="Arial" w:eastAsia="Arial" w:hAnsi="Arial"/>
          <w:sz w:val="20"/>
          <w:szCs w:val="20"/>
        </w:rPr>
        <w:t xml:space="preserve">Effects on consumers Effects on workers</w:t>
      </w:r>
    </w:p>
    <w:p>
      <w:pPr>
        <w:spacing w:after="80"/>
      </w:pPr>
      <w:r>
        <w:rPr>
          <w:rFonts w:ascii="Arial" w:cs="Arial" w:eastAsia="Arial" w:hAnsi="Arial"/>
          <w:sz w:val="20"/>
          <w:szCs w:val="20"/>
        </w:rPr>
        <w:t xml:space="preserve">Route of exposure Acute local Acute systemic Chronic local Chronic systemic Acute local Acute systemic Chronic local Chronic systemic</w:t>
      </w:r>
    </w:p>
    <w:p>
      <w:pPr>
        <w:spacing w:after="80"/>
      </w:pPr>
      <w:r>
        <w:rPr>
          <w:rFonts w:ascii="Arial" w:cs="Arial" w:eastAsia="Arial" w:hAnsi="Arial"/>
          <w:sz w:val="20"/>
          <w:szCs w:val="20"/>
        </w:rPr>
        <w:t xml:space="preserve">Oral 8,13 mg/kg bw/d</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różowy</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ciecz łatwopalna</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3,3 % (v/v) - 19 %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18,7 °C</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5 - 8</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1,5</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0,855 g/cm³</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0</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w:t>
      </w:r>
    </w:p>
    <w:p>
      <w:pPr>
        <w:spacing w:after="80"/>
      </w:pPr>
      <w:r>
        <w:rPr>
          <w:rFonts w:ascii="Arial" w:cs="Arial" w:eastAsia="Arial" w:hAnsi="Arial"/>
          <w:sz w:val="20"/>
          <w:szCs w:val="20"/>
        </w:rPr>
        <w:t xml:space="preserve">W normalnych warunkach stosowania nie występują szczególne zagrożenia reakcją z innymi substancjami.</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Unikać narażenia na: światło.</w:t>
      </w:r>
    </w:p>
    <w:p>
      <w:pPr>
        <w:spacing w:after="100" w:before="200"/>
      </w:pPr>
      <w:r>
        <w:rPr>
          <w:rFonts w:ascii="Arial" w:cs="Arial" w:eastAsia="Arial" w:hAnsi="Arial"/>
          <w:b/>
          <w:bCs/>
          <w:sz w:val="20"/>
          <w:szCs w:val="20"/>
        </w:rPr>
        <w:t xml:space="preserve">10.2. Stabilność chemiczna</w:t>
      </w:r>
    </w:p>
    <w:p>
      <w:pPr>
        <w:spacing w:after="80"/>
      </w:pPr>
      <w:r>
        <w:rPr>
          <w:rFonts w:ascii="Arial" w:cs="Arial" w:eastAsia="Arial" w:hAnsi="Arial"/>
          <w:sz w:val="20"/>
          <w:szCs w:val="20"/>
        </w:rPr>
        <w:t xml:space="preserve">Produkt jest stabilny w normalnych warunkach stosowania i przechowywania.</w:t>
      </w:r>
    </w:p>
    <w:p>
      <w:pPr>
        <w:spacing w:after="100" w:before="200"/>
      </w:pPr>
      <w:r>
        <w:rPr>
          <w:rFonts w:ascii="Arial" w:cs="Arial" w:eastAsia="Arial" w:hAnsi="Arial"/>
          <w:b/>
          <w:bCs/>
          <w:sz w:val="20"/>
          <w:szCs w:val="20"/>
        </w:rPr>
        <w:t xml:space="preserve">10.3. Możliwość występowania niebezpiecznych reakcji</w:t>
      </w:r>
    </w:p>
    <w:p>
      <w:pPr>
        <w:spacing w:after="80"/>
      </w:pPr>
      <w:r>
        <w:rPr>
          <w:rFonts w:ascii="Arial" w:cs="Arial" w:eastAsia="Arial" w:hAnsi="Arial"/>
          <w:sz w:val="20"/>
          <w:szCs w:val="20"/>
        </w:rPr>
        <w:t xml:space="preserve">Pary mogą tworzyć mieszaniny wybuchowe z powietrzem.</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Ryzyko wybuchu w kontakcie z: metale alkaliczne, tlenki metali alkalicznych, podchloryn wapnia, monofluorek siarki, bezwodnik octowy, kwasy, stężony nadtlenek wodoru, nadchlorany, kwas nadchlorowy, perchloronitryl, azotan rtęci, kwas azotowy, srebro, azotan srebra, amoniak, tlenek srebra, amoniak, silne utleniacze, ditlenek azotu. Może reagować niebezpiecznie z: bromoacetylen, chloroacetylen, trifluorek bromu, tritlenek chromu, chlorek chromylu, fluor, tert-butanolan potasu, wodorek litu, tritlenek fosforu, czerń platynowa, chlorek cyrkonu (IV), jodek cyrkonu (IV). Tworzy mieszaniny wybuchowe z: powietrze.</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Ryzyko wybuchu w kontakcie z: dymiący kwas siarkowy, kwas azotowy, nadchloran srebra, ditlenek azotu, halogenki niemetali, kwas octowy, organiczne związki nitrowe. Może tworzyć mieszaniny wybuchowe z: powietrze. Może reagować niebezpiecznie z: silne utleniacze, silne kwasy, siarka.</w:t>
      </w:r>
    </w:p>
    <w:p>
      <w:pPr>
        <w:spacing w:after="100" w:before="200"/>
      </w:pPr>
      <w:r>
        <w:rPr>
          <w:rFonts w:ascii="Arial" w:cs="Arial" w:eastAsia="Arial" w:hAnsi="Arial"/>
          <w:b/>
          <w:bCs/>
          <w:sz w:val="20"/>
          <w:szCs w:val="20"/>
        </w:rPr>
        <w:t xml:space="preserve">10.4. Warunki, których należy unikać</w:t>
      </w:r>
    </w:p>
    <w:p>
      <w:pPr>
        <w:spacing w:after="80"/>
      </w:pPr>
      <w:r>
        <w:rPr>
          <w:rFonts w:ascii="Arial" w:cs="Arial" w:eastAsia="Arial" w:hAnsi="Arial"/>
          <w:sz w:val="20"/>
          <w:szCs w:val="20"/>
        </w:rPr>
        <w:t xml:space="preserve">Unikać przegrzania. Unikać gromadzenia się ładunków elektrostatycznych. Unikać wszelkich źródeł zapłonu.</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Unikać narażenia na: źródła ciepła, otwarty ogień.</w:t>
      </w:r>
    </w:p>
    <w:p>
      <w:pPr>
        <w:spacing w:after="100" w:before="200"/>
      </w:pPr>
      <w:r>
        <w:rPr>
          <w:rFonts w:ascii="Arial" w:cs="Arial" w:eastAsia="Arial" w:hAnsi="Arial"/>
          <w:b/>
          <w:bCs/>
          <w:sz w:val="20"/>
          <w:szCs w:val="20"/>
        </w:rPr>
        <w:t xml:space="preserve">10.5. Materiały niezgodne</w:t>
      </w:r>
    </w:p>
    <w:p>
      <w:pPr>
        <w:spacing w:after="80"/>
      </w:pPr>
      <w:r>
        <w:rPr>
          <w:rFonts w:ascii="Arial" w:cs="Arial" w:eastAsia="Arial" w:hAnsi="Arial"/>
          <w:sz w:val="20"/>
          <w:szCs w:val="20"/>
        </w:rPr>
        <w:t xml:space="preserve">Brak danych</w:t>
      </w:r>
    </w:p>
    <w:p>
      <w:pPr>
        <w:spacing w:after="100" w:before="200"/>
      </w:pPr>
      <w:r>
        <w:rPr>
          <w:rFonts w:ascii="Arial" w:cs="Arial" w:eastAsia="Arial" w:hAnsi="Arial"/>
          <w:b/>
          <w:bCs/>
          <w:sz w:val="20"/>
          <w:szCs w:val="20"/>
        </w:rPr>
        <w:t xml:space="preserve">10.6. Niebezpieczne produkty rozkładu</w:t>
      </w:r>
    </w:p>
    <w:p>
      <w:pPr>
        <w:spacing w:after="80"/>
      </w:pPr>
      <w:r>
        <w:rPr>
          <w:rFonts w:ascii="Arial" w:cs="Arial" w:eastAsia="Arial" w:hAnsi="Arial"/>
          <w:sz w:val="20"/>
          <w:szCs w:val="20"/>
        </w:rPr>
        <w:t xml:space="preserve">W przypadku rozkładu termicznego lub pożaru mogą uwalniać się gazy i pary potencjalnie niebezpieczne dla zdrowia.</w:t>
      </w:r>
    </w:p>
    <w:p>
      <w:pPr>
        <w:pBdr>
          <w:bottom w:color="00A651" w:sz="12" w:space="1"/>
        </w:pBdr>
        <w:spacing w:after="150" w:before="300"/>
      </w:pPr>
      <w:r>
        <w:rPr>
          <w:b/>
          <w:bCs/>
          <w:sz w:val="22"/>
          <w:szCs w:val="22"/>
        </w:rPr>
        <w:t xml:space="preserve">SEKCJA 11. INFORMACJE TOKSYKOLOGICZNE</w:t>
      </w:r>
    </w:p>
    <w:p>
      <w:pPr>
        <w:spacing w:after="80"/>
      </w:pPr>
      <w:r>
        <w:rPr>
          <w:rFonts w:ascii="Arial" w:cs="Arial" w:eastAsia="Arial" w:hAnsi="Arial"/>
          <w:sz w:val="20"/>
          <w:szCs w:val="20"/>
        </w:rPr>
        <w:t xml:space="preserve">Wobec braku danych doświadczalnych dla samego produktu, zagrożenia dla zdrowia oceniono zgodnie z właściwościami substancji w nim zawartych, stosując kryteria określone w odpowiednich przepisach dotyczących klasyfikacji.</w:t>
      </w:r>
    </w:p>
    <w:p>
      <w:pPr>
        <w:spacing w:after="80"/>
      </w:pPr>
      <w:r>
        <w:rPr>
          <w:rFonts w:ascii="Arial" w:cs="Arial" w:eastAsia="Arial" w:hAnsi="Arial"/>
          <w:sz w:val="20"/>
          <w:szCs w:val="20"/>
        </w:rPr>
        <w:t xml:space="preserve">W związku z tym, w celu oceny skutków toksykologicznych narażenia na produkt, konieczne jest uwzględnienie stężeń poszczególnych substancji niebezpiecznych wskazanych w sekcji 3.</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Metabolizm, toksykokinetyka, mechanizm działania i inne informacje</w:t>
      </w:r>
    </w:p>
    <w:p>
      <w:pPr>
        <w:spacing w:after="80"/>
      </w:pPr>
      <w:r>
        <w:rPr>
          <w:rFonts w:ascii="Arial" w:cs="Arial" w:eastAsia="Arial" w:hAnsi="Arial"/>
          <w:sz w:val="20"/>
          <w:szCs w:val="20"/>
        </w:rPr>
        <w:t xml:space="preserve">Brak danych</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PRACOWNICY: wdychanie; kontakt ze skórą.</w:t>
      </w:r>
    </w:p>
    <w:p>
      <w:pPr>
        <w:spacing w:after="80"/>
      </w:pPr>
      <w:r>
        <w:rPr>
          <w:rFonts w:ascii="Arial" w:cs="Arial" w:eastAsia="Arial" w:hAnsi="Arial"/>
          <w:sz w:val="20"/>
          <w:szCs w:val="20"/>
        </w:rPr>
        <w:t xml:space="preserve">LUDNOŚĆ: spożycie skażonej żywności lub wody; wdychanie powietrza otoczenia; kontakt ze skórą produktów zawierających substancję.</w:t>
      </w:r>
    </w:p>
    <w:p>
      <w:pPr>
        <w:spacing w:after="80"/>
      </w:pPr>
      <w:r>
        <w:rPr>
          <w:rFonts w:ascii="Arial" w:cs="Arial" w:eastAsia="Arial" w:hAnsi="Arial"/>
          <w:sz w:val="20"/>
          <w:szCs w:val="20"/>
        </w:rPr>
        <w:t xml:space="preserve">Skutki opóźnione i bezpośrednie oraz skutki przewlekłe spowodowane krótko- i długotrwałym narażeniem</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Działanie toksyczne na ośrodkowy i obwodowy układ nerwowy z encefalopatią i zapaleniem wielonerwowym; działa drażniąco na skórę, spojówki, rogówkę i układ oddechowy.</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Niektóre leki i inne produkty przemysłowe mogą zakłócać metabolizm toluenu.</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ATE (Wdychanie) mieszaniny: Nieklasyfikowane (brak istotnego składnika)</w:t>
      </w:r>
    </w:p>
    <w:p>
      <w:pPr>
        <w:spacing w:after="80"/>
      </w:pPr>
      <w:r>
        <w:rPr>
          <w:rFonts w:ascii="Arial" w:cs="Arial" w:eastAsia="Arial" w:hAnsi="Arial"/>
          <w:sz w:val="20"/>
          <w:szCs w:val="20"/>
        </w:rPr>
        <w:t xml:space="preserve">ATE (Droga pokarmowa) mieszaniny: Nieklasyfikowane (brak istotnego składnika)</w:t>
      </w:r>
    </w:p>
    <w:p>
      <w:pPr>
        <w:spacing w:after="80"/>
      </w:pPr>
      <w:r>
        <w:rPr>
          <w:rFonts w:ascii="Arial" w:cs="Arial" w:eastAsia="Arial" w:hAnsi="Arial"/>
          <w:sz w:val="20"/>
          <w:szCs w:val="20"/>
        </w:rPr>
        <w:t xml:space="preserve">ATE (Skóra) mieszaniny: Nieklasyfikowane (brak istotnego składnika)</w:t>
      </w:r>
    </w:p>
    <w:p>
      <w:pPr>
        <w:spacing w:after="80"/>
      </w:pPr>
      <w:r>
        <w:rPr>
          <w:rFonts w:ascii="Arial" w:cs="Arial" w:eastAsia="Arial" w:hAnsi="Arial"/>
          <w:sz w:val="20"/>
          <w:szCs w:val="20"/>
        </w:rPr>
        <w:t xml:space="preserve">ETHANOL</w:t>
      </w:r>
    </w:p>
    <w:p>
      <w:pPr>
        <w:spacing w:after="80"/>
      </w:pPr>
      <w:r>
        <w:rPr>
          <w:rFonts w:ascii="Arial" w:cs="Arial" w:eastAsia="Arial" w:hAnsi="Arial"/>
          <w:sz w:val="20"/>
          <w:szCs w:val="20"/>
        </w:rPr>
        <w:t xml:space="preserve">LD50 (Oral): &gt; 5000 mg/kg Rat</w:t>
      </w:r>
    </w:p>
    <w:p>
      <w:pPr>
        <w:spacing w:after="80"/>
      </w:pPr>
      <w:r>
        <w:rPr>
          <w:rFonts w:ascii="Arial" w:cs="Arial" w:eastAsia="Arial" w:hAnsi="Arial"/>
          <w:sz w:val="20"/>
          <w:szCs w:val="20"/>
        </w:rPr>
        <w:t xml:space="preserve">LC50 (Inhalation vapours): 120 mg/l/4h Pimephales promelas</w:t>
      </w:r>
    </w:p>
    <w:p>
      <w:pPr>
        <w:spacing w:after="80"/>
      </w:pPr>
      <w:r>
        <w:rPr>
          <w:rFonts w:ascii="Arial" w:cs="Arial" w:eastAsia="Arial" w:hAnsi="Arial"/>
          <w:sz w:val="20"/>
          <w:szCs w:val="20"/>
        </w:rPr>
        <w:t xml:space="preserve">ANISALDEHYDE</w:t>
      </w:r>
    </w:p>
    <w:p>
      <w:pPr>
        <w:spacing w:after="80"/>
      </w:pPr>
      <w:r>
        <w:rPr>
          <w:rFonts w:ascii="Arial" w:cs="Arial" w:eastAsia="Arial" w:hAnsi="Arial"/>
          <w:sz w:val="20"/>
          <w:szCs w:val="20"/>
        </w:rPr>
        <w:t xml:space="preserve">LD50 (Dermal): &gt; 5000 mg/kg rabbit</w:t>
      </w:r>
    </w:p>
    <w:p>
      <w:pPr>
        <w:spacing w:after="80"/>
      </w:pPr>
      <w:r>
        <w:rPr>
          <w:rFonts w:ascii="Arial" w:cs="Arial" w:eastAsia="Arial" w:hAnsi="Arial"/>
          <w:sz w:val="20"/>
          <w:szCs w:val="20"/>
        </w:rPr>
        <w:t xml:space="preserve">LD50 (Oral): 3210 mg/kg rat</w:t>
      </w:r>
    </w:p>
    <w:p>
      <w:pPr>
        <w:spacing w:after="80"/>
      </w:pPr>
      <w:r>
        <w:rPr>
          <w:rFonts w:ascii="Arial" w:cs="Arial" w:eastAsia="Arial" w:hAnsi="Arial"/>
          <w:sz w:val="20"/>
          <w:szCs w:val="20"/>
        </w:rPr>
        <w:t xml:space="preserve">LC50 (Inhalation vapours): 0,32 mg/l/7h 7h, rat</w:t>
      </w:r>
    </w:p>
    <w:p>
      <w:pPr>
        <w:spacing w:after="80"/>
      </w:pPr>
      <w:r>
        <w:rPr>
          <w:rFonts w:ascii="Arial" w:cs="Arial" w:eastAsia="Arial" w:hAnsi="Arial"/>
          <w:sz w:val="20"/>
          <w:szCs w:val="20"/>
        </w:rPr>
        <w:t xml:space="preserve">2H-CHROMEN-2-ONE</w:t>
      </w:r>
    </w:p>
    <w:p>
      <w:pPr>
        <w:spacing w:after="80"/>
      </w:pPr>
      <w:r>
        <w:rPr>
          <w:rFonts w:ascii="Arial" w:cs="Arial" w:eastAsia="Arial" w:hAnsi="Arial"/>
          <w:sz w:val="20"/>
          <w:szCs w:val="20"/>
        </w:rPr>
        <w:t xml:space="preserve">LD50 (Dermal): 293 mg/kg bw rat</w:t>
      </w:r>
    </w:p>
    <w:p>
      <w:pPr>
        <w:spacing w:after="80"/>
      </w:pPr>
      <w:r>
        <w:rPr>
          <w:rFonts w:ascii="Arial" w:cs="Arial" w:eastAsia="Arial" w:hAnsi="Arial"/>
          <w:sz w:val="20"/>
          <w:szCs w:val="20"/>
        </w:rPr>
        <w:t xml:space="preserve">LD50 (Oral): 290 mg/kg bw rat</w:t>
      </w:r>
    </w:p>
    <w:p>
      <w:pPr>
        <w:spacing w:after="80"/>
      </w:pPr>
      <w:r>
        <w:rPr>
          <w:rFonts w:ascii="Arial" w:cs="Arial" w:eastAsia="Arial" w:hAnsi="Arial"/>
          <w:sz w:val="20"/>
          <w:szCs w:val="20"/>
        </w:rPr>
        <w:t xml:space="preserve">LC50 (Inhalation mists/powders): 293 mg/kg rat</w:t>
      </w:r>
    </w:p>
    <w:p>
      <w:pPr>
        <w:spacing w:after="80"/>
      </w:pPr>
      <w:r>
        <w:rPr>
          <w:rFonts w:ascii="Arial" w:cs="Arial" w:eastAsia="Arial" w:hAnsi="Arial"/>
          <w:sz w:val="20"/>
          <w:szCs w:val="20"/>
        </w:rPr>
        <w:t xml:space="preserve">2,6-di-tert-butyl-p-cresol</w:t>
      </w:r>
    </w:p>
    <w:p>
      <w:pPr>
        <w:spacing w:after="80"/>
      </w:pPr>
      <w:r>
        <w:rPr>
          <w:rFonts w:ascii="Arial" w:cs="Arial" w:eastAsia="Arial" w:hAnsi="Arial"/>
          <w:sz w:val="20"/>
          <w:szCs w:val="20"/>
        </w:rPr>
        <w:t xml:space="preserve">LD50 (Dermal): &gt; 2000 mg/kg rat</w:t>
      </w:r>
    </w:p>
    <w:p>
      <w:pPr>
        <w:spacing w:after="80"/>
      </w:pPr>
      <w:r>
        <w:rPr>
          <w:rFonts w:ascii="Arial" w:cs="Arial" w:eastAsia="Arial" w:hAnsi="Arial"/>
          <w:sz w:val="20"/>
          <w:szCs w:val="20"/>
        </w:rPr>
        <w:t xml:space="preserve">LD50 (Oral): 2930 mg/kg rat</w:t>
      </w:r>
    </w:p>
    <w:p>
      <w:pPr>
        <w:spacing w:after="80"/>
      </w:pPr>
      <w:r>
        <w:rPr>
          <w:rFonts w:ascii="Arial" w:cs="Arial" w:eastAsia="Arial" w:hAnsi="Arial"/>
          <w:sz w:val="20"/>
          <w:szCs w:val="20"/>
        </w:rPr>
        <w:t xml:space="preserve">toluene</w:t>
      </w:r>
    </w:p>
    <w:p>
      <w:pPr>
        <w:spacing w:after="80"/>
      </w:pPr>
      <w:r>
        <w:rPr>
          <w:rFonts w:ascii="Arial" w:cs="Arial" w:eastAsia="Arial" w:hAnsi="Arial"/>
          <w:sz w:val="20"/>
          <w:szCs w:val="20"/>
        </w:rPr>
        <w:t xml:space="preserve">LD50 (Dermal): &gt; 5000 mg/kg bw Rabbit</w:t>
      </w:r>
    </w:p>
    <w:p>
      <w:pPr>
        <w:spacing w:after="80"/>
      </w:pPr>
      <w:r>
        <w:rPr>
          <w:rFonts w:ascii="Arial" w:cs="Arial" w:eastAsia="Arial" w:hAnsi="Arial"/>
          <w:sz w:val="20"/>
          <w:szCs w:val="20"/>
        </w:rPr>
        <w:t xml:space="preserve">LD50 (Oral): &gt; 5000 mg/kg bw Rat</w:t>
      </w:r>
    </w:p>
    <w:p>
      <w:pPr>
        <w:spacing w:after="80"/>
      </w:pPr>
      <w:r>
        <w:rPr>
          <w:rFonts w:ascii="Arial" w:cs="Arial" w:eastAsia="Arial" w:hAnsi="Arial"/>
          <w:sz w:val="20"/>
          <w:szCs w:val="20"/>
        </w:rPr>
        <w:t xml:space="preserve">LC50 (Inhalation vapours): 100 ppm human</w:t>
      </w:r>
    </w:p>
    <w:p>
      <w:pPr>
        <w:spacing w:after="80"/>
      </w:pPr>
      <w:r>
        <w:rPr>
          <w:rFonts w:ascii="Arial" w:cs="Arial" w:eastAsia="Arial" w:hAnsi="Arial"/>
          <w:sz w:val="20"/>
          <w:szCs w:val="20"/>
        </w:rPr>
        <w:t xml:space="preserve">DZIAŁANIE ŻRĄCE / DRAŻNIĄCE NA SKÓRĘ</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POWAŻNE USZKODZENIE OCZU / DZIAŁANIE DRAŻNIĄCE NA OCZY</w:t>
      </w:r>
    </w:p>
    <w:p>
      <w:pPr>
        <w:spacing w:after="80"/>
      </w:pPr>
      <w:r>
        <w:rPr>
          <w:rFonts w:ascii="Arial" w:cs="Arial" w:eastAsia="Arial" w:hAnsi="Arial"/>
          <w:sz w:val="20"/>
          <w:szCs w:val="20"/>
        </w:rPr>
        <w:t xml:space="preserve">Działa drażniąco na oczy</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Może powodować wystąpienie reakcji alergicznej.</w:t>
      </w:r>
    </w:p>
    <w:p>
      <w:pPr>
        <w:spacing w:after="80"/>
      </w:pPr>
      <w:r>
        <w:rPr>
          <w:rFonts w:ascii="Arial" w:cs="Arial" w:eastAsia="Arial" w:hAnsi="Arial"/>
          <w:sz w:val="20"/>
          <w:szCs w:val="20"/>
        </w:rPr>
        <w:t xml:space="preserve">Zawiera:</w:t>
      </w:r>
    </w:p>
    <w:p>
      <w:pPr>
        <w:spacing w:after="80"/>
      </w:pPr>
      <w:r>
        <w:rPr>
          <w:rFonts w:ascii="Arial" w:cs="Arial" w:eastAsia="Arial" w:hAnsi="Arial"/>
          <w:sz w:val="20"/>
          <w:szCs w:val="20"/>
        </w:rPr>
        <w:t xml:space="preserve">2H-CHROMEN-2-ONE</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Sklasyfikowany w Grupie 3 (nie można zaklasyfikować jako rakotwórczy dla ludzi) przez Międzynarodową Agencję Badań nad Rakiem (IARC) - (IARC, 1999).</w:t>
      </w:r>
    </w:p>
    <w:p>
      <w:pPr>
        <w:spacing w:after="80"/>
      </w:pPr>
      <w:r>
        <w:rPr>
          <w:rFonts w:ascii="Arial" w:cs="Arial" w:eastAsia="Arial" w:hAnsi="Arial"/>
          <w:sz w:val="20"/>
          <w:szCs w:val="20"/>
        </w:rPr>
        <w:t xml:space="preserve">Amerykańska Agencja Ochrony Środowiska (EPA) stwierdza,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DZIAŁANIE TOKSYCZNE NA NARZĄDY DOCELOWE – NARAŻENIE JEDNORAZOWE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DZIAŁANIE TOKSYCZNE NA NARZĄDY DOCELOWE – NARAŻENIE POWTARZANE</w:t>
      </w:r>
    </w:p>
    <w:p>
      <w:pPr>
        <w:spacing w:after="80"/>
      </w:pPr>
      <w:r>
        <w:rPr>
          <w:rFonts w:ascii="Arial" w:cs="Arial" w:eastAsia="Arial" w:hAnsi="Arial"/>
          <w:sz w:val="20"/>
          <w:szCs w:val="20"/>
        </w:rPr>
        <w:t xml:space="preserve">Nie spełnia kryteriów klasyfikacji dla tej klasy zagrożenia</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Nie spełnia kryteriów klasyfikacji dla tej klasy zagrożenia</w:t>
      </w:r>
    </w:p>
    <w:p>
      <w:pPr>
        <w:spacing w:after="100" w:before="200"/>
      </w:pPr>
      <w:r>
        <w:rPr>
          <w:rFonts w:ascii="Arial" w:cs="Arial" w:eastAsia="Arial" w:hAnsi="Arial"/>
          <w:b/>
          <w:bCs/>
          <w:sz w:val="20"/>
          <w:szCs w:val="20"/>
        </w:rPr>
        <w:t xml:space="preserve">11.2. Informacje o innych zagrożeniach</w:t>
      </w:r>
    </w:p>
    <w:p>
      <w:pPr>
        <w:spacing w:after="80"/>
      </w:pPr>
      <w:r>
        <w:rPr>
          <w:rFonts w:ascii="Arial" w:cs="Arial" w:eastAsia="Arial" w:hAnsi="Arial"/>
          <w:sz w:val="20"/>
          <w:szCs w:val="20"/>
        </w:rPr>
        <w:t xml:space="preserve">Na podstawie dostępnych danych produkt nie zawiera substancji wymienionych w głównych europejskich wykazach potencjalnych lub podejrzewanych substancji zaburzających funkcjonowanie układu hormonalnego o ocenianym wpływie na zdrowie ludzi.</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nie została zaklasyfikowana jako stwarzająca zagrożenie dla środowiska.</w:t>
      </w:r>
    </w:p>
    <w:p>
      <w:pPr>
        <w:spacing w:after="80"/>
      </w:pPr>
      <w:r>
        <w:rPr>
          <w:rFonts w:ascii="Arial" w:cs="Arial" w:eastAsia="Arial" w:hAnsi="Arial"/>
          <w:sz w:val="20"/>
          <w:szCs w:val="20"/>
        </w:rPr>
        <w:t xml:space="preserve">Brak danych doświadczalnych dla mieszaniny.</w:t>
      </w:r>
    </w:p>
    <w:p>
      <w:pPr>
        <w:spacing w:after="100" w:before="200"/>
      </w:pPr>
      <w:r>
        <w:rPr>
          <w:rFonts w:ascii="Arial" w:cs="Arial" w:eastAsia="Arial" w:hAnsi="Arial"/>
          <w:b/>
          <w:bCs/>
          <w:sz w:val="20"/>
          <w:szCs w:val="20"/>
        </w:rPr>
        <w:t xml:space="preserve">12.2. Trwałość i zdolność do rozkładu</w:t>
      </w:r>
    </w:p>
    <w:p>
      <w:pPr>
        <w:spacing w:after="80"/>
      </w:pPr>
      <w:r>
        <w:rPr>
          <w:rFonts w:ascii="Arial" w:cs="Arial" w:eastAsia="Arial" w:hAnsi="Arial"/>
          <w:sz w:val="20"/>
          <w:szCs w:val="20"/>
        </w:rPr>
        <w:t xml:space="preserve">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pPr>
      <w:r>
        <w:rPr>
          <w:rFonts w:ascii="Arial" w:cs="Arial" w:eastAsia="Arial" w:hAnsi="Arial"/>
          <w:sz w:val="20"/>
          <w:szCs w:val="20"/>
        </w:rPr>
        <w:t xml:space="preserve">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80"/>
      </w:pPr>
      <w:r>
        <w:rPr>
          <w:rFonts w:ascii="Arial" w:cs="Arial" w:eastAsia="Arial" w:hAnsi="Arial"/>
          <w:sz w:val="20"/>
          <w:szCs w:val="20"/>
        </w:rPr>
        <w:t xml:space="preserve">- Odpady z produktu (dla zastosowań profesjonalnych / przemysłowych): 16 03 05* (Organiczne odpady zawierające substancje niebezpieczne) lub 16 05 08* (Zużyte chemikalia zawierające substancje niebezpieczne).</w:t>
      </w:r>
    </w:p>
    <w:p>
      <w:pPr>
        <w:spacing w:after="80"/>
      </w:pPr>
      <w:r>
        <w:rPr>
          <w:rFonts w:ascii="Arial" w:cs="Arial" w:eastAsia="Arial" w:hAnsi="Arial"/>
          <w:sz w:val="20"/>
          <w:szCs w:val="20"/>
        </w:rPr>
        <w:t xml:space="preserve">- Odpady z produktu (dla konsumentów / odpady komunalne): 20 01 29* (Detergenty zawierające substancje niebezpieczne) lub 20 01 27*.</w:t>
      </w:r>
    </w:p>
    <w:p>
      <w:pPr>
        <w:spacing w:after="80"/>
      </w:pPr>
      <w:r>
        <w:rPr>
          <w:rFonts w:ascii="Arial" w:cs="Arial" w:eastAsia="Arial" w:hAnsi="Arial"/>
          <w:sz w:val="20"/>
          <w:szCs w:val="20"/>
        </w:rPr>
        <w:t xml:space="preserve">- Odpady opakowaniowe: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100" w:before="200"/>
      </w:pPr>
      <w:r>
        <w:rPr>
          <w:rFonts w:ascii="Arial" w:cs="Arial" w:eastAsia="Arial" w:hAnsi="Arial"/>
          <w:b/>
          <w:bCs/>
          <w:sz w:val="20"/>
          <w:szCs w:val="20"/>
        </w:rPr>
        <w:t xml:space="preserve">14.3. Klasa(-y) zagrożenia w transporcie</w:t>
      </w:r>
    </w:p>
    <w:p>
      <w:pPr>
        <w:spacing w:after="80"/>
      </w:pPr>
      <w:r>
        <w:rPr>
          <w:rFonts w:ascii="Arial" w:cs="Arial" w:eastAsia="Arial" w:hAnsi="Arial"/>
          <w:sz w:val="20"/>
          <w:szCs w:val="20"/>
        </w:rPr>
        <w:t xml:space="preserve">Klasa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 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80"/>
      </w:pPr>
      <w:r>
        <w:rPr>
          <w:rFonts w:ascii="Arial" w:cs="Arial" w:eastAsia="Arial" w:hAnsi="Arial"/>
          <w:sz w:val="20"/>
          <w:szCs w:val="20"/>
        </w:rPr>
        <w:t xml:space="preserve">- Substancje wzbudzające szczególnie duże obawy (SVHC – REACH załącznik XIV): Mieszanina nie zawiera substancji z listy kandydackiej SVHC podlegających procedurze udzielania zezwoleń (REACH załącznik XIV) w stężeniu ≥ 0,1% wag.</w:t>
      </w:r>
    </w:p>
    <w:p>
      <w:pPr>
        <w:spacing w:after="80"/>
      </w:pPr>
      <w:r>
        <w:rPr>
          <w:rFonts w:ascii="Arial" w:cs="Arial" w:eastAsia="Arial" w:hAnsi="Arial"/>
          <w:sz w:val="20"/>
          <w:szCs w:val="20"/>
        </w:rPr>
        <w:t xml:space="preserve">- Ograniczenia dotyczące produkcji, wprowadzania do obrotu i stosowania niektórych niebezpiecznych substancji (REACH załącznik XVII): Mieszanina nie podlega ograniczeniom na mocy załącznika XVII do rozporządzenia REACH.</w:t>
      </w:r>
    </w:p>
    <w:p>
      <w:pPr>
        <w:spacing w:after="80"/>
      </w:pPr>
      <w:r>
        <w:rPr>
          <w:rFonts w:ascii="Arial" w:cs="Arial" w:eastAsia="Arial" w:hAnsi="Arial"/>
          <w:sz w:val="20"/>
          <w:szCs w:val="20"/>
        </w:rPr>
        <w:t xml:space="preserve">- Dyrektywa Parlamentu Europejskiego i Rady 2012/18/UE (Seveso III): Z uwagi na właściwości cieczy łatwopalnych produkt może kwalifikować się do przepisów dyrektywy po przekroczeniu ilości progowych [Kategoria P5a/P5b/P5c: 10 t / 50 t lub 5 000 t / 50 000 t w zależności od warunków magazynowania]. Kwalifikacja zakładu (ZZR/ZDR) należy do prowadzącego zakład.</w:t>
      </w:r>
    </w:p>
    <w:p>
      <w:pPr>
        <w:spacing w:after="80"/>
      </w:pPr>
      <w:r>
        <w:rPr>
          <w:rFonts w:ascii="Arial" w:cs="Arial" w:eastAsia="Arial" w:hAnsi="Arial"/>
          <w:sz w:val="20"/>
          <w:szCs w:val="20"/>
        </w:rPr>
        <w:t xml:space="preserve">- Rozporządzenie Parlamentu Europejskiego i Rady (UE) nr 649/2012 z dnia 4 lipca 2012 r. dotyczące wywozu i przywozu niebezpiecznych chemikaliów (PIC):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pPr>
      <w:r>
        <w:rPr>
          <w:rFonts w:ascii="Arial" w:cs="Arial" w:eastAsia="Arial" w:hAnsi="Arial"/>
          <w:sz w:val="20"/>
          <w:szCs w:val="20"/>
        </w:rPr>
        <w:t xml:space="preserve">H361FD: Podejrzewa się, że działa szkodliwie na płodność. Podejrzewa się, że działa szkodliwie na dziecko w łonie matki.</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80"/>
      </w:pPr>
      <w:r>
        <w:rPr>
          <w:rFonts w:ascii="Arial" w:cs="Arial" w:eastAsia="Arial" w:hAnsi="Arial"/>
          <w:sz w:val="20"/>
          <w:szCs w:val="20"/>
        </w:rPr>
        <w:t xml:space="preserve">- Baza danych Europejskiej Agencji Chemikaliów (ECHA): https://echa.europa.eu/</w:t>
      </w:r>
    </w:p>
    <w:p>
      <w:pPr>
        <w:spacing w:after="80"/>
      </w:pPr>
      <w:r>
        <w:rPr>
          <w:rFonts w:ascii="Arial" w:cs="Arial" w:eastAsia="Arial" w:hAnsi="Arial"/>
          <w:sz w:val="20"/>
          <w:szCs w:val="20"/>
        </w:rPr>
        <w:t xml:space="preserve">- Baza danych PubChem National Library of Medicine: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została opracowana i zaktualizowana zgodnie z wymogami Rozporządzenia Komisji (UE) 2020/878 z dnia 18 czerwca 2020 r. zmieniającego załącznik II do rozporządzenia (WE) nr 1907/2006 (REACH).</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rPr>
      <w:t xml:space="preserve">Strona </w:t>
    </w:r>
    <w:r>
      <w:rPr>
        <w:rFonts w:ascii="Arial" w:cs="Arial" w:eastAsia="Arial" w:hAnsi="Arial"/>
      </w:rPr>
      <w:fldChar w:fldCharType="begin"/>
      <w:instrText xml:space="preserve">PAGE</w:instrText>
      <w:fldChar w:fldCharType="separate"/>
      <w:fldChar w:fldCharType="end"/>
    </w:r>
    <w:r>
      <w:rPr>
        <w:rFonts w:ascii="Arial" w:cs="Arial" w:eastAsia="Arial" w:hAnsi="Arial"/>
      </w:rPr>
      <w:t xml:space="preserve"> z </w:t>
    </w:r>
    <w:r>
      <w:rPr>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rPr>
      <w:t xml:space="preserve">SDS | SWEET HOME - PROFUMATORE AMBIENTE ORCHIDEA E VANIGLIA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d8d9c367d3934e7fb954e2d1eb138bb8cbbdb7.undefined"/><Relationship Id="rId10" Type="http://schemas.openxmlformats.org/officeDocument/2006/relationships/image" Target="media/efd45568977e6a957ae58b4c90280b3e4510b305.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2026-09-14T10:16:38.288Z</dcterms:created>
  <dcterms:modified xsi:type="dcterms:W3CDTF">2026-09-14T10:16:38.289Z</dcterms:modified>
</cp:coreProperties>
</file>

<file path=docProps/custom.xml><?xml version="1.0" encoding="utf-8"?>
<Properties xmlns="http://schemas.openxmlformats.org/officeDocument/2006/custom-properties" xmlns:vt="http://schemas.openxmlformats.org/officeDocument/2006/docPropsVTypes"/>
</file>