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sz w:val="36"/>
          <w:szCs w:val="36"/>
        </w:rPr>
        <w:t xml:space="preserve">KARTA CHARAKTERYSTYKI</w:t>
      </w:r>
    </w:p>
    <w:p>
      <w:pPr>
        <w:spacing w:after="200"/>
        <w:jc w:val="center"/>
      </w:pPr>
      <w:r>
        <w:rPr>
          <w:rFonts w:ascii="Arial" w:cs="Arial" w:eastAsia="Arial" w:hAnsi="Arial"/>
          <w:i/>
          <w:iCs/>
          <w:color w:val="444444"/>
          <w:sz w:val="16"/>
          <w:szCs w:val="16"/>
        </w:rPr>
        <w:t xml:space="preserve">[Sporządzona zgodnie z Rozporządzeniem (WE) nr 1907/2006 (REACH), zmienionym Rozporządzeniem Komisji (UE) 2020/878]</w:t>
      </w:r>
    </w:p>
    <w:tbl>
      <w:tblPr>
        <w:tblW w:type="pct" w:w="100%"/>
        <w:tblBorders>
          <w:top w:val="single" w:color="00A651" w:sz="6"/>
          <w:left w:val="single" w:color="D0D5DD" w:sz="4"/>
          <w:bottom w:val="single" w:color="00A651" w:sz="6"/>
          <w:right w:val="single" w:color="D0D5DD" w:sz="4"/>
          <w:insideH w:val="none"/>
          <w:insideV w:val="single" w:color="E5E7EB" w:sz="4"/>
        </w:tblBorders>
      </w:tblPr>
      <w:tblGrid>
        <w:gridCol w:w="100"/>
        <w:gridCol w:w="100"/>
      </w:tblGrid>
      <w:tr>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Data sporządzenia: </w:t>
            </w:r>
            <w:r>
              <w:rPr>
                <w:rFonts w:ascii="Arial" w:cs="Arial" w:eastAsia="Arial" w:hAnsi="Arial"/>
                <w:sz w:val="18"/>
                <w:szCs w:val="18"/>
              </w:rPr>
              <w:t xml:space="preserve">15.09.2026</w:t>
            </w:r>
          </w:p>
          <w:p>
            <w:r>
              <w:rPr>
                <w:rFonts w:ascii="Arial" w:cs="Arial" w:eastAsia="Arial" w:hAnsi="Arial"/>
                <w:b/>
                <w:bCs/>
                <w:sz w:val="18"/>
                <w:szCs w:val="18"/>
              </w:rPr>
              <w:t xml:space="preserve">Aktualizacja: </w:t>
            </w:r>
            <w:r>
              <w:rPr>
                <w:rFonts w:ascii="Arial" w:cs="Arial" w:eastAsia="Arial" w:hAnsi="Arial"/>
                <w:sz w:val="18"/>
                <w:szCs w:val="18"/>
              </w:rPr>
              <w:t xml:space="preserve">Nie dotyczy</w:t>
            </w:r>
          </w:p>
        </w:tc>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Wersja: </w:t>
            </w:r>
            <w:r>
              <w:rPr>
                <w:rFonts w:ascii="Arial" w:cs="Arial" w:eastAsia="Arial" w:hAnsi="Arial"/>
                <w:sz w:val="18"/>
                <w:szCs w:val="18"/>
              </w:rPr>
              <w:t xml:space="preserve">1.0 PL</w:t>
            </w:r>
          </w:p>
          <w:p>
            <w:r>
              <w:rPr>
                <w:rFonts w:ascii="Arial" w:cs="Arial" w:eastAsia="Arial" w:hAnsi="Arial"/>
                <w:b/>
                <w:bCs/>
                <w:sz w:val="18"/>
                <w:szCs w:val="18"/>
              </w:rPr>
              <w:t xml:space="preserve">Zastępuje wersję: </w:t>
            </w:r>
            <w:r>
              <w:rPr>
                <w:rFonts w:ascii="Arial" w:cs="Arial" w:eastAsia="Arial" w:hAnsi="Arial"/>
                <w:sz w:val="18"/>
                <w:szCs w:val="18"/>
              </w:rPr>
              <w:t xml:space="preserve">Brak (wydanie pierwsze w języku polskim, opracowane na podstawie SDS producenta z dnia 14.02.2025 r.)</w:t>
            </w:r>
          </w:p>
        </w:tc>
      </w:tr>
    </w:tbl>
    <w:p>
      <w:pPr>
        <w:spacing w:after="200"/>
      </w:pPr>
    </w:p>
    <w:p>
      <w:pPr>
        <w:pBdr>
          <w:bottom w:color="00A651" w:sz="12" w:space="1"/>
        </w:pBdr>
        <w:spacing w:after="150" w:before="300"/>
      </w:pPr>
      <w:r>
        <w:rPr>
          <w:b/>
          <w:bCs/>
          <w:sz w:val="22"/>
          <w:szCs w:val="22"/>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ORCHIDEA E VANIGLIA V2</w:t>
      </w:r>
    </w:p>
    <w:p>
      <w:pPr>
        <w:spacing w:after="80" w:before="80"/>
      </w:pPr>
      <w:r>
        <w:rPr>
          <w:rFonts w:ascii="Arial" w:cs="Arial" w:eastAsia="Arial" w:hAnsi="Arial"/>
          <w:b/>
          <w:bCs/>
          <w:sz w:val="20"/>
          <w:szCs w:val="20"/>
        </w:rPr>
        <w:t xml:space="preserve">Kod produktu:</w:t>
      </w:r>
      <w:r>
        <w:rPr>
          <w:rFonts w:ascii="Arial" w:cs="Arial" w:eastAsia="Arial" w:hAnsi="Arial"/>
          <w:sz w:val="20"/>
          <w:szCs w:val="20"/>
        </w:rPr>
        <w:t xml:space="preserve"> BLK0033-2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1JUA-J3HY-KX04-SM29</w:t>
      </w:r>
    </w:p>
    <w:p>
      <w:pPr>
        <w:spacing w:after="100" w:before="200"/>
      </w:pPr>
      <w:r>
        <w:rPr>
          <w:rFonts w:ascii="Arial" w:cs="Arial" w:eastAsia="Arial" w:hAnsi="Arial"/>
          <w:b/>
          <w:bCs/>
          <w:sz w:val="20"/>
          <w:szCs w:val="20"/>
        </w:rPr>
        <w:t xml:space="preserve">1.2. Istotne zidentyfikowane zastosowania substancji lub mieszaniny oraz zastosowania odradzane</w:t>
      </w:r>
    </w:p>
    <w:p>
      <w:pPr>
        <w:spacing w:after="80"/>
      </w:pPr>
      <w:r>
        <w:rPr>
          <w:rFonts w:ascii="Arial" w:cs="Arial" w:eastAsia="Arial" w:hAnsi="Arial"/>
          <w:sz w:val="20"/>
          <w:szCs w:val="20"/>
        </w:rPr>
        <w:t xml:space="preserve">Zastosowanie: Odświeżacz powietrza (dyfuzor zapachowy).</w:t>
      </w:r>
    </w:p>
    <w:p>
      <w:pPr>
        <w:spacing w:after="80" w:before="80"/>
      </w:pPr>
      <w:r>
        <w:rPr>
          <w:rFonts w:ascii="Arial" w:cs="Arial" w:eastAsia="Arial" w:hAnsi="Arial"/>
          <w:b/>
          <w:bCs/>
          <w:sz w:val="20"/>
          <w:szCs w:val="20"/>
        </w:rPr>
        <w:t xml:space="preserve">Zastosowania odradzane:</w:t>
      </w:r>
      <w:r>
        <w:rPr>
          <w:rFonts w:ascii="Arial" w:cs="Arial" w:eastAsia="Arial" w:hAnsi="Arial"/>
          <w:sz w:val="20"/>
          <w:szCs w:val="20"/>
        </w:rPr>
        <w:t xml:space="preserve"> Brak.</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ITALLUX Sp. z o.o.</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w:t>
      </w:r>
    </w:p>
    <w:p>
      <w:pPr>
        <w:spacing w:after="80" w:before="80"/>
      </w:pPr>
      <w:r>
        <w:rPr>
          <w:rFonts w:ascii="Arial" w:cs="Arial" w:eastAsia="Arial" w:hAnsi="Arial"/>
          <w:b/>
          <w:bCs/>
          <w:sz w:val="20"/>
          <w:szCs w:val="20"/>
        </w:rPr>
        <w:t xml:space="preserve">Strona www:</w:t>
      </w:r>
      <w:r>
        <w:rPr>
          <w:rFonts w:ascii="Arial" w:cs="Arial" w:eastAsia="Arial" w:hAnsi="Arial"/>
          <w:sz w:val="20"/>
          <w:szCs w:val="20"/>
        </w:rPr>
        <w:t xml:space="preserve"> www.prostozwloch.pl</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pBdr>
          <w:bottom w:color="00A651" w:sz="12" w:space="1"/>
        </w:pBdr>
        <w:spacing w:after="150" w:before="300"/>
      </w:pPr>
      <w:r>
        <w:rPr>
          <w:b/>
          <w:bCs/>
          <w:sz w:val="22"/>
          <w:szCs w:val="22"/>
        </w:rPr>
        <w:t xml:space="preserve">SEKCJA 2: IDENTYFIKACJA ZAGROŻEŃ</w:t>
      </w:r>
    </w:p>
    <w:p>
      <w:pPr>
        <w:spacing w:after="100" w:before="200"/>
      </w:pPr>
      <w:r>
        <w:rPr>
          <w:rFonts w:ascii="Arial" w:cs="Arial" w:eastAsia="Arial" w:hAnsi="Arial"/>
          <w:b/>
          <w:bCs/>
          <w:sz w:val="20"/>
          <w:szCs w:val="20"/>
        </w:rPr>
        <w:t xml:space="preserve">2.1. Klasyfikacja substancji lub mieszaniny</w:t>
      </w:r>
    </w:p>
    <w:p>
      <w:pPr>
        <w:spacing w:after="80"/>
      </w:pPr>
      <w:r>
        <w:rPr>
          <w:rFonts w:ascii="Arial" w:cs="Arial" w:eastAsia="Arial" w:hAnsi="Arial"/>
          <w:sz w:val="20"/>
          <w:szCs w:val="20"/>
        </w:rPr>
        <w:t xml:space="preserve">Flam. Liq. 2 (Substancja ciekła łatwopalna, kategoria 2)</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Eye Irrit. 2 (Działanie drażniące na oczy, kategoria 2)</w:t>
      </w:r>
    </w:p>
    <w:p>
      <w:pPr>
        <w:spacing w:after="80"/>
      </w:pPr>
      <w:r>
        <w:rPr>
          <w:rFonts w:ascii="Arial" w:cs="Arial" w:eastAsia="Arial" w:hAnsi="Arial"/>
          <w:sz w:val="20"/>
          <w:szCs w:val="20"/>
        </w:rPr>
        <w:t xml:space="preserve">H319 Działa drażniąco na oczy.</w:t>
      </w:r>
    </w:p>
    <w:p>
      <w:pPr>
        <w:spacing w:after="100" w:before="200"/>
      </w:pPr>
      <w:r>
        <w:rPr>
          <w:rFonts w:ascii="Arial" w:cs="Arial" w:eastAsia="Arial" w:hAnsi="Arial"/>
          <w:b/>
          <w:bCs/>
          <w:sz w:val="20"/>
          <w:szCs w:val="20"/>
        </w:rPr>
        <w:t xml:space="preserve">2.2. Elementy oznakowania</w:t>
      </w:r>
    </w:p>
    <w:p>
      <w:pPr>
        <w:spacing w:after="80" w:before="150"/>
      </w:pPr>
      <w:r>
        <w:rPr>
          <w:rFonts w:ascii="Arial" w:cs="Arial" w:eastAsia="Arial" w:hAnsi="Arial"/>
          <w:b/>
          <w:bCs/>
          <w:sz w:val="20"/>
          <w:szCs w:val="20"/>
        </w:rPr>
        <w:t xml:space="preserve">Piktogramy określające rodzaj zagrożenia:</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14375"/>
                    </a:xfrm>
                    <a:prstGeom prst="rect">
                      <a:avLst/>
                    </a:prstGeom>
                  </pic:spPr>
                </pic:pic>
              </a:graphicData>
            </a:graphic>
          </wp:inline>
        </w:drawing>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GHS02, GHS07</w:t>
      </w:r>
    </w:p>
    <w:p>
      <w:pPr>
        <w:spacing w:after="80" w:before="80"/>
      </w:pPr>
      <w:r>
        <w:rPr>
          <w:rFonts w:ascii="Arial" w:cs="Arial" w:eastAsia="Arial" w:hAnsi="Arial"/>
          <w:b/>
          <w:bCs/>
          <w:sz w:val="20"/>
          <w:szCs w:val="20"/>
        </w:rPr>
        <w:t xml:space="preserve">Hasło ostrzegawcze:</w:t>
      </w:r>
      <w:r>
        <w:rPr>
          <w:rFonts w:ascii="Arial" w:cs="Arial" w:eastAsia="Arial" w:hAnsi="Arial"/>
          <w:sz w:val="20"/>
          <w:szCs w:val="20"/>
        </w:rPr>
        <w:t xml:space="preserve"/>
      </w:r>
    </w:p>
    <w:p>
      <w:pPr>
        <w:spacing w:after="80"/>
      </w:pPr>
      <w:r>
        <w:rPr>
          <w:rFonts w:ascii="Arial" w:cs="Arial" w:eastAsia="Arial" w:hAnsi="Arial"/>
          <w:sz w:val="20"/>
          <w:szCs w:val="20"/>
        </w:rPr>
        <w:t xml:space="preserve">Niebezpieczeństwo</w:t>
      </w:r>
    </w:p>
    <w:p>
      <w:pPr>
        <w:spacing w:after="80"/>
      </w:pPr>
      <w:r>
        <w:rPr>
          <w:rFonts w:ascii="Arial" w:cs="Arial" w:eastAsia="Arial" w:hAnsi="Arial"/>
          <w:sz w:val="20"/>
          <w:szCs w:val="20"/>
        </w:rPr>
        <w:t xml:space="preserve">Nazwy niebezpiecznych substancji wymienione na etykiecie:</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Zwroty wskazujące rodzaj zagrożenia:</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Zwroty wskazujące środki ostrożności:</w:t>
      </w:r>
    </w:p>
    <w:p>
      <w:pPr>
        <w:spacing w:after="80"/>
      </w:pPr>
      <w:r>
        <w:rPr>
          <w:rFonts w:ascii="Arial" w:cs="Arial" w:eastAsia="Arial" w:hAnsi="Arial"/>
          <w:sz w:val="20"/>
          <w:szCs w:val="20"/>
        </w:rPr>
        <w:t xml:space="preserve">P101 W razie konieczności zasięgnięcia porady lekarza należy pokazać pojemnik lub etykietę.</w:t>
      </w:r>
    </w:p>
    <w:p>
      <w:pPr>
        <w:spacing w:after="80"/>
      </w:pPr>
      <w:r>
        <w:rPr>
          <w:rFonts w:ascii="Arial" w:cs="Arial" w:eastAsia="Arial" w:hAnsi="Arial"/>
          <w:sz w:val="20"/>
          <w:szCs w:val="20"/>
        </w:rPr>
        <w:t xml:space="preserve">P102 Chronić przed dziećmi.</w:t>
      </w:r>
    </w:p>
    <w:p>
      <w:pPr>
        <w:spacing w:after="80"/>
      </w:pPr>
      <w:r>
        <w:rPr>
          <w:rFonts w:ascii="Arial" w:cs="Arial" w:eastAsia="Arial" w:hAnsi="Arial"/>
          <w:sz w:val="20"/>
          <w:szCs w:val="20"/>
        </w:rPr>
        <w:t xml:space="preserve">P210 Przechowywać z dala od źródeł ciepła, gorących powierzchni, źródeł iskrzenia, otwartego ognia i innych źródeł zapłonu. Nie palić.</w:t>
      </w:r>
    </w:p>
    <w:p>
      <w:pPr>
        <w:spacing w:after="80"/>
      </w:pPr>
      <w:r>
        <w:rPr>
          <w:rFonts w:ascii="Arial" w:cs="Arial" w:eastAsia="Arial" w:hAnsi="Arial"/>
          <w:sz w:val="20"/>
          <w:szCs w:val="20"/>
        </w:rPr>
        <w:t xml:space="preserve">P305+P351+P338 W PRZYPADKU DOSTANIA SIĘ DO OCZU: Ostrożnie płukać wodą przez kilka minut. Wyjąć soczewki kontaktowe, jeżeli są i można je łatwo usunąć. Nadal płukać.</w:t>
      </w:r>
    </w:p>
    <w:p>
      <w:pPr>
        <w:spacing w:after="80"/>
      </w:pPr>
      <w:r>
        <w:rPr>
          <w:rFonts w:ascii="Arial" w:cs="Arial" w:eastAsia="Arial" w:hAnsi="Arial"/>
          <w:sz w:val="20"/>
          <w:szCs w:val="20"/>
        </w:rPr>
        <w:t xml:space="preserve">P337+P313 W przypadku utrzymywania się działania drażniącego na oczy: Zasięgnąć porady/zgłosić się pod opiekę lekarza.</w:t>
      </w:r>
    </w:p>
    <w:p>
      <w:pPr>
        <w:spacing w:after="80"/>
      </w:pPr>
      <w:r>
        <w:rPr>
          <w:rFonts w:ascii="Arial" w:cs="Arial" w:eastAsia="Arial" w:hAnsi="Arial"/>
          <w:sz w:val="20"/>
          <w:szCs w:val="20"/>
        </w:rPr>
        <w:t xml:space="preserve">P501 Zawartość/pojemnik usuwać do odpowiednio oznakowanych pojemników na odpady zgodnie z krajowymi przepisami.</w:t>
      </w:r>
    </w:p>
    <w:p>
      <w:pPr>
        <w:spacing w:after="80"/>
      </w:pPr>
      <w:r>
        <w:rPr>
          <w:rFonts w:ascii="Arial" w:cs="Arial" w:eastAsia="Arial" w:hAnsi="Arial"/>
          <w:sz w:val="20"/>
          <w:szCs w:val="20"/>
        </w:rPr>
        <w:t xml:space="preserve">Informacje uzupełniające o zagrożeniach:</w:t>
      </w:r>
    </w:p>
    <w:p>
      <w:pPr>
        <w:spacing w:after="80"/>
      </w:pPr>
      <w:r>
        <w:rPr>
          <w:rFonts w:ascii="Arial" w:cs="Arial" w:eastAsia="Arial" w:hAnsi="Arial"/>
          <w:sz w:val="20"/>
          <w:szCs w:val="20"/>
        </w:rPr>
        <w:t xml:space="preserve">EUH208 Zawiera kumarynę (2H-chromen-2-on). Może powodować wystąpienie reakcji alergicznej.</w:t>
      </w:r>
    </w:p>
    <w:p>
      <w:pPr>
        <w:spacing w:after="100" w:before="200"/>
      </w:pPr>
      <w:r>
        <w:rPr>
          <w:rFonts w:ascii="Arial" w:cs="Arial" w:eastAsia="Arial" w:hAnsi="Arial"/>
          <w:b/>
          <w:bCs/>
          <w:sz w:val="20"/>
          <w:szCs w:val="20"/>
        </w:rPr>
        <w:t xml:space="preserve">2.3. Inne zagrożenia</w:t>
      </w:r>
    </w:p>
    <w:p>
      <w:pPr>
        <w:spacing w:after="80"/>
      </w:pPr>
      <w:r>
        <w:rPr>
          <w:rFonts w:ascii="Arial" w:cs="Arial" w:eastAsia="Arial" w:hAnsi="Arial"/>
          <w:sz w:val="20"/>
          <w:szCs w:val="20"/>
        </w:rPr>
        <w:t xml:space="preserve">Produkt nie zawiera składników wpisanych do wykazu ustanowionego zgodnie z art. 59 ust. 1 jako posiadające właściwości zaburzające funkcjonowanie układu hormonalnego ani składników o właściwościach zaburzających funkcjonowanie układu hormonalnego zgodnie z kryteriami określonymi w rozporządzeniu 2017/2100/UE lub rozporządzeniu 2018/605/UE w stężeniu równym lub większym od 0,1 %.</w:t>
      </w:r>
    </w:p>
    <w:p>
      <w:pPr>
        <w:spacing w:after="80"/>
      </w:pPr>
      <w:r>
        <w:rPr>
          <w:rFonts w:ascii="Arial" w:cs="Arial" w:eastAsia="Arial" w:hAnsi="Arial"/>
          <w:sz w:val="20"/>
          <w:szCs w:val="20"/>
        </w:rPr>
        <w:t xml:space="preserve">Komponenty mieszaniny nie spełniają kryteriów PBT lub vPvB zgodnie z załącznikiem XIII rozporządzenia REACH.</w:t>
      </w:r>
    </w:p>
    <w:p>
      <w:pPr>
        <w:pBdr>
          <w:bottom w:color="00A651" w:sz="12" w:space="1"/>
        </w:pBdr>
        <w:spacing w:after="150" w:before="300"/>
      </w:pPr>
      <w:r>
        <w:rPr>
          <w:b/>
          <w:bCs/>
          <w:sz w:val="22"/>
          <w:szCs w:val="22"/>
        </w:rPr>
        <w:t xml:space="preserve">SEKCJA 3: SKŁAD / INFORMACJA O SKŁADNIKACH</w:t>
      </w:r>
    </w:p>
    <w:p>
      <w:pPr>
        <w:spacing w:after="100" w:before="180"/>
      </w:pPr>
      <w:r>
        <w:rPr>
          <w:rFonts w:ascii="Arial" w:cs="Arial" w:eastAsia="Arial" w:hAnsi="Arial"/>
          <w:b/>
          <w:bCs/>
          <w:sz w:val="20"/>
          <w:szCs w:val="20"/>
        </w:rPr>
        <w:t xml:space="preserve">3.1. Substancje: Nie dotyczy.</w:t>
      </w:r>
    </w:p>
    <w:p>
      <w:pPr>
        <w:spacing w:after="80" w:before="180"/>
      </w:pPr>
      <w:r>
        <w:rPr>
          <w:rFonts w:ascii="Arial" w:cs="Arial" w:eastAsia="Arial" w:hAnsi="Arial"/>
          <w:b/>
          <w:bCs/>
          <w:sz w:val="20"/>
          <w:szCs w:val="20"/>
        </w:rPr>
        <w:t xml:space="preserve">3.2. Mieszaniny</w:t>
      </w:r>
    </w:p>
    <w:p>
      <w:pPr>
        <w:spacing w:after="150"/>
      </w:pPr>
      <w:r>
        <w:rPr>
          <w:rFonts w:ascii="Arial" w:cs="Arial" w:eastAsia="Arial" w:hAnsi="Arial"/>
          <w:sz w:val="20"/>
          <w:szCs w:val="20"/>
        </w:rPr>
        <w:t xml:space="preserve">Opis chemiczny: Mieszanina substancji stwarzających zagrożenie wraz z dodatkami niesklasyfikowanymi.</w:t>
      </w:r>
    </w:p>
    <w:tbl>
      <w:tblPr>
        <w:tblW w:type="dxa" w:w="96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gridCol w:w="100"/>
      </w:tblGrid>
      <w:tr>
        <w:trPr>
          <w:tblHeader/>
        </w:trPr>
        <w:tc>
          <w:tcPr>
            <w:tcW w:type="dxa" w:w="2800"/>
            <w:shd w:fill="F2F4F7"/>
          </w:tcPr>
          <w:p>
            <w:r>
              <w:rPr>
                <w:rFonts w:ascii="Arial" w:cs="Arial" w:eastAsia="Arial" w:hAnsi="Arial"/>
                <w:b/>
                <w:bCs/>
                <w:sz w:val="18"/>
                <w:szCs w:val="18"/>
              </w:rPr>
              <w:t xml:space="preserve">Nazwa substancji</w:t>
            </w:r>
          </w:p>
        </w:tc>
        <w:tc>
          <w:tcPr>
            <w:tcW w:type="dxa" w:w="2600"/>
            <w:shd w:fill="F2F4F7"/>
          </w:tcPr>
          <w:p>
            <w:r>
              <w:rPr>
                <w:rFonts w:ascii="Arial" w:cs="Arial" w:eastAsia="Arial" w:hAnsi="Arial"/>
                <w:b/>
                <w:bCs/>
                <w:sz w:val="18"/>
                <w:szCs w:val="18"/>
              </w:rPr>
              <w:t xml:space="preserve">Identyfikatory</w:t>
            </w:r>
          </w:p>
        </w:tc>
        <w:tc>
          <w:tcPr>
            <w:tcW w:type="dxa" w:w="2800"/>
            <w:shd w:fill="F2F4F7"/>
          </w:tcPr>
          <w:p>
            <w:r>
              <w:rPr>
                <w:rFonts w:ascii="Arial" w:cs="Arial" w:eastAsia="Arial" w:hAnsi="Arial"/>
                <w:b/>
                <w:bCs/>
                <w:sz w:val="18"/>
                <w:szCs w:val="18"/>
              </w:rPr>
              <w:t xml:space="preserve">Klasyfikacja CLP</w:t>
            </w:r>
          </w:p>
        </w:tc>
        <w:tc>
          <w:tcPr>
            <w:tcW w:type="dxa" w:w="1400"/>
            <w:shd w:fill="F2F4F7"/>
          </w:tcPr>
          <w:p>
            <w:r>
              <w:rPr>
                <w:rFonts w:ascii="Arial" w:cs="Arial" w:eastAsia="Arial" w:hAnsi="Arial"/>
                <w:b/>
                <w:bCs/>
                <w:sz w:val="18"/>
                <w:szCs w:val="18"/>
              </w:rPr>
              <w:t xml:space="preserve">Stężenie</w:t>
            </w:r>
          </w:p>
        </w:tc>
      </w:tr>
      <w:tr>
        <w:tc>
          <w:tcPr>
            <w:tcW w:type="dxa" w:w="2800"/>
          </w:tcPr>
          <w:p>
            <w:pPr>
              <w:spacing w:after="40"/>
            </w:pPr>
            <w:r>
              <w:rPr>
                <w:rFonts w:ascii="Arial" w:cs="Arial" w:eastAsia="Arial" w:hAnsi="Arial"/>
                <w:b/>
                <w:bCs/>
                <w:sz w:val="18"/>
                <w:szCs w:val="18"/>
              </w:rPr>
              <w:t xml:space="preserve">etanol</w:t>
            </w:r>
          </w:p>
          <w:p>
            <w:r>
              <w:rPr>
                <w:rFonts w:ascii="Arial" w:cs="Arial" w:eastAsia="Arial" w:hAnsi="Arial"/>
                <w:i/>
                <w:iCs/>
                <w:color w:val="666666"/>
                <w:sz w:val="16"/>
                <w:szCs w:val="16"/>
              </w:rPr>
              <w:t xml:space="preserve">(ang. ETHANOL)</w:t>
            </w:r>
          </w:p>
        </w:tc>
        <w:tc>
          <w:tcPr>
            <w:tcW w:type="dxa" w:w="2600"/>
          </w:tcPr>
          <w:p>
            <w:pPr>
              <w:spacing w:after="40"/>
            </w:pPr>
            <w:r>
              <w:rPr>
                <w:rFonts w:ascii="Arial" w:cs="Arial" w:eastAsia="Arial" w:hAnsi="Arial"/>
                <w:sz w:val="17"/>
                <w:szCs w:val="17"/>
              </w:rPr>
              <w:t xml:space="preserve">Numer CAS: 64-17-5</w:t>
            </w:r>
          </w:p>
          <w:p>
            <w:pPr>
              <w:spacing w:after="40"/>
            </w:pPr>
            <w:r>
              <w:rPr>
                <w:rFonts w:ascii="Arial" w:cs="Arial" w:eastAsia="Arial" w:hAnsi="Arial"/>
                <w:sz w:val="17"/>
                <w:szCs w:val="17"/>
              </w:rPr>
              <w:t xml:space="preserve">Numer WE: 200-578-6</w:t>
            </w:r>
          </w:p>
          <w:p>
            <w:pPr>
              <w:spacing w:after="40"/>
            </w:pPr>
            <w:r>
              <w:rPr>
                <w:rFonts w:ascii="Arial" w:cs="Arial" w:eastAsia="Arial" w:hAnsi="Arial"/>
                <w:sz w:val="17"/>
                <w:szCs w:val="17"/>
              </w:rPr>
              <w:t xml:space="preserve">Numer indeksowy: 603-002-00-5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01-2119457610-43</w:t>
            </w:r>
          </w:p>
        </w:tc>
        <w:tc>
          <w:tcPr>
            <w:tcW w:type="dxa" w:w="2800"/>
          </w:tcPr>
          <w:p>
            <w:pPr>
              <w:spacing w:after="40"/>
            </w:pPr>
            <w:r>
              <w:rPr>
                <w:rFonts w:ascii="Arial" w:cs="Arial" w:eastAsia="Arial" w:hAnsi="Arial"/>
                <w:sz w:val="17"/>
                <w:szCs w:val="17"/>
              </w:rPr>
              <w:t xml:space="preserve">Flam. Liq. 2 H225, Eye Irrit. 2 H319</w:t>
            </w:r>
          </w:p>
          <w:p>
            <w:pPr>
              <w:spacing w:after="40"/>
            </w:pPr>
            <w:r>
              <w:rPr>
                <w:rFonts w:ascii="Arial" w:cs="Arial" w:eastAsia="Arial" w:hAnsi="Arial"/>
                <w:sz w:val="17"/>
                <w:szCs w:val="17"/>
              </w:rPr>
              <w:t xml:space="preserve">Eye Irrit. 2 H319: ≥ 50%</w:t>
            </w:r>
          </w:p>
        </w:tc>
        <w:tc>
          <w:tcPr>
            <w:tcW w:type="dxa" w:w="1400"/>
          </w:tcPr>
          <w:p>
            <w:r>
              <w:rPr>
                <w:rFonts w:ascii="Arial" w:cs="Arial" w:eastAsia="Arial" w:hAnsi="Arial"/>
                <w:sz w:val="18"/>
                <w:szCs w:val="18"/>
              </w:rPr>
              <w:t xml:space="preserve">74 ≤ x &lt; 78 %</w:t>
            </w:r>
          </w:p>
        </w:tc>
      </w:tr>
      <w:tr>
        <w:tc>
          <w:tcPr>
            <w:tcW w:type="dxa" w:w="2800"/>
          </w:tcPr>
          <w:p>
            <w:pPr>
              <w:spacing w:after="40"/>
            </w:pPr>
            <w:r>
              <w:rPr>
                <w:rFonts w:ascii="Arial" w:cs="Arial" w:eastAsia="Arial" w:hAnsi="Arial"/>
                <w:b/>
                <w:bCs/>
                <w:sz w:val="18"/>
                <w:szCs w:val="18"/>
              </w:rPr>
              <w:t xml:space="preserve">aldehyd anyżowy (4-metoksybenzaldehyd)</w:t>
            </w:r>
          </w:p>
          <w:p>
            <w:r>
              <w:rPr>
                <w:rFonts w:ascii="Arial" w:cs="Arial" w:eastAsia="Arial" w:hAnsi="Arial"/>
                <w:i/>
                <w:iCs/>
                <w:color w:val="666666"/>
                <w:sz w:val="16"/>
                <w:szCs w:val="16"/>
              </w:rPr>
              <w:t xml:space="preserve">(ang. ANISALDEHYDE)</w:t>
            </w:r>
          </w:p>
        </w:tc>
        <w:tc>
          <w:tcPr>
            <w:tcW w:type="dxa" w:w="2600"/>
          </w:tcPr>
          <w:p>
            <w:pPr>
              <w:spacing w:after="40"/>
            </w:pPr>
            <w:r>
              <w:rPr>
                <w:rFonts w:ascii="Arial" w:cs="Arial" w:eastAsia="Arial" w:hAnsi="Arial"/>
                <w:sz w:val="17"/>
                <w:szCs w:val="17"/>
              </w:rPr>
              <w:t xml:space="preserve">Numer CAS: 123-11-5</w:t>
            </w:r>
          </w:p>
          <w:p>
            <w:pPr>
              <w:spacing w:after="40"/>
            </w:pPr>
            <w:r>
              <w:rPr>
                <w:rFonts w:ascii="Arial" w:cs="Arial" w:eastAsia="Arial" w:hAnsi="Arial"/>
                <w:sz w:val="17"/>
                <w:szCs w:val="17"/>
              </w:rPr>
              <w:t xml:space="preserve">Numer WE: 204-602-6</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01-2119977101-43</w:t>
            </w:r>
          </w:p>
        </w:tc>
        <w:tc>
          <w:tcPr>
            <w:tcW w:type="dxa" w:w="2800"/>
          </w:tcPr>
          <w:p>
            <w:pPr>
              <w:spacing w:after="40"/>
            </w:pPr>
            <w:r>
              <w:rPr>
                <w:rFonts w:ascii="Arial" w:cs="Arial" w:eastAsia="Arial" w:hAnsi="Arial"/>
                <w:sz w:val="17"/>
                <w:szCs w:val="17"/>
              </w:rPr>
              <w:t xml:space="preserve">Repr. 2 H361fd, Stwarzające zagrożenie dla środowiska wodnego - kategoria przewlekła 3 H412</w:t>
            </w:r>
          </w:p>
        </w:tc>
        <w:tc>
          <w:tcPr>
            <w:tcW w:type="dxa" w:w="1400"/>
          </w:tcPr>
          <w:p>
            <w:r>
              <w:rPr>
                <w:rFonts w:ascii="Arial" w:cs="Arial" w:eastAsia="Arial" w:hAnsi="Arial"/>
                <w:sz w:val="18"/>
                <w:szCs w:val="18"/>
              </w:rPr>
              <w:t xml:space="preserve">0,7 ≤ x &lt; 0,8 %</w:t>
            </w:r>
          </w:p>
        </w:tc>
      </w:tr>
      <w:tr>
        <w:tc>
          <w:tcPr>
            <w:tcW w:type="dxa" w:w="2800"/>
          </w:tcPr>
          <w:p>
            <w:pPr>
              <w:spacing w:after="40"/>
            </w:pPr>
            <w:r>
              <w:rPr>
                <w:rFonts w:ascii="Arial" w:cs="Arial" w:eastAsia="Arial" w:hAnsi="Arial"/>
                <w:b/>
                <w:bCs/>
                <w:sz w:val="18"/>
                <w:szCs w:val="18"/>
              </w:rPr>
              <w:t xml:space="preserve">kumaryna (2H-chromen-2-on)</w:t>
            </w:r>
          </w:p>
          <w:p>
            <w:r>
              <w:rPr>
                <w:rFonts w:ascii="Arial" w:cs="Arial" w:eastAsia="Arial" w:hAnsi="Arial"/>
                <w:i/>
                <w:iCs/>
                <w:color w:val="666666"/>
                <w:sz w:val="16"/>
                <w:szCs w:val="16"/>
              </w:rPr>
              <w:t xml:space="preserve">(ang. 2H-CHROMEN-2-ONE)</w:t>
            </w:r>
          </w:p>
        </w:tc>
        <w:tc>
          <w:tcPr>
            <w:tcW w:type="dxa" w:w="2600"/>
          </w:tcPr>
          <w:p>
            <w:pPr>
              <w:spacing w:after="40"/>
            </w:pPr>
            <w:r>
              <w:rPr>
                <w:rFonts w:ascii="Arial" w:cs="Arial" w:eastAsia="Arial" w:hAnsi="Arial"/>
                <w:sz w:val="17"/>
                <w:szCs w:val="17"/>
              </w:rPr>
              <w:t xml:space="preserve">Numer CAS: 91-64-5</w:t>
            </w:r>
          </w:p>
          <w:p>
            <w:pPr>
              <w:spacing w:after="40"/>
            </w:pPr>
            <w:r>
              <w:rPr>
                <w:rFonts w:ascii="Arial" w:cs="Arial" w:eastAsia="Arial" w:hAnsi="Arial"/>
                <w:sz w:val="17"/>
                <w:szCs w:val="17"/>
              </w:rPr>
              <w:t xml:space="preserve">Numer WE: 202-086-7</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01-2119943756-26</w:t>
            </w:r>
          </w:p>
        </w:tc>
        <w:tc>
          <w:tcPr>
            <w:tcW w:type="dxa" w:w="2800"/>
          </w:tcPr>
          <w:p>
            <w:pPr>
              <w:spacing w:after="40"/>
            </w:pPr>
            <w:r>
              <w:rPr>
                <w:rFonts w:ascii="Arial" w:cs="Arial" w:eastAsia="Arial" w:hAnsi="Arial"/>
                <w:sz w:val="17"/>
                <w:szCs w:val="17"/>
              </w:rPr>
              <w:t xml:space="preserve">Acute Tox. 4 H302, Skin Sens. 1 H317, Stwarzające zagrożenie dla środowiska wodnego - kategoria przewlekła 3 H412</w:t>
            </w:r>
          </w:p>
          <w:p>
            <w:pPr>
              <w:spacing w:after="40"/>
            </w:pPr>
            <w:r>
              <w:rPr>
                <w:rFonts w:ascii="Arial" w:cs="Arial" w:eastAsia="Arial" w:hAnsi="Arial"/>
                <w:sz w:val="17"/>
                <w:szCs w:val="17"/>
              </w:rPr>
              <w:t xml:space="preserve">ATE (droga pokarmowa) = 500 mg/kg</w:t>
            </w:r>
          </w:p>
        </w:tc>
        <w:tc>
          <w:tcPr>
            <w:tcW w:type="dxa" w:w="1400"/>
          </w:tcPr>
          <w:p>
            <w:r>
              <w:rPr>
                <w:rFonts w:ascii="Arial" w:cs="Arial" w:eastAsia="Arial" w:hAnsi="Arial"/>
                <w:sz w:val="18"/>
                <w:szCs w:val="18"/>
              </w:rPr>
              <w:t xml:space="preserve">0,4 ≤ x &lt; 0,45 %</w:t>
            </w:r>
          </w:p>
        </w:tc>
      </w:tr>
      <w:tr>
        <w:tc>
          <w:tcPr>
            <w:tcW w:type="dxa" w:w="2800"/>
          </w:tcPr>
          <w:p>
            <w:pPr>
              <w:spacing w:after="40"/>
            </w:pPr>
            <w:r>
              <w:rPr>
                <w:rFonts w:ascii="Arial" w:cs="Arial" w:eastAsia="Arial" w:hAnsi="Arial"/>
                <w:b/>
                <w:bCs/>
                <w:sz w:val="18"/>
                <w:szCs w:val="18"/>
              </w:rPr>
              <w:t xml:space="preserve">2,6-di-tert-butylo-4-metylofenol (BHT)</w:t>
            </w:r>
          </w:p>
          <w:p>
            <w:r>
              <w:rPr>
                <w:rFonts w:ascii="Arial" w:cs="Arial" w:eastAsia="Arial" w:hAnsi="Arial"/>
                <w:i/>
                <w:iCs/>
                <w:color w:val="666666"/>
                <w:sz w:val="16"/>
                <w:szCs w:val="16"/>
              </w:rPr>
              <w:t xml:space="preserve">(ang. 2,6-di-tert-butyl-p-cresol)</w:t>
            </w:r>
          </w:p>
        </w:tc>
        <w:tc>
          <w:tcPr>
            <w:tcW w:type="dxa" w:w="2600"/>
          </w:tcPr>
          <w:p>
            <w:pPr>
              <w:spacing w:after="40"/>
            </w:pPr>
            <w:r>
              <w:rPr>
                <w:rFonts w:ascii="Arial" w:cs="Arial" w:eastAsia="Arial" w:hAnsi="Arial"/>
                <w:sz w:val="17"/>
                <w:szCs w:val="17"/>
              </w:rPr>
              <w:t xml:space="preserve">Numer CAS: 128-37-0</w:t>
            </w:r>
          </w:p>
          <w:p>
            <w:pPr>
              <w:spacing w:after="40"/>
            </w:pPr>
            <w:r>
              <w:rPr>
                <w:rFonts w:ascii="Arial" w:cs="Arial" w:eastAsia="Arial" w:hAnsi="Arial"/>
                <w:sz w:val="17"/>
                <w:szCs w:val="17"/>
              </w:rPr>
              <w:t xml:space="preserve">Numer WE: 204-881-4</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01-2119565113-46</w:t>
            </w:r>
          </w:p>
        </w:tc>
        <w:tc>
          <w:tcPr>
            <w:tcW w:type="dxa" w:w="2800"/>
          </w:tcPr>
          <w:p>
            <w:pPr>
              <w:spacing w:after="40"/>
            </w:pPr>
            <w:r>
              <w:rPr>
                <w:rFonts w:ascii="Arial" w:cs="Arial" w:eastAsia="Arial" w:hAnsi="Arial"/>
                <w:sz w:val="17"/>
                <w:szCs w:val="17"/>
              </w:rPr>
              <w:t xml:space="preserve">Stwarzające zagrożenie dla środowiska wodnego - kategoria przewlekła 1 H410 M = 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toluen</w:t>
            </w:r>
          </w:p>
          <w:p>
            <w:r>
              <w:rPr>
                <w:rFonts w:ascii="Arial" w:cs="Arial" w:eastAsia="Arial" w:hAnsi="Arial"/>
                <w:i/>
                <w:iCs/>
                <w:color w:val="666666"/>
                <w:sz w:val="16"/>
                <w:szCs w:val="16"/>
              </w:rPr>
              <w:t xml:space="preserve">(ang. toluene)</w:t>
            </w:r>
          </w:p>
        </w:tc>
        <w:tc>
          <w:tcPr>
            <w:tcW w:type="dxa" w:w="2600"/>
          </w:tcPr>
          <w:p>
            <w:pPr>
              <w:spacing w:after="40"/>
            </w:pPr>
            <w:r>
              <w:rPr>
                <w:rFonts w:ascii="Arial" w:cs="Arial" w:eastAsia="Arial" w:hAnsi="Arial"/>
                <w:sz w:val="17"/>
                <w:szCs w:val="17"/>
              </w:rPr>
              <w:t xml:space="preserve">Numer CAS: 108-88-3</w:t>
            </w:r>
          </w:p>
          <w:p>
            <w:pPr>
              <w:spacing w:after="40"/>
            </w:pPr>
            <w:r>
              <w:rPr>
                <w:rFonts w:ascii="Arial" w:cs="Arial" w:eastAsia="Arial" w:hAnsi="Arial"/>
                <w:sz w:val="17"/>
                <w:szCs w:val="17"/>
              </w:rPr>
              <w:t xml:space="preserve">Numer WE: 203-625-9</w:t>
            </w:r>
          </w:p>
          <w:p>
            <w:pPr>
              <w:spacing w:after="40"/>
            </w:pPr>
            <w:r>
              <w:rPr>
                <w:rFonts w:ascii="Arial" w:cs="Arial" w:eastAsia="Arial" w:hAnsi="Arial"/>
                <w:sz w:val="17"/>
                <w:szCs w:val="17"/>
              </w:rPr>
              <w:t xml:space="preserve">Numer indeksowy: 601-021-00-3</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01-2119471310-51</w:t>
            </w:r>
          </w:p>
        </w:tc>
        <w:tc>
          <w:tcPr>
            <w:tcW w:type="dxa" w:w="2800"/>
          </w:tcPr>
          <w:p>
            <w:pPr>
              <w:spacing w:after="40"/>
            </w:pPr>
            <w:r>
              <w:rPr>
                <w:rFonts w:ascii="Arial" w:cs="Arial" w:eastAsia="Arial" w:hAnsi="Arial"/>
                <w:sz w:val="17"/>
                <w:szCs w:val="17"/>
              </w:rPr>
              <w:t xml:space="preserve">Flam. Liq. 2 H225, Repr. 2 H361d, Asp. Tox. 1 H304, Działanie toksyczne na narządy docelowe – narażenie powtarzane 2 H373, Skin</w:t>
            </w:r>
          </w:p>
          <w:p>
            <w:pPr>
              <w:spacing w:after="40"/>
            </w:pPr>
            <w:r>
              <w:rPr>
                <w:rFonts w:ascii="Arial" w:cs="Arial" w:eastAsia="Arial" w:hAnsi="Arial"/>
                <w:sz w:val="17"/>
                <w:szCs w:val="17"/>
              </w:rPr>
              <w:t xml:space="preserve">Irrit. 2 H315, Działanie toksyczne na narządy docelowe – narażenie jednorazowe 3 H336</w:t>
            </w:r>
          </w:p>
        </w:tc>
        <w:tc>
          <w:tcPr>
            <w:tcW w:type="dxa" w:w="1400"/>
          </w:tcPr>
          <w:p>
            <w:r>
              <w:rPr>
                <w:rFonts w:ascii="Arial" w:cs="Arial" w:eastAsia="Arial" w:hAnsi="Arial"/>
                <w:sz w:val="18"/>
                <w:szCs w:val="18"/>
              </w:rPr>
              <w:t xml:space="preserve">0 &lt; x &lt; 0,05 %</w:t>
            </w:r>
          </w:p>
        </w:tc>
      </w:tr>
    </w:tbl>
    <w:p>
      <w:pPr>
        <w:spacing w:after="150" w:before="180"/>
      </w:pPr>
      <w:r>
        <w:rPr>
          <w:rFonts w:ascii="Arial" w:cs="Arial" w:eastAsia="Arial" w:hAnsi="Arial"/>
          <w:i/>
          <w:iCs/>
          <w:sz w:val="18"/>
          <w:szCs w:val="18"/>
        </w:rPr>
        <w:t xml:space="preserve">Pełne brzmienie zwrotów H i EUH znajduje się w sekcji 16 karty charakterystyki.</w:t>
      </w:r>
    </w:p>
    <w:p>
      <w:pPr>
        <w:pBdr>
          <w:bottom w:color="00A651" w:sz="12" w:space="1"/>
        </w:pBdr>
        <w:spacing w:after="150" w:before="300"/>
      </w:pPr>
      <w:r>
        <w:rPr>
          <w:b/>
          <w:bCs/>
          <w:sz w:val="22"/>
          <w:szCs w:val="22"/>
        </w:rPr>
        <w:t xml:space="preserve">SEKCJA 4: ŚRODKI PIERWSZEJ POMOCY</w:t>
      </w:r>
    </w:p>
    <w:p>
      <w:pPr>
        <w:spacing w:after="100" w:before="200"/>
      </w:pPr>
      <w:r>
        <w:rPr>
          <w:rFonts w:ascii="Arial" w:cs="Arial" w:eastAsia="Arial" w:hAnsi="Arial"/>
          <w:b/>
          <w:bCs/>
          <w:sz w:val="20"/>
          <w:szCs w:val="20"/>
        </w:rPr>
        <w:t xml:space="preserve">4.1. Opis środków pierwszej pomocy</w:t>
      </w:r>
    </w:p>
    <w:p>
      <w:pPr>
        <w:spacing w:after="80"/>
      </w:pPr>
      <w:r>
        <w:rPr>
          <w:rFonts w:ascii="Arial" w:cs="Arial" w:eastAsia="Arial" w:hAnsi="Arial"/>
          <w:sz w:val="20"/>
          <w:szCs w:val="20"/>
        </w:rPr>
        <w:t xml:space="preserve">W razie wątpliwości lub w przypadku wystąpienia objawów skonsultować się z lekarzem i pokazać mu niniejszą kartę charakterystyki. W przypadku cięższych objawów wezwać natychmiastową pomoc medyczną.</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Natychmiast zdjąć zanieczyszczoną odzież. Zmyć natychmiast i dokładnie dużą ilością bieżącej wody (oraz w miarę możliwości mydłem). Zasięgnąć porady lekarza. Unikać dalszego kontaktu z zanieczyszczoną odzieżą.</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Wyjąć soczewki kontaktowe, jeżeli są i można je łatwo usunąć. Płukać natychmiast dużą ilością wody przez co najmniej 15 minut, całkowicie otwierając powieki. Zasięgnąć porady/zgłosić się pod opiekę lekarza (skonsultować się z lekarzem okulistą).</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Nie wywoływać wymiotów, chyba że zostało to wyraźnie zalecone przez lekarza. Nigdy nie podawać niczego doustnie osobie nieprzytomnej. Niezwłocznie zasięgnąć porady lekarza, pokazując kartę charakterystyki lub etykietę produktu.</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Wyprowadzić poszkodowanego na świeże powietrze, z dala od miejsca zdarzenia, zapewnić ciepło i spokój. Zasięgnąć porady/zgłosić się pod opiekę lekarza.</w:t>
      </w:r>
    </w:p>
    <w:p>
      <w:pPr>
        <w:spacing w:after="80"/>
      </w:pPr>
      <w:r>
        <w:rPr>
          <w:rFonts w:ascii="Arial" w:cs="Arial" w:eastAsia="Arial" w:hAnsi="Arial"/>
          <w:sz w:val="20"/>
          <w:szCs w:val="20"/>
        </w:rPr>
        <w:t xml:space="preserve">Ochrona osób udzielających pierwszej pomocy:</w:t>
      </w:r>
    </w:p>
    <w:p>
      <w:pPr>
        <w:spacing w:after="80"/>
      </w:pPr>
      <w:r>
        <w:rPr>
          <w:rFonts w:ascii="Arial" w:cs="Arial" w:eastAsia="Arial" w:hAnsi="Arial"/>
          <w:sz w:val="20"/>
          <w:szCs w:val="20"/>
        </w:rPr>
        <w:t xml:space="preserve">Dobrą praktyką jest, aby ratownicy udzielający pomocy osobie narażonej na działanie substancji lub mieszaniny chemicznej stosowali środki ochrony indywidualnej. Rodzaj ochrony zależy od stopnia zagrożenia stwarzanego przez substancję lub mieszaninę, rodzaju narażenia i stopnia skażenia. W przypadku braku innych, bardziej szczegółowych wskazań, w razie możliwości kontaktu z płynami ustrojowymi zaleca się stosowanie rękawic jednorazowych. Informacje na temat odpowiednich środków ochrony indywidualnej podano w sekcji 8.</w:t>
      </w:r>
    </w:p>
    <w:p>
      <w:pPr>
        <w:spacing w:after="100" w:before="200"/>
      </w:pPr>
      <w:r>
        <w:rPr>
          <w:rFonts w:ascii="Arial" w:cs="Arial" w:eastAsia="Arial" w:hAnsi="Arial"/>
          <w:b/>
          <w:bCs/>
          <w:sz w:val="20"/>
          <w:szCs w:val="20"/>
        </w:rPr>
        <w:t xml:space="preserve">4.2. Najważniejsze ostre i opóźnione objawy oraz skutki narażenia</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Działa drażniąco na oczy. Może powodować zaczerwienienie spojówek, pieczenie, łzawienie i ból.</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U osób szczególnie wrażliwych może wywołać reakcję alergiczną skóry (zawiera kumarynę (2H-chromen-2-on)). Przy długotrwałym kontakcie może powodować wysuszenie lub pękanie skóry.</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Wdychanie wysokich stężeń par może wywoływać podrażnienie błon śluzowych dróg oddechowych, bóle i zawroty głowy oraz uczucie senności.</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Może wywołać podrażnienie układu pokarmowego, nudności, wymioty oraz objawy intoksykacji alkoholowej.</w:t>
      </w:r>
    </w:p>
    <w:p>
      <w:pPr>
        <w:spacing w:after="80"/>
      </w:pPr>
      <w:r>
        <w:rPr>
          <w:rFonts w:ascii="Arial" w:cs="Arial" w:eastAsia="Arial" w:hAnsi="Arial"/>
          <w:sz w:val="20"/>
          <w:szCs w:val="20"/>
        </w:rPr>
        <w:t xml:space="preserve">SKUTKI OPÓŹNIONE: W oparciu o dostępne dane, w warunkach prawidłowego stosowania nie są znane przypadki wystąpienia opóźnionych powikłań zdrowotnych.</w:t>
      </w:r>
    </w:p>
    <w:p>
      <w:pPr>
        <w:spacing w:after="100" w:before="200"/>
      </w:pPr>
      <w:r>
        <w:rPr>
          <w:rFonts w:ascii="Arial" w:cs="Arial" w:eastAsia="Arial" w:hAnsi="Arial"/>
          <w:b/>
          <w:bCs/>
          <w:sz w:val="20"/>
          <w:szCs w:val="20"/>
        </w:rPr>
        <w:t xml:space="preserve">4.3. Wskazania dotyczące wszelkiej natychmiastowej pomocy lekarskiej i szczególnego postępowania z poszkodowanym</w:t>
      </w:r>
    </w:p>
    <w:p>
      <w:pPr>
        <w:spacing w:after="80"/>
      </w:pPr>
      <w:r>
        <w:rPr>
          <w:rFonts w:ascii="Arial" w:cs="Arial" w:eastAsia="Arial" w:hAnsi="Arial"/>
          <w:sz w:val="20"/>
          <w:szCs w:val="20"/>
        </w:rPr>
        <w:t xml:space="preserve">W przypadku wystąpienia objawów (ostrych lub opóźnionych) skonsultować się z lekarzem.</w:t>
      </w:r>
    </w:p>
    <w:p>
      <w:pPr>
        <w:spacing w:after="80"/>
      </w:pPr>
      <w:r>
        <w:rPr>
          <w:rFonts w:ascii="Arial" w:cs="Arial" w:eastAsia="Arial" w:hAnsi="Arial"/>
          <w:sz w:val="20"/>
          <w:szCs w:val="20"/>
        </w:rPr>
        <w:t xml:space="preserve">Środki, które powinny być dostępne w miejscu pracy w celu zapewnienia natychmiastowego i specyficznego leczenia: Bieżąca woda do przemywania oczu i zmywania skóry.</w:t>
      </w:r>
    </w:p>
    <w:p>
      <w:pPr>
        <w:pBdr>
          <w:bottom w:color="00A651" w:sz="12" w:space="1"/>
        </w:pBdr>
        <w:spacing w:after="150" w:before="300"/>
      </w:pPr>
      <w:r>
        <w:rPr>
          <w:b/>
          <w:bCs/>
          <w:sz w:val="22"/>
          <w:szCs w:val="22"/>
        </w:rPr>
        <w:t xml:space="preserve">SEKCJA 5: POSTĘPOWANIE W PRZYPADKU POŻARU</w:t>
      </w:r>
    </w:p>
    <w:p>
      <w:pPr>
        <w:spacing w:after="100" w:before="200"/>
      </w:pPr>
      <w:r>
        <w:rPr>
          <w:rFonts w:ascii="Arial" w:cs="Arial" w:eastAsia="Arial" w:hAnsi="Arial"/>
          <w:b/>
          <w:bCs/>
          <w:sz w:val="20"/>
          <w:szCs w:val="20"/>
        </w:rPr>
        <w:t xml:space="preserve">5.1. Środki gaśnicze</w:t>
      </w:r>
    </w:p>
    <w:p>
      <w:pPr>
        <w:spacing w:after="80" w:before="80"/>
      </w:pPr>
      <w:r>
        <w:rPr>
          <w:rFonts w:ascii="Arial" w:cs="Arial" w:eastAsia="Arial" w:hAnsi="Arial"/>
          <w:b/>
          <w:bCs/>
          <w:sz w:val="20"/>
          <w:szCs w:val="20"/>
        </w:rPr>
        <w:t xml:space="preserve">Odpowiednie środki gaśnicze:</w:t>
      </w:r>
      <w:r>
        <w:rPr>
          <w:rFonts w:ascii="Arial" w:cs="Arial" w:eastAsia="Arial" w:hAnsi="Arial"/>
          <w:sz w:val="20"/>
          <w:szCs w:val="20"/>
        </w:rPr>
        <w:t xml:space="preserve"> piana gaśnicza, proszek gaśniczy, dwutlenek węgla.</w:t>
      </w:r>
    </w:p>
    <w:p>
      <w:pPr>
        <w:pBdr>
          <w:bottom w:color="00A651" w:sz="12" w:space="1"/>
        </w:pBdr>
        <w:spacing w:after="150" w:before="300"/>
      </w:pPr>
      <w:r>
        <w:rPr>
          <w:b/>
          <w:bCs/>
          <w:sz w:val="22"/>
          <w:szCs w:val="22"/>
        </w:rPr>
        <w:t xml:space="preserve">SEKCJA 6: POSTĘPOWANIE W PRZYPADKU NIEZAMIERZONEGO UWOLNIENIA DO ŚRODOWISKA</w:t>
      </w:r>
    </w:p>
    <w:p>
      <w:pPr>
        <w:spacing w:after="100" w:before="200"/>
      </w:pPr>
      <w:r>
        <w:rPr>
          <w:rFonts w:ascii="Arial" w:cs="Arial" w:eastAsia="Arial" w:hAnsi="Arial"/>
          <w:b/>
          <w:bCs/>
          <w:sz w:val="20"/>
          <w:szCs w:val="20"/>
        </w:rPr>
        <w:t xml:space="preserve">6.1. Indywidualne środki ostrożności: usunąć wszelkie źródła zapłonu.</w:t>
      </w:r>
    </w:p>
    <w:p>
      <w:pPr>
        <w:pBdr>
          <w:bottom w:color="00A651" w:sz="12" w:space="1"/>
        </w:pBdr>
        <w:spacing w:after="150" w:before="300"/>
      </w:pPr>
      <w:r>
        <w:rPr>
          <w:b/>
          <w:bCs/>
          <w:sz w:val="22"/>
          <w:szCs w:val="22"/>
        </w:rPr>
        <w:t xml:space="preserve">SEKCJA 7: POSTĘPOWANIE Z SUBSTANCJAMI I MIESZANINAMI ORAZ ICH MAGAZYNOWANIE</w:t>
      </w:r>
    </w:p>
    <w:p>
      <w:pPr>
        <w:spacing w:after="100" w:before="200"/>
      </w:pPr>
      <w:r>
        <w:rPr>
          <w:rFonts w:ascii="Arial" w:cs="Arial" w:eastAsia="Arial" w:hAnsi="Arial"/>
          <w:b/>
          <w:bCs/>
          <w:sz w:val="20"/>
          <w:szCs w:val="20"/>
        </w:rPr>
        <w:t xml:space="preserve">7.1. Środki ostrożności dotyczące bezpiecznego postępowania: unikać kontaktu z oczami i skórą.</w:t>
      </w:r>
    </w:p>
    <w:p>
      <w:pPr>
        <w:pBdr>
          <w:bottom w:color="00A651" w:sz="12" w:space="1"/>
        </w:pBdr>
        <w:spacing w:after="150" w:before="300"/>
      </w:pPr>
      <w:r>
        <w:rPr>
          <w:b/>
          <w:bCs/>
          <w:sz w:val="22"/>
          <w:szCs w:val="22"/>
        </w:rPr>
        <w:t xml:space="preserve">SEKCJA 8: KONTROLA NARAŻENIA/ŚRODKI OCHRONY INDYWIDUALNEJ</w:t>
      </w:r>
    </w:p>
    <w:p>
      <w:pPr>
        <w:spacing w:after="100" w:before="200"/>
      </w:pPr>
      <w:r>
        <w:rPr>
          <w:rFonts w:ascii="Arial" w:cs="Arial" w:eastAsia="Arial" w:hAnsi="Arial"/>
          <w:b/>
          <w:bCs/>
          <w:sz w:val="20"/>
          <w:szCs w:val="20"/>
        </w:rPr>
        <w:t xml:space="preserve">8.1. Parametry dotyczące kontroli</w:t>
      </w:r>
    </w:p>
    <w:p>
      <w:pPr>
        <w:spacing w:after="80"/>
      </w:pPr>
      <w:r>
        <w:rPr>
          <w:rFonts w:ascii="Arial" w:cs="Arial" w:eastAsia="Arial" w:hAnsi="Arial"/>
          <w:sz w:val="20"/>
          <w:szCs w:val="20"/>
        </w:rPr>
        <w:t xml:space="preserve">Krajowe wartości najwyższych dopuszczalnych stężeń w środowisku pracy (Polska – Dz.U. 2018 poz. 1286 z późn. zm., w tym Dz.U. 2024 poz. 1017):</w:t>
      </w:r>
    </w:p>
    <w:p>
      <w:pPr>
        <w:spacing w:after="80"/>
      </w:pPr>
      <w:r>
        <w:rPr>
          <w:rFonts w:ascii="Arial" w:cs="Arial" w:eastAsia="Arial" w:hAnsi="Arial"/>
          <w:sz w:val="20"/>
          <w:szCs w:val="20"/>
        </w:rPr>
        <w:t xml:space="preserve">Etanol [CAS: 64-17-5]:</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1900 mg/m³</w:t>
      </w:r>
    </w:p>
    <w:p>
      <w:pPr>
        <w:spacing w:after="80"/>
      </w:pPr>
      <w:r>
        <w:rPr>
          <w:rFonts w:ascii="Arial" w:cs="Arial" w:eastAsia="Arial" w:hAnsi="Arial"/>
          <w:sz w:val="20"/>
          <w:szCs w:val="20"/>
        </w:rPr>
        <w:t xml:space="preserve">2,6-Di-tert-butylo-4-metylofenol [CAS: 128-37-0]:</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 mg/m³</w:t>
      </w:r>
    </w:p>
    <w:p>
      <w:pPr>
        <w:spacing w:after="80"/>
      </w:pPr>
      <w:r>
        <w:rPr>
          <w:rFonts w:ascii="Arial" w:cs="Arial" w:eastAsia="Arial" w:hAnsi="Arial"/>
          <w:sz w:val="20"/>
          <w:szCs w:val="20"/>
        </w:rPr>
        <w:t xml:space="preserve">Toluen [CAS: 108-88-3]:</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200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before="150"/>
      </w:pPr>
      <w:r>
        <w:rPr>
          <w:rFonts w:ascii="Arial" w:cs="Arial" w:eastAsia="Arial" w:hAnsi="Arial"/>
          <w:b/>
          <w:bCs/>
          <w:sz w:val="20"/>
          <w:szCs w:val="20"/>
        </w:rPr>
        <w:t xml:space="preserve">Wspólnotowe i zagraniczne dopuszczalne wartości narażenia zawodowego (OEL):</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Niemcy (AGW) / Austria (MAK): 380 mg/m³ (200 ppm) / 960 mg/m³ (500 ppm).</w:t>
      </w:r>
    </w:p>
    <w:p>
      <w:pPr>
        <w:spacing w:after="80"/>
      </w:pPr>
      <w:r>
        <w:rPr>
          <w:rFonts w:ascii="Arial" w:cs="Arial" w:eastAsia="Arial" w:hAnsi="Arial"/>
          <w:sz w:val="20"/>
          <w:szCs w:val="20"/>
        </w:rPr>
        <w:t xml:space="preserve">Pochodne poziomy niepowodujące zmian (DNEL) oraz Przewidywane stężenia niepowodujące zmian w środowisku (PNEC):</w:t>
      </w:r>
    </w:p>
    <w:p>
      <w:pPr>
        <w:spacing w:after="80"/>
      </w:pPr>
      <w:r>
        <w:rPr>
          <w:rFonts w:ascii="Arial" w:cs="Arial" w:eastAsia="Arial" w:hAnsi="Arial"/>
          <w:sz w:val="20"/>
          <w:szCs w:val="20"/>
        </w:rPr>
        <w:t xml:space="preserve">Substancja: etanol [CAS: 64-17-5]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87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114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950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206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343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0,96mg/l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0,79mg/l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3,6mg/kg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2,9mg/kg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2,75mg/l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580mg/l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0,38mg/kg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0,63mg/kg</w:t>
      </w:r>
    </w:p>
    <w:p>
      <w:pPr>
        <w:spacing w:after="80"/>
      </w:pPr>
      <w:r>
        <w:rPr>
          <w:rFonts w:ascii="Arial" w:cs="Arial" w:eastAsia="Arial" w:hAnsi="Arial"/>
          <w:sz w:val="20"/>
          <w:szCs w:val="20"/>
        </w:rPr>
        <w:t xml:space="preserve">Substancja: aldehyd anyżowy (4-metoksybenzaldehyd) [CAS: 123-11-5]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2,5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4,35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14,7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4,2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6,9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0,081mg/l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0,008111mg/l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0,409mg/kg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0,0409mg/kg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0,8111mg/l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4,5mg/l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0,0967mg/kg</w:t>
      </w:r>
    </w:p>
    <w:p>
      <w:pPr>
        <w:spacing w:after="80"/>
      </w:pPr>
      <w:r>
        <w:rPr>
          <w:rFonts w:ascii="Arial" w:cs="Arial" w:eastAsia="Arial" w:hAnsi="Arial"/>
          <w:sz w:val="20"/>
          <w:szCs w:val="20"/>
        </w:rPr>
        <w:t xml:space="preserve">Substancja: kumaryna (2H-chromen-2-on) [CAS: 91-64-5]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0,39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1,69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6,78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0,39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0,79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0,019mg/l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0,0019mg/l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0,15mg/kg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0,015mg/kg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0,0142mg/l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6,4mg/l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30,7mg/kg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0,018mg/kg</w:t>
      </w:r>
    </w:p>
    <w:p>
      <w:pPr>
        <w:spacing w:after="80"/>
      </w:pPr>
      <w:r>
        <w:rPr>
          <w:rFonts w:ascii="Arial" w:cs="Arial" w:eastAsia="Arial" w:hAnsi="Arial"/>
          <w:sz w:val="20"/>
          <w:szCs w:val="20"/>
        </w:rPr>
        <w:t xml:space="preserve">Substancja: 2,6-di-tert-butylo-4-metylofenol (BHT) [CAS: 128-37-0]</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0,25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0,86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3,5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0,25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0,000199mg/l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0,02 μg/l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0,0996mg/kg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0,00996mg/kg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0,00199mg/l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0,17mg/l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8,33mg/kg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0,04769mg/kg</w:t>
      </w:r>
    </w:p>
    <w:p>
      <w:pPr>
        <w:spacing w:after="80"/>
      </w:pPr>
      <w:r>
        <w:rPr>
          <w:rFonts w:ascii="Arial" w:cs="Arial" w:eastAsia="Arial" w:hAnsi="Arial"/>
          <w:sz w:val="20"/>
          <w:szCs w:val="20"/>
        </w:rPr>
        <w:t xml:space="preserve">Substancja: toluen [CAS: 108-88-3]</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8,13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ostre miejscowe: 226 mg/m³, ostre układowe: 226 mg/m³, przewlekłe miejscowe: 56,5 mg/m³, przewlekłe układowe: 56,5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ostre miejscowe: 384 mg/m³, ostre układowe: 384 mg/m³, przewlekłe miejscowe: 192 mg/m³, przewlekłe układowe: 192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226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384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0,68mg/l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0,68mg/l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16,39mg/kg/d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16,39mg/kg/d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0,68mg/l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13,61mg/l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2,89mg/kg soil dw</w:t>
      </w:r>
    </w:p>
    <w:p>
      <w:pPr>
        <w:spacing w:after="80" w:before="80"/>
      </w:pPr>
      <w:r>
        <w:rPr>
          <w:rFonts w:ascii="Arial" w:cs="Arial" w:eastAsia="Arial" w:hAnsi="Arial"/>
          <w:b/>
          <w:bCs/>
          <w:sz w:val="20"/>
          <w:szCs w:val="20"/>
        </w:rPr>
        <w:t xml:space="preserve">Zalecane procedury monitorowania:</w:t>
      </w:r>
      <w:r>
        <w:rPr>
          <w:rFonts w:ascii="Arial" w:cs="Arial" w:eastAsia="Arial" w:hAnsi="Arial"/>
          <w:sz w:val="20"/>
          <w:szCs w:val="20"/>
        </w:rPr>
        <w:t xml:space="preserve"> Należy stosować procedury monitorowania stężeń niebezpiecznych substancji w powietrzu na stanowiskach pracy oraz procedury kontroli wentylacji zgodnie z odpowiednimi Polskimi Normami.</w:t>
      </w:r>
    </w:p>
    <w:p>
      <w:pPr>
        <w:spacing w:after="100" w:before="200"/>
      </w:pPr>
      <w:r>
        <w:rPr>
          <w:rFonts w:ascii="Arial" w:cs="Arial" w:eastAsia="Arial" w:hAnsi="Arial"/>
          <w:b/>
          <w:bCs/>
          <w:sz w:val="20"/>
          <w:szCs w:val="20"/>
        </w:rPr>
        <w:t xml:space="preserve">8.2. Kontrola narażenia</w:t>
      </w:r>
    </w:p>
    <w:p>
      <w:pPr>
        <w:spacing w:after="80" w:before="80"/>
      </w:pPr>
      <w:r>
        <w:rPr>
          <w:rFonts w:ascii="Arial" w:cs="Arial" w:eastAsia="Arial" w:hAnsi="Arial"/>
          <w:b/>
          <w:bCs/>
          <w:sz w:val="20"/>
          <w:szCs w:val="20"/>
        </w:rPr>
        <w:t xml:space="preserve">Ochrona oczu:</w:t>
      </w:r>
      <w:r>
        <w:rPr>
          <w:rFonts w:ascii="Arial" w:cs="Arial" w:eastAsia="Arial" w:hAnsi="Arial"/>
          <w:sz w:val="20"/>
          <w:szCs w:val="20"/>
        </w:rPr>
        <w:t xml:space="preserve"> Nosić okulary ochronne w szczelnej obudowie lub gogle ochronne zgodne z normą PN-EN 166.</w:t>
      </w:r>
    </w:p>
    <w:p>
      <w:pPr>
        <w:spacing w:after="80" w:before="80"/>
      </w:pPr>
      <w:r>
        <w:rPr>
          <w:rFonts w:ascii="Arial" w:cs="Arial" w:eastAsia="Arial" w:hAnsi="Arial"/>
          <w:b/>
          <w:bCs/>
          <w:sz w:val="20"/>
          <w:szCs w:val="20"/>
        </w:rPr>
        <w:t xml:space="preserve">Ochrona skóry:</w:t>
      </w:r>
      <w:r>
        <w:rPr>
          <w:rFonts w:ascii="Arial" w:cs="Arial" w:eastAsia="Arial" w:hAnsi="Arial"/>
          <w:sz w:val="20"/>
          <w:szCs w:val="20"/>
        </w:rPr>
        <w:t xml:space="preserve"> Stosować odpowiednią odzież roboczą chroniącą przed kontaktem z chemikaliami.</w:t>
      </w:r>
    </w:p>
    <w:p>
      <w:pPr>
        <w:spacing w:after="80" w:before="80"/>
      </w:pPr>
      <w:r>
        <w:rPr>
          <w:rFonts w:ascii="Arial" w:cs="Arial" w:eastAsia="Arial" w:hAnsi="Arial"/>
          <w:b/>
          <w:bCs/>
          <w:sz w:val="20"/>
          <w:szCs w:val="20"/>
        </w:rPr>
        <w:t xml:space="preserve">Ochrona rąk:</w:t>
      </w:r>
      <w:r>
        <w:rPr>
          <w:rFonts w:ascii="Arial" w:cs="Arial" w:eastAsia="Arial" w:hAnsi="Arial"/>
          <w:sz w:val="20"/>
          <w:szCs w:val="20"/>
        </w:rPr>
        <w:t xml:space="preserve"> Stosować rękawice ochronne odporne na działanie chemikaliów (np. z kauczuku nitrylowego lub neoprenu) zgodne z normą PN-EN ISO 374-1. Czas przebicia i grubość materiału należy skonsultować z dostawcą rękawic.</w:t>
      </w:r>
    </w:p>
    <w:p>
      <w:pPr>
        <w:spacing w:after="80" w:before="80"/>
      </w:pPr>
      <w:r>
        <w:rPr>
          <w:rFonts w:ascii="Arial" w:cs="Arial" w:eastAsia="Arial" w:hAnsi="Arial"/>
          <w:b/>
          <w:bCs/>
          <w:sz w:val="20"/>
          <w:szCs w:val="20"/>
        </w:rPr>
        <w:t xml:space="preserve">Ochrona dróg oddechowych:</w:t>
      </w:r>
      <w:r>
        <w:rPr>
          <w:rFonts w:ascii="Arial" w:cs="Arial" w:eastAsia="Arial" w:hAnsi="Arial"/>
          <w:sz w:val="20"/>
          <w:szCs w:val="20"/>
        </w:rPr>
        <w:t xml:space="preserve"> W normalnych warunkach stosowania przy właściwej wentylacji nie jest wymagana. W przypadku niedostatecznej wentylacji lub przekroczenia dopuszczalnych stężeń NDS stosować odpowiedni sprzęt ochrony dróg oddechowych z pochłaniaczem par typu A (norma PN-EN 14387).</w:t>
      </w:r>
    </w:p>
    <w:p>
      <w:pPr>
        <w:spacing w:after="80" w:before="80"/>
      </w:pPr>
      <w:r>
        <w:rPr>
          <w:rFonts w:ascii="Arial" w:cs="Arial" w:eastAsia="Arial" w:hAnsi="Arial"/>
          <w:b/>
          <w:bCs/>
          <w:sz w:val="20"/>
          <w:szCs w:val="20"/>
        </w:rPr>
        <w:t xml:space="preserve">Zagrożenia termiczne:</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Kontrola narażenia środowiska:</w:t>
      </w:r>
      <w:r>
        <w:rPr>
          <w:rFonts w:ascii="Arial" w:cs="Arial" w:eastAsia="Arial" w:hAnsi="Arial"/>
          <w:sz w:val="20"/>
          <w:szCs w:val="20"/>
        </w:rPr>
        <w:t xml:space="preserve"> Nie dopuścić do przedostania się dużych ilości produktu do kanalizacji, wód powierzchniowych ani gruntowych.</w:t>
      </w:r>
    </w:p>
    <w:p>
      <w:pPr>
        <w:spacing w:after="80" w:before="80"/>
      </w:pPr>
      <w:r>
        <w:rPr>
          <w:rFonts w:ascii="Arial" w:cs="Arial" w:eastAsia="Arial" w:hAnsi="Arial"/>
          <w:b/>
          <w:bCs/>
          <w:sz w:val="20"/>
          <w:szCs w:val="20"/>
        </w:rPr>
        <w:t xml:space="preserve">Środki higieniczne i techniczne:</w:t>
      </w:r>
      <w:r>
        <w:rPr>
          <w:rFonts w:ascii="Arial" w:cs="Arial" w:eastAsia="Arial" w:hAnsi="Arial"/>
          <w:sz w:val="20"/>
          <w:szCs w:val="20"/>
        </w:rPr>
        <w:t xml:space="preserve"> Zapewnić odpowiednią wentylację ogólną i miejscową na stanowiskach pracy. Myć ręce po zakończeniu pracy z produktem. Nie jeść i nie pić podczas stosowania.</w:t>
      </w:r>
    </w:p>
    <w:p>
      <w:pPr>
        <w:pBdr>
          <w:bottom w:color="00A651" w:sz="12" w:space="1"/>
        </w:pBdr>
        <w:spacing w:after="150" w:before="300"/>
      </w:pPr>
      <w:r>
        <w:rPr>
          <w:b/>
          <w:bCs/>
          <w:sz w:val="22"/>
          <w:szCs w:val="22"/>
        </w:rPr>
        <w:t xml:space="preserve">SEKCJA 9: WŁAŚCIWOŚCI FIZYCZNE I CHEMICZNE</w:t>
      </w:r>
    </w:p>
    <w:p>
      <w:pPr>
        <w:spacing w:after="100" w:before="200"/>
      </w:pPr>
      <w:r>
        <w:rPr>
          <w:rFonts w:ascii="Arial" w:cs="Arial" w:eastAsia="Arial" w:hAnsi="Arial"/>
          <w:b/>
          <w:bCs/>
          <w:sz w:val="20"/>
          <w:szCs w:val="20"/>
        </w:rPr>
        <w:t xml:space="preserve">9.1. Informacje na temat podstawowych właściwości fizycznych i chemicznych</w:t>
      </w:r>
    </w:p>
    <w:p>
      <w:pPr>
        <w:spacing w:after="80" w:before="80"/>
      </w:pPr>
      <w:r>
        <w:rPr>
          <w:rFonts w:ascii="Arial" w:cs="Arial" w:eastAsia="Arial" w:hAnsi="Arial"/>
          <w:b/>
          <w:bCs/>
          <w:sz w:val="20"/>
          <w:szCs w:val="20"/>
        </w:rPr>
        <w:t xml:space="preserve">Stan skupienia:</w:t>
      </w:r>
      <w:r>
        <w:rPr>
          <w:rFonts w:ascii="Arial" w:cs="Arial" w:eastAsia="Arial" w:hAnsi="Arial"/>
          <w:sz w:val="20"/>
          <w:szCs w:val="20"/>
        </w:rPr>
        <w:t xml:space="preserve"> ciecz (temperatura: 20 °C)</w:t>
      </w:r>
    </w:p>
    <w:p>
      <w:pPr>
        <w:spacing w:after="80" w:before="80"/>
      </w:pPr>
      <w:r>
        <w:rPr>
          <w:rFonts w:ascii="Arial" w:cs="Arial" w:eastAsia="Arial" w:hAnsi="Arial"/>
          <w:b/>
          <w:bCs/>
          <w:sz w:val="20"/>
          <w:szCs w:val="20"/>
        </w:rPr>
        <w:t xml:space="preserve">Kolor:</w:t>
      </w:r>
      <w:r>
        <w:rPr>
          <w:rFonts w:ascii="Arial" w:cs="Arial" w:eastAsia="Arial" w:hAnsi="Arial"/>
          <w:sz w:val="20"/>
          <w:szCs w:val="20"/>
        </w:rPr>
        <w:t xml:space="preserve"> różowy (temperatura: 20 °C)</w:t>
      </w:r>
    </w:p>
    <w:p>
      <w:pPr>
        <w:spacing w:after="80" w:before="80"/>
      </w:pPr>
      <w:r>
        <w:rPr>
          <w:rFonts w:ascii="Arial" w:cs="Arial" w:eastAsia="Arial" w:hAnsi="Arial"/>
          <w:b/>
          <w:bCs/>
          <w:sz w:val="20"/>
          <w:szCs w:val="20"/>
        </w:rPr>
        <w:t xml:space="preserve">Zapach:</w:t>
      </w:r>
      <w:r>
        <w:rPr>
          <w:rFonts w:ascii="Arial" w:cs="Arial" w:eastAsia="Arial" w:hAnsi="Arial"/>
          <w:sz w:val="20"/>
          <w:szCs w:val="20"/>
        </w:rPr>
        <w:t xml:space="preserve"> charakterystyczny (metoda wewnętrzna)</w:t>
      </w:r>
    </w:p>
    <w:p>
      <w:pPr>
        <w:spacing w:after="80" w:before="80"/>
      </w:pPr>
      <w:r>
        <w:rPr>
          <w:rFonts w:ascii="Arial" w:cs="Arial" w:eastAsia="Arial" w:hAnsi="Arial"/>
          <w:b/>
          <w:bCs/>
          <w:sz w:val="20"/>
          <w:szCs w:val="20"/>
        </w:rPr>
        <w:t xml:space="preserve">Temperatura topnienia/krzepnięcia:</w:t>
      </w:r>
      <w:r>
        <w:rPr>
          <w:rFonts w:ascii="Arial" w:cs="Arial" w:eastAsia="Arial" w:hAnsi="Arial"/>
          <w:sz w:val="20"/>
          <w:szCs w:val="20"/>
        </w:rPr>
        <w:t xml:space="preserve"> -114 °C</w:t>
      </w:r>
    </w:p>
    <w:p>
      <w:pPr>
        <w:spacing w:after="80" w:before="80"/>
      </w:pPr>
      <w:r>
        <w:rPr>
          <w:rFonts w:ascii="Arial" w:cs="Arial" w:eastAsia="Arial" w:hAnsi="Arial"/>
          <w:b/>
          <w:bCs/>
          <w:sz w:val="20"/>
          <w:szCs w:val="20"/>
        </w:rPr>
        <w:t xml:space="preserve">Temperatura wrzenia lub początkowa temperatura wrzenia i zakres temperatur wrzenia:</w:t>
      </w:r>
      <w:r>
        <w:rPr>
          <w:rFonts w:ascii="Arial" w:cs="Arial" w:eastAsia="Arial" w:hAnsi="Arial"/>
          <w:sz w:val="20"/>
          <w:szCs w:val="20"/>
        </w:rPr>
        <w:t xml:space="preserve"> 78,5 °C</w:t>
      </w:r>
    </w:p>
    <w:p>
      <w:pPr>
        <w:spacing w:after="80" w:before="80"/>
      </w:pPr>
      <w:r>
        <w:rPr>
          <w:rFonts w:ascii="Arial" w:cs="Arial" w:eastAsia="Arial" w:hAnsi="Arial"/>
          <w:b/>
          <w:bCs/>
          <w:sz w:val="20"/>
          <w:szCs w:val="20"/>
        </w:rPr>
        <w:t xml:space="preserve">Palność materiałów:</w:t>
      </w:r>
      <w:r>
        <w:rPr>
          <w:rFonts w:ascii="Arial" w:cs="Arial" w:eastAsia="Arial" w:hAnsi="Arial"/>
          <w:sz w:val="20"/>
          <w:szCs w:val="20"/>
        </w:rPr>
        <w:t xml:space="preserve"> ciecz łatwopalna (metoda: ISO 3679:2015)</w:t>
      </w:r>
    </w:p>
    <w:p>
      <w:pPr>
        <w:spacing w:after="80" w:before="80"/>
      </w:pPr>
      <w:r>
        <w:rPr>
          <w:rFonts w:ascii="Arial" w:cs="Arial" w:eastAsia="Arial" w:hAnsi="Arial"/>
          <w:b/>
          <w:bCs/>
          <w:sz w:val="20"/>
          <w:szCs w:val="20"/>
        </w:rPr>
        <w:t xml:space="preserve">Dolna i górna granica wybuchowości:</w:t>
      </w:r>
      <w:r>
        <w:rPr>
          <w:rFonts w:ascii="Arial" w:cs="Arial" w:eastAsia="Arial" w:hAnsi="Arial"/>
          <w:sz w:val="20"/>
          <w:szCs w:val="20"/>
        </w:rPr>
        <w:t xml:space="preserve"> Dolna granica wybuchowości (DGW): 3,3 % (v/v); Górna granica wybuchowości (GGW): 19 % (v/v)</w:t>
      </w:r>
    </w:p>
    <w:p>
      <w:pPr>
        <w:spacing w:after="80" w:before="80"/>
      </w:pPr>
      <w:r>
        <w:rPr>
          <w:rFonts w:ascii="Arial" w:cs="Arial" w:eastAsia="Arial" w:hAnsi="Arial"/>
          <w:b/>
          <w:bCs/>
          <w:sz w:val="20"/>
          <w:szCs w:val="20"/>
        </w:rPr>
        <w:t xml:space="preserve">Temperatura zapłonu:</w:t>
      </w:r>
      <w:r>
        <w:rPr>
          <w:rFonts w:ascii="Arial" w:cs="Arial" w:eastAsia="Arial" w:hAnsi="Arial"/>
          <w:sz w:val="20"/>
          <w:szCs w:val="20"/>
        </w:rPr>
        <w:t xml:space="preserve"> 18,7 °C (metoda: ISO 3679:2015)</w:t>
      </w:r>
    </w:p>
    <w:p>
      <w:pPr>
        <w:spacing w:after="80" w:before="80"/>
      </w:pPr>
      <w:r>
        <w:rPr>
          <w:rFonts w:ascii="Arial" w:cs="Arial" w:eastAsia="Arial" w:hAnsi="Arial"/>
          <w:b/>
          <w:bCs/>
          <w:sz w:val="20"/>
          <w:szCs w:val="20"/>
        </w:rPr>
        <w:t xml:space="preserve">Temperatura samozapłonu:</w:t>
      </w:r>
      <w:r>
        <w:rPr>
          <w:rFonts w:ascii="Arial" w:cs="Arial" w:eastAsia="Arial" w:hAnsi="Arial"/>
          <w:sz w:val="20"/>
          <w:szCs w:val="20"/>
        </w:rPr>
        <w:t xml:space="preserve"> 363 °C</w:t>
      </w:r>
    </w:p>
    <w:p>
      <w:pPr>
        <w:spacing w:after="80" w:before="80"/>
      </w:pPr>
      <w:r>
        <w:rPr>
          <w:rFonts w:ascii="Arial" w:cs="Arial" w:eastAsia="Arial" w:hAnsi="Arial"/>
          <w:b/>
          <w:bCs/>
          <w:sz w:val="20"/>
          <w:szCs w:val="20"/>
        </w:rPr>
        <w:t xml:space="preserve">Temperatura rozkładu:</w:t>
      </w:r>
      <w:r>
        <w:rPr>
          <w:rFonts w:ascii="Arial" w:cs="Arial" w:eastAsia="Arial" w:hAnsi="Arial"/>
          <w:sz w:val="20"/>
          <w:szCs w:val="20"/>
        </w:rPr>
        <w:t xml:space="preserve"> nie określono (substancje mogą ulegać rozkładowi)</w:t>
      </w:r>
    </w:p>
    <w:p>
      <w:pPr>
        <w:spacing w:after="80" w:before="80"/>
      </w:pPr>
      <w:r>
        <w:rPr>
          <w:rFonts w:ascii="Arial" w:cs="Arial" w:eastAsia="Arial" w:hAnsi="Arial"/>
          <w:b/>
          <w:bCs/>
          <w:sz w:val="20"/>
          <w:szCs w:val="20"/>
        </w:rPr>
        <w:t xml:space="preserve">pH:</w:t>
      </w:r>
      <w:r>
        <w:rPr>
          <w:rFonts w:ascii="Arial" w:cs="Arial" w:eastAsia="Arial" w:hAnsi="Arial"/>
          <w:sz w:val="20"/>
          <w:szCs w:val="20"/>
        </w:rPr>
        <w:t xml:space="preserve"> 5 - 8</w:t>
      </w:r>
    </w:p>
    <w:p>
      <w:pPr>
        <w:spacing w:after="80" w:before="80"/>
      </w:pPr>
      <w:r>
        <w:rPr>
          <w:rFonts w:ascii="Arial" w:cs="Arial" w:eastAsia="Arial" w:hAnsi="Arial"/>
          <w:b/>
          <w:bCs/>
          <w:sz w:val="20"/>
          <w:szCs w:val="20"/>
        </w:rPr>
        <w:t xml:space="preserve">Lepkość kinematyczna:</w:t>
      </w:r>
      <w:r>
        <w:rPr>
          <w:rFonts w:ascii="Arial" w:cs="Arial" w:eastAsia="Arial" w:hAnsi="Arial"/>
          <w:sz w:val="20"/>
          <w:szCs w:val="20"/>
        </w:rPr>
        <w:t xml:space="preserve"> 1,5</w:t>
      </w:r>
    </w:p>
    <w:p>
      <w:pPr>
        <w:spacing w:after="80" w:before="80"/>
      </w:pPr>
      <w:r>
        <w:rPr>
          <w:rFonts w:ascii="Arial" w:cs="Arial" w:eastAsia="Arial" w:hAnsi="Arial"/>
          <w:b/>
          <w:bCs/>
          <w:sz w:val="20"/>
          <w:szCs w:val="20"/>
        </w:rPr>
        <w:t xml:space="preserve">Rozpuszczalność w wodzie:</w:t>
      </w:r>
      <w:r>
        <w:rPr>
          <w:rFonts w:ascii="Arial" w:cs="Arial" w:eastAsia="Arial" w:hAnsi="Arial"/>
          <w:sz w:val="20"/>
          <w:szCs w:val="20"/>
        </w:rPr>
        <w:t xml:space="preserve"> rozpuszczalny w wodzie</w:t>
      </w:r>
    </w:p>
    <w:p>
      <w:pPr>
        <w:spacing w:after="80" w:before="80"/>
      </w:pPr>
      <w:r>
        <w:rPr>
          <w:rFonts w:ascii="Arial" w:cs="Arial" w:eastAsia="Arial" w:hAnsi="Arial"/>
          <w:b/>
          <w:bCs/>
          <w:sz w:val="20"/>
          <w:szCs w:val="20"/>
        </w:rPr>
        <w:t xml:space="preserve">Rozpuszczalność w innych rozpuszczalnikach:</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Współczynnik podziału n-oktanol/woda (wartość współczynnika log):</w:t>
      </w:r>
      <w:r>
        <w:rPr>
          <w:rFonts w:ascii="Arial" w:cs="Arial" w:eastAsia="Arial" w:hAnsi="Arial"/>
          <w:sz w:val="20"/>
          <w:szCs w:val="20"/>
        </w:rPr>
        <w:t xml:space="preserve"> -0,35</w:t>
      </w:r>
    </w:p>
    <w:p>
      <w:pPr>
        <w:spacing w:after="80" w:before="80"/>
      </w:pPr>
      <w:r>
        <w:rPr>
          <w:rFonts w:ascii="Arial" w:cs="Arial" w:eastAsia="Arial" w:hAnsi="Arial"/>
          <w:b/>
          <w:bCs/>
          <w:sz w:val="20"/>
          <w:szCs w:val="20"/>
        </w:rPr>
        <w:t xml:space="preserve">Prężność pary:</w:t>
      </w:r>
      <w:r>
        <w:rPr>
          <w:rFonts w:ascii="Arial" w:cs="Arial" w:eastAsia="Arial" w:hAnsi="Arial"/>
          <w:sz w:val="20"/>
          <w:szCs w:val="20"/>
        </w:rPr>
        <w:t xml:space="preserve"> 5,9 kPa</w:t>
      </w:r>
    </w:p>
    <w:p>
      <w:pPr>
        <w:spacing w:after="80" w:before="80"/>
      </w:pPr>
      <w:r>
        <w:rPr>
          <w:rFonts w:ascii="Arial" w:cs="Arial" w:eastAsia="Arial" w:hAnsi="Arial"/>
          <w:b/>
          <w:bCs/>
          <w:sz w:val="20"/>
          <w:szCs w:val="20"/>
        </w:rPr>
        <w:t xml:space="preserve">Gęstość lub gęstość względna:</w:t>
      </w:r>
      <w:r>
        <w:rPr>
          <w:rFonts w:ascii="Arial" w:cs="Arial" w:eastAsia="Arial" w:hAnsi="Arial"/>
          <w:sz w:val="20"/>
          <w:szCs w:val="20"/>
        </w:rPr>
        <w:t xml:space="preserve"> 0,855 g/cm³ (metoda wewnętrzna)</w:t>
      </w:r>
    </w:p>
    <w:p>
      <w:pPr>
        <w:spacing w:after="80" w:before="80"/>
      </w:pPr>
      <w:r>
        <w:rPr>
          <w:rFonts w:ascii="Arial" w:cs="Arial" w:eastAsia="Arial" w:hAnsi="Arial"/>
          <w:b/>
          <w:bCs/>
          <w:sz w:val="20"/>
          <w:szCs w:val="20"/>
        </w:rPr>
        <w:t xml:space="preserve">Względna gęstość pary:</w:t>
      </w:r>
      <w:r>
        <w:rPr>
          <w:rFonts w:ascii="Arial" w:cs="Arial" w:eastAsia="Arial" w:hAnsi="Arial"/>
          <w:sz w:val="20"/>
          <w:szCs w:val="20"/>
        </w:rPr>
        <w:t xml:space="preserve"> 1,6 (metoda: HSDB, 2015; INRS, 2011)</w:t>
      </w:r>
    </w:p>
    <w:p>
      <w:pPr>
        <w:spacing w:after="80" w:before="80"/>
      </w:pPr>
      <w:r>
        <w:rPr>
          <w:rFonts w:ascii="Arial" w:cs="Arial" w:eastAsia="Arial" w:hAnsi="Arial"/>
          <w:b/>
          <w:bCs/>
          <w:sz w:val="20"/>
          <w:szCs w:val="20"/>
        </w:rPr>
        <w:t xml:space="preserve">Charakterystyka cząsteczek:</w:t>
      </w:r>
      <w:r>
        <w:rPr>
          <w:rFonts w:ascii="Arial" w:cs="Arial" w:eastAsia="Arial" w:hAnsi="Arial"/>
          <w:sz w:val="20"/>
          <w:szCs w:val="20"/>
        </w:rPr>
        <w:t xml:space="preserve"> Nie dotyczy (produkt płynny)</w:t>
      </w:r>
    </w:p>
    <w:p>
      <w:pPr>
        <w:spacing w:after="100" w:before="200"/>
      </w:pPr>
      <w:r>
        <w:rPr>
          <w:rFonts w:ascii="Arial" w:cs="Arial" w:eastAsia="Arial" w:hAnsi="Arial"/>
          <w:b/>
          <w:bCs/>
          <w:sz w:val="20"/>
          <w:szCs w:val="20"/>
        </w:rPr>
        <w:t xml:space="preserve">9.2. Inne informacje</w:t>
      </w:r>
    </w:p>
    <w:p>
      <w:pPr>
        <w:spacing w:after="80" w:before="80"/>
      </w:pPr>
      <w:r>
        <w:rPr>
          <w:rFonts w:ascii="Arial" w:cs="Arial" w:eastAsia="Arial" w:hAnsi="Arial"/>
          <w:b/>
          <w:bCs/>
          <w:sz w:val="20"/>
          <w:szCs w:val="20"/>
        </w:rPr>
        <w:t xml:space="preserve">Lotne Związki Organiczne (LZO / VOC):</w:t>
      </w:r>
      <w:r>
        <w:rPr>
          <w:rFonts w:ascii="Arial" w:cs="Arial" w:eastAsia="Arial" w:hAnsi="Arial"/>
          <w:sz w:val="20"/>
          <w:szCs w:val="20"/>
        </w:rPr>
        <w:t xml:space="preserve"> ok. 76–78% (ok. 663 g/l)</w:t>
      </w:r>
    </w:p>
    <w:p>
      <w:pPr>
        <w:spacing w:after="100" w:before="200"/>
      </w:pPr>
      <w:r>
        <w:rPr>
          <w:rFonts w:ascii="Arial" w:cs="Arial" w:eastAsia="Arial" w:hAnsi="Arial"/>
          <w:b/>
          <w:bCs/>
          <w:sz w:val="20"/>
          <w:szCs w:val="20"/>
        </w:rPr>
        <w:t xml:space="preserve">9.2.1. Informacje dotyczące klas zagrożenia fizycznego: Brak dodatkowych danych badawczych.</w:t>
      </w:r>
    </w:p>
    <w:p>
      <w:pPr>
        <w:spacing w:after="100" w:before="200"/>
      </w:pPr>
      <w:r>
        <w:rPr>
          <w:rFonts w:ascii="Arial" w:cs="Arial" w:eastAsia="Arial" w:hAnsi="Arial"/>
          <w:b/>
          <w:bCs/>
          <w:sz w:val="20"/>
          <w:szCs w:val="20"/>
        </w:rPr>
        <w:t xml:space="preserve">9.2.2. Inne właściwości bezpieczeństwa: Zawartość LZO (VOC): ok. 76–78% (ok. 663 g/l).</w:t>
      </w:r>
    </w:p>
    <w:p>
      <w:pPr>
        <w:pBdr>
          <w:bottom w:color="00A651" w:sz="12" w:space="1"/>
        </w:pBdr>
        <w:spacing w:after="150" w:before="300"/>
      </w:pPr>
      <w:r>
        <w:rPr>
          <w:b/>
          <w:bCs/>
          <w:sz w:val="22"/>
          <w:szCs w:val="22"/>
        </w:rPr>
        <w:t xml:space="preserve">SEKCJA 10: STABILNOŚĆ I REAKTYWNOŚĆ</w:t>
      </w:r>
    </w:p>
    <w:p>
      <w:pPr>
        <w:spacing w:after="100" w:before="200"/>
      </w:pPr>
      <w:r>
        <w:rPr>
          <w:rFonts w:ascii="Arial" w:cs="Arial" w:eastAsia="Arial" w:hAnsi="Arial"/>
          <w:b/>
          <w:bCs/>
          <w:sz w:val="20"/>
          <w:szCs w:val="20"/>
        </w:rPr>
        <w:t xml:space="preserve">10.1. Reaktywność: brak szczególnych zagrożeń.</w:t>
      </w:r>
    </w:p>
    <w:p>
      <w:pPr>
        <w:pBdr>
          <w:bottom w:color="00A651" w:sz="12" w:space="1"/>
        </w:pBdr>
        <w:spacing w:after="150" w:before="300"/>
      </w:pPr>
      <w:r>
        <w:rPr>
          <w:b/>
          <w:bCs/>
          <w:sz w:val="22"/>
          <w:szCs w:val="22"/>
        </w:rPr>
        <w:t xml:space="preserve">SEKCJA 11: INFORMACJE TOKSYKOLOGICZNE</w:t>
      </w:r>
    </w:p>
    <w:p>
      <w:pPr>
        <w:spacing w:after="80"/>
      </w:pPr>
      <w:r>
        <w:rPr>
          <w:rFonts w:ascii="Arial" w:cs="Arial" w:eastAsia="Arial" w:hAnsi="Arial"/>
          <w:sz w:val="20"/>
          <w:szCs w:val="20"/>
        </w:rPr>
        <w:t xml:space="preserve">Wobec braku danych doświadczalnych dla samego produktu, zagrożenia dla zdrowia oceniono zgodnie z właściwościami zawartych w nim substancji, przy użyciu kryteriów określonych w odpowiednich przepisach dotyczących klasyfikacji.</w:t>
      </w:r>
    </w:p>
    <w:p>
      <w:pPr>
        <w:spacing w:after="80"/>
      </w:pPr>
      <w:r>
        <w:rPr>
          <w:rFonts w:ascii="Arial" w:cs="Arial" w:eastAsia="Arial" w:hAnsi="Arial"/>
          <w:sz w:val="20"/>
          <w:szCs w:val="20"/>
        </w:rPr>
        <w:t xml:space="preserve">W związku z tym w celu oceny skutków toksykologicznych narażenia na produkt należy wziąć pod uwagę stężenia poszczególnych substancji niebezpiecznych wskazanych w sekcji 3.</w:t>
      </w:r>
    </w:p>
    <w:p>
      <w:pPr>
        <w:spacing w:after="100" w:before="200"/>
      </w:pPr>
      <w:r>
        <w:rPr>
          <w:rFonts w:ascii="Arial" w:cs="Arial" w:eastAsia="Arial" w:hAnsi="Arial"/>
          <w:b/>
          <w:bCs/>
          <w:sz w:val="20"/>
          <w:szCs w:val="20"/>
        </w:rPr>
        <w:t xml:space="preserve">11.1. Informacje na temat klas zagrożenia zdefiniowanych w rozporządzeniu (WE) nr 1272/2008</w:t>
      </w:r>
    </w:p>
    <w:p>
      <w:pPr>
        <w:spacing w:after="80"/>
      </w:pPr>
      <w:r>
        <w:rPr>
          <w:rFonts w:ascii="Arial" w:cs="Arial" w:eastAsia="Arial" w:hAnsi="Arial"/>
          <w:sz w:val="20"/>
          <w:szCs w:val="20"/>
        </w:rPr>
        <w:t xml:space="preserve">Metabolizm, toksykokinetyka, mechanizm działania i inne informacje:</w:t>
      </w:r>
    </w:p>
    <w:p>
      <w:pPr>
        <w:spacing w:after="80"/>
      </w:pPr>
      <w:r>
        <w:rPr>
          <w:rFonts w:ascii="Arial" w:cs="Arial" w:eastAsia="Arial" w:hAnsi="Arial"/>
          <w:sz w:val="20"/>
          <w:szCs w:val="20"/>
        </w:rPr>
        <w:t xml:space="preserve">Brak dostępnych danych.</w:t>
      </w:r>
    </w:p>
    <w:p>
      <w:pPr>
        <w:spacing w:after="80"/>
      </w:pPr>
      <w:r>
        <w:rPr>
          <w:rFonts w:ascii="Arial" w:cs="Arial" w:eastAsia="Arial" w:hAnsi="Arial"/>
          <w:sz w:val="20"/>
          <w:szCs w:val="20"/>
        </w:rPr>
        <w:t xml:space="preserve">Informacje dotyczące prawdopodobnych dróg narażenia: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Pracownicy: inhalacyjnie (drogi oddechowe); kontakt ze skórą.</w:t>
      </w:r>
    </w:p>
    <w:p>
      <w:pPr>
        <w:spacing w:after="80"/>
      </w:pPr>
      <w:r>
        <w:rPr>
          <w:rFonts w:ascii="Arial" w:cs="Arial" w:eastAsia="Arial" w:hAnsi="Arial"/>
          <w:sz w:val="20"/>
          <w:szCs w:val="20"/>
        </w:rPr>
        <w:t xml:space="preserve">Konsumenci/populacja ogólna: spożycie skażonej żywności lub wody; inhalacyjnie (drogi oddechowe) z otaczającego powietrza; kontakt ze skórą poprzez produkty zawierające substancję.</w:t>
      </w:r>
    </w:p>
    <w:p>
      <w:pPr>
        <w:spacing w:after="80"/>
      </w:pPr>
      <w:r>
        <w:rPr>
          <w:rFonts w:ascii="Arial" w:cs="Arial" w:eastAsia="Arial" w:hAnsi="Arial"/>
          <w:sz w:val="20"/>
          <w:szCs w:val="20"/>
        </w:rPr>
        <w:t xml:space="preserve">Opóźnione, bezpośrednie oraz przewlekłe skutki krótko- i długotrwałego narażenia: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Działanie toksyczne na ośrodkowy i obwodowy układ nerwowy z encefalopatią i polineuropatią; działa drażniąco na skórę, spojówki, rogówkę i drogi oddechowe.</w:t>
      </w:r>
    </w:p>
    <w:p>
      <w:pPr>
        <w:spacing w:after="80"/>
      </w:pPr>
      <w:r>
        <w:rPr>
          <w:rFonts w:ascii="Arial" w:cs="Arial" w:eastAsia="Arial" w:hAnsi="Arial"/>
          <w:sz w:val="20"/>
          <w:szCs w:val="20"/>
        </w:rPr>
        <w:t xml:space="preserve">Skutki wzajemnego oddziaływania: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Niektóre leki i inne chemikalia przemysłowe mogą wchodzić w interakcje z metabolizmem toluenu.</w:t>
      </w:r>
    </w:p>
    <w:p>
      <w:pPr>
        <w:spacing w:after="80"/>
      </w:pPr>
      <w:r>
        <w:rPr>
          <w:rFonts w:ascii="Arial" w:cs="Arial" w:eastAsia="Arial" w:hAnsi="Arial"/>
          <w:sz w:val="20"/>
          <w:szCs w:val="20"/>
        </w:rPr>
        <w:t xml:space="preserve">Toksyczność ostra:</w:t>
      </w:r>
    </w:p>
    <w:p>
      <w:pPr>
        <w:spacing w:after="80"/>
      </w:pPr>
      <w:r>
        <w:rPr>
          <w:rFonts w:ascii="Arial" w:cs="Arial" w:eastAsia="Arial" w:hAnsi="Arial"/>
          <w:sz w:val="20"/>
          <w:szCs w:val="20"/>
        </w:rPr>
        <w:t xml:space="preserve">ATE mieszaniny (przez drogi oddechowe / inhalacyjnie): Nie sklasyfikowano (brak istotnych składników toksycznych drogą oddechową).</w:t>
      </w:r>
    </w:p>
    <w:p>
      <w:pPr>
        <w:spacing w:after="80"/>
      </w:pPr>
      <w:r>
        <w:rPr>
          <w:rFonts w:ascii="Arial" w:cs="Arial" w:eastAsia="Arial" w:hAnsi="Arial"/>
          <w:sz w:val="20"/>
          <w:szCs w:val="20"/>
        </w:rPr>
        <w:t xml:space="preserve">ATE mieszaniny (droga pokarmowa / doustnie): Nie sklasyfikowano (obliczona wartość ATE znacznie przekracza 2000 mg/kg mc.).</w:t>
      </w:r>
    </w:p>
    <w:p>
      <w:pPr>
        <w:spacing w:after="80"/>
      </w:pPr>
      <w:r>
        <w:rPr>
          <w:rFonts w:ascii="Arial" w:cs="Arial" w:eastAsia="Arial" w:hAnsi="Arial"/>
          <w:sz w:val="20"/>
          <w:szCs w:val="20"/>
        </w:rPr>
        <w:t xml:space="preserve">ATE mieszaniny (na skórę / po naniesieniu na skórę): Nie sklasyfikowano (brak istotnych składników toksycznych przez skórę).</w:t>
      </w:r>
    </w:p>
    <w:p>
      <w:pPr>
        <w:spacing w:after="80"/>
      </w:pPr>
      <w:r>
        <w:rPr>
          <w:rFonts w:ascii="Arial" w:cs="Arial" w:eastAsia="Arial" w:hAnsi="Arial"/>
          <w:sz w:val="20"/>
          <w:szCs w:val="20"/>
        </w:rPr>
        <w:t xml:space="preserve">Informacje toksykologiczne dotyczące składników:</w:t>
      </w:r>
    </w:p>
    <w:p>
      <w:pPr>
        <w:spacing w:after="80"/>
      </w:pPr>
      <w:r>
        <w:rPr>
          <w:rFonts w:ascii="Arial" w:cs="Arial" w:eastAsia="Arial" w:hAnsi="Arial"/>
          <w:sz w:val="20"/>
          <w:szCs w:val="20"/>
        </w:rPr>
        <w:t xml:space="preserve">Etanol [CAS: 64-17-5]:</w:t>
      </w:r>
    </w:p>
    <w:p>
      <w:pPr>
        <w:spacing w:after="60" w:before="60"/>
      </w:pPr>
      <w:r>
        <w:rPr>
          <w:rFonts w:ascii="Arial" w:cs="Arial" w:eastAsia="Arial" w:hAnsi="Arial"/>
          <w:b/>
          <w:bCs/>
          <w:sz w:val="20"/>
          <w:szCs w:val="20"/>
        </w:rPr>
        <w:t xml:space="preserve">- LD50 (droga pokarmowa, szczur):</w:t>
      </w:r>
      <w:r>
        <w:rPr>
          <w:rFonts w:ascii="Arial" w:cs="Arial" w:eastAsia="Arial" w:hAnsi="Arial"/>
          <w:sz w:val="20"/>
          <w:szCs w:val="20"/>
        </w:rPr>
        <w:t xml:space="preserve"> &gt; 5000 mg/kg mc.</w:t>
      </w:r>
    </w:p>
    <w:p>
      <w:pPr>
        <w:spacing w:after="60" w:before="60"/>
      </w:pPr>
      <w:r>
        <w:rPr>
          <w:rFonts w:ascii="Arial" w:cs="Arial" w:eastAsia="Arial" w:hAnsi="Arial"/>
          <w:b/>
          <w:bCs/>
          <w:sz w:val="20"/>
          <w:szCs w:val="20"/>
        </w:rPr>
        <w:t xml:space="preserve">- LC50 (drogi oddechowe, pary, szczur):</w:t>
      </w:r>
      <w:r>
        <w:rPr>
          <w:rFonts w:ascii="Arial" w:cs="Arial" w:eastAsia="Arial" w:hAnsi="Arial"/>
          <w:sz w:val="20"/>
          <w:szCs w:val="20"/>
        </w:rPr>
        <w:t xml:space="preserve"> &gt; 50 mg/l/4h</w:t>
      </w:r>
    </w:p>
    <w:p>
      <w:pPr>
        <w:spacing w:after="80"/>
      </w:pPr>
      <w:r>
        <w:rPr>
          <w:rFonts w:ascii="Arial" w:cs="Arial" w:eastAsia="Arial" w:hAnsi="Arial"/>
          <w:sz w:val="20"/>
          <w:szCs w:val="20"/>
        </w:rPr>
        <w:t xml:space="preserve">Aldehyd anyżowy [CAS: 123-11-5]:</w:t>
      </w:r>
    </w:p>
    <w:p>
      <w:pPr>
        <w:spacing w:after="60" w:before="60"/>
      </w:pPr>
      <w:r>
        <w:rPr>
          <w:rFonts w:ascii="Arial" w:cs="Arial" w:eastAsia="Arial" w:hAnsi="Arial"/>
          <w:b/>
          <w:bCs/>
          <w:sz w:val="20"/>
          <w:szCs w:val="20"/>
        </w:rPr>
        <w:t xml:space="preserve">- LD50 (na skórę, królik):</w:t>
      </w:r>
      <w:r>
        <w:rPr>
          <w:rFonts w:ascii="Arial" w:cs="Arial" w:eastAsia="Arial" w:hAnsi="Arial"/>
          <w:sz w:val="20"/>
          <w:szCs w:val="20"/>
        </w:rPr>
        <w:t xml:space="preserve"> &gt; 5000 mg/kg mc.</w:t>
      </w:r>
    </w:p>
    <w:p>
      <w:pPr>
        <w:spacing w:after="60" w:before="60"/>
      </w:pPr>
      <w:r>
        <w:rPr>
          <w:rFonts w:ascii="Arial" w:cs="Arial" w:eastAsia="Arial" w:hAnsi="Arial"/>
          <w:b/>
          <w:bCs/>
          <w:sz w:val="20"/>
          <w:szCs w:val="20"/>
        </w:rPr>
        <w:t xml:space="preserve">- LD50 (droga pokarmowa, szczur):</w:t>
      </w:r>
      <w:r>
        <w:rPr>
          <w:rFonts w:ascii="Arial" w:cs="Arial" w:eastAsia="Arial" w:hAnsi="Arial"/>
          <w:sz w:val="20"/>
          <w:szCs w:val="20"/>
        </w:rPr>
        <w:t xml:space="preserve"> 3210 mg/kg mc.</w:t>
      </w:r>
    </w:p>
    <w:p>
      <w:pPr>
        <w:spacing w:after="60" w:before="60"/>
      </w:pPr>
      <w:r>
        <w:rPr>
          <w:rFonts w:ascii="Arial" w:cs="Arial" w:eastAsia="Arial" w:hAnsi="Arial"/>
          <w:b/>
          <w:bCs/>
          <w:sz w:val="20"/>
          <w:szCs w:val="20"/>
        </w:rPr>
        <w:t xml:space="preserve">- LC50 (drogi oddechowe, pary, szczur):</w:t>
      </w:r>
      <w:r>
        <w:rPr>
          <w:rFonts w:ascii="Arial" w:cs="Arial" w:eastAsia="Arial" w:hAnsi="Arial"/>
          <w:sz w:val="20"/>
          <w:szCs w:val="20"/>
        </w:rPr>
        <w:t xml:space="preserve"> 0,32 mg/l/7h</w:t>
      </w:r>
    </w:p>
    <w:p>
      <w:pPr>
        <w:spacing w:after="80"/>
      </w:pPr>
      <w:r>
        <w:rPr>
          <w:rFonts w:ascii="Arial" w:cs="Arial" w:eastAsia="Arial" w:hAnsi="Arial"/>
          <w:sz w:val="20"/>
          <w:szCs w:val="20"/>
        </w:rPr>
        <w:t xml:space="preserve">Kumaryna [CAS: 91-64-5]:</w:t>
      </w:r>
    </w:p>
    <w:p>
      <w:pPr>
        <w:spacing w:after="60" w:before="60"/>
      </w:pPr>
      <w:r>
        <w:rPr>
          <w:rFonts w:ascii="Arial" w:cs="Arial" w:eastAsia="Arial" w:hAnsi="Arial"/>
          <w:b/>
          <w:bCs/>
          <w:sz w:val="20"/>
          <w:szCs w:val="20"/>
        </w:rPr>
        <w:t xml:space="preserve">- LD50 (na skórę, szczur):</w:t>
      </w:r>
      <w:r>
        <w:rPr>
          <w:rFonts w:ascii="Arial" w:cs="Arial" w:eastAsia="Arial" w:hAnsi="Arial"/>
          <w:sz w:val="20"/>
          <w:szCs w:val="20"/>
        </w:rPr>
        <w:t xml:space="preserve"> 293 mg/kg mc.</w:t>
      </w:r>
    </w:p>
    <w:p>
      <w:pPr>
        <w:spacing w:after="60" w:before="60"/>
      </w:pPr>
      <w:r>
        <w:rPr>
          <w:rFonts w:ascii="Arial" w:cs="Arial" w:eastAsia="Arial" w:hAnsi="Arial"/>
          <w:b/>
          <w:bCs/>
          <w:sz w:val="20"/>
          <w:szCs w:val="20"/>
        </w:rPr>
        <w:t xml:space="preserve">- LD50 (droga pokarmowa, szczur):</w:t>
      </w:r>
      <w:r>
        <w:rPr>
          <w:rFonts w:ascii="Arial" w:cs="Arial" w:eastAsia="Arial" w:hAnsi="Arial"/>
          <w:sz w:val="20"/>
          <w:szCs w:val="20"/>
        </w:rPr>
        <w:t xml:space="preserve"> 290 mg/kg mc. (ATE oszacowane: 500 mg/kg mc.)</w:t>
      </w:r>
    </w:p>
    <w:p>
      <w:pPr>
        <w:spacing w:after="60" w:before="60"/>
      </w:pPr>
      <w:r>
        <w:rPr>
          <w:rFonts w:ascii="Arial" w:cs="Arial" w:eastAsia="Arial" w:hAnsi="Arial"/>
          <w:b/>
          <w:bCs/>
          <w:sz w:val="20"/>
          <w:szCs w:val="20"/>
        </w:rPr>
        <w:t xml:space="preserve">- LC50 (drogi oddechowe, pyły/mgły, szczur):</w:t>
      </w:r>
      <w:r>
        <w:rPr>
          <w:rFonts w:ascii="Arial" w:cs="Arial" w:eastAsia="Arial" w:hAnsi="Arial"/>
          <w:sz w:val="20"/>
          <w:szCs w:val="20"/>
        </w:rPr>
        <w:t xml:space="preserve"> 293 mg/kg</w:t>
      </w:r>
    </w:p>
    <w:p>
      <w:pPr>
        <w:spacing w:after="80"/>
      </w:pPr>
      <w:r>
        <w:rPr>
          <w:rFonts w:ascii="Arial" w:cs="Arial" w:eastAsia="Arial" w:hAnsi="Arial"/>
          <w:sz w:val="20"/>
          <w:szCs w:val="20"/>
        </w:rPr>
        <w:t xml:space="preserve">2,6-di-tert-butylo-4-metylofenol (BHT) [CAS: 128-37-0]:</w:t>
      </w:r>
    </w:p>
    <w:p>
      <w:pPr>
        <w:spacing w:after="60" w:before="60"/>
      </w:pPr>
      <w:r>
        <w:rPr>
          <w:rFonts w:ascii="Arial" w:cs="Arial" w:eastAsia="Arial" w:hAnsi="Arial"/>
          <w:b/>
          <w:bCs/>
          <w:sz w:val="20"/>
          <w:szCs w:val="20"/>
        </w:rPr>
        <w:t xml:space="preserve">- LD50 (na skórę, szczur):</w:t>
      </w:r>
      <w:r>
        <w:rPr>
          <w:rFonts w:ascii="Arial" w:cs="Arial" w:eastAsia="Arial" w:hAnsi="Arial"/>
          <w:sz w:val="20"/>
          <w:szCs w:val="20"/>
        </w:rPr>
        <w:t xml:space="preserve"> &gt; 2000 mg/kg mc.</w:t>
      </w:r>
    </w:p>
    <w:p>
      <w:pPr>
        <w:spacing w:after="60" w:before="60"/>
      </w:pPr>
      <w:r>
        <w:rPr>
          <w:rFonts w:ascii="Arial" w:cs="Arial" w:eastAsia="Arial" w:hAnsi="Arial"/>
          <w:b/>
          <w:bCs/>
          <w:sz w:val="20"/>
          <w:szCs w:val="20"/>
        </w:rPr>
        <w:t xml:space="preserve">- LD50 (droga pokarmowa, szczur):</w:t>
      </w:r>
      <w:r>
        <w:rPr>
          <w:rFonts w:ascii="Arial" w:cs="Arial" w:eastAsia="Arial" w:hAnsi="Arial"/>
          <w:sz w:val="20"/>
          <w:szCs w:val="20"/>
        </w:rPr>
        <w:t xml:space="preserve"> 2930 mg/kg mc.</w:t>
      </w:r>
    </w:p>
    <w:p>
      <w:pPr>
        <w:spacing w:after="80"/>
      </w:pPr>
      <w:r>
        <w:rPr>
          <w:rFonts w:ascii="Arial" w:cs="Arial" w:eastAsia="Arial" w:hAnsi="Arial"/>
          <w:sz w:val="20"/>
          <w:szCs w:val="20"/>
        </w:rPr>
        <w:t xml:space="preserve">Toluen [CAS: 108-88-3]:</w:t>
      </w:r>
    </w:p>
    <w:p>
      <w:pPr>
        <w:spacing w:after="60" w:before="60"/>
      </w:pPr>
      <w:r>
        <w:rPr>
          <w:rFonts w:ascii="Arial" w:cs="Arial" w:eastAsia="Arial" w:hAnsi="Arial"/>
          <w:b/>
          <w:bCs/>
          <w:sz w:val="20"/>
          <w:szCs w:val="20"/>
        </w:rPr>
        <w:t xml:space="preserve">- LD50 (na skórę, królik):</w:t>
      </w:r>
      <w:r>
        <w:rPr>
          <w:rFonts w:ascii="Arial" w:cs="Arial" w:eastAsia="Arial" w:hAnsi="Arial"/>
          <w:sz w:val="20"/>
          <w:szCs w:val="20"/>
        </w:rPr>
        <w:t xml:space="preserve"> &gt; 5000 mg/kg mc.</w:t>
      </w:r>
    </w:p>
    <w:p>
      <w:pPr>
        <w:spacing w:after="60" w:before="60"/>
      </w:pPr>
      <w:r>
        <w:rPr>
          <w:rFonts w:ascii="Arial" w:cs="Arial" w:eastAsia="Arial" w:hAnsi="Arial"/>
          <w:b/>
          <w:bCs/>
          <w:sz w:val="20"/>
          <w:szCs w:val="20"/>
        </w:rPr>
        <w:t xml:space="preserve">- LD50 (droga pokarmowa, szczur):</w:t>
      </w:r>
      <w:r>
        <w:rPr>
          <w:rFonts w:ascii="Arial" w:cs="Arial" w:eastAsia="Arial" w:hAnsi="Arial"/>
          <w:sz w:val="20"/>
          <w:szCs w:val="20"/>
        </w:rPr>
        <w:t xml:space="preserve"> &gt; 5000 mg/kg mc.</w:t>
      </w:r>
    </w:p>
    <w:p>
      <w:pPr>
        <w:spacing w:after="60" w:before="60"/>
      </w:pPr>
      <w:r>
        <w:rPr>
          <w:rFonts w:ascii="Arial" w:cs="Arial" w:eastAsia="Arial" w:hAnsi="Arial"/>
          <w:b/>
          <w:bCs/>
          <w:sz w:val="20"/>
          <w:szCs w:val="20"/>
        </w:rPr>
        <w:t xml:space="preserve">- LC50 (drogi oddechowe, pary, człowiek):</w:t>
      </w:r>
      <w:r>
        <w:rPr>
          <w:rFonts w:ascii="Arial" w:cs="Arial" w:eastAsia="Arial" w:hAnsi="Arial"/>
          <w:sz w:val="20"/>
          <w:szCs w:val="20"/>
        </w:rPr>
        <w:t xml:space="preserve"> 100 ppm</w:t>
      </w:r>
    </w:p>
    <w:p>
      <w:pPr>
        <w:spacing w:after="80"/>
      </w:pPr>
      <w:r>
        <w:rPr>
          <w:rFonts w:ascii="Arial" w:cs="Arial" w:eastAsia="Arial" w:hAnsi="Arial"/>
          <w:sz w:val="20"/>
          <w:szCs w:val="20"/>
        </w:rPr>
        <w:t xml:space="preserve">Działanie żrące/drażniące na skórę:</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Poważne uszkodzenie oczu/działanie drażniące na oczy:</w:t>
      </w:r>
    </w:p>
    <w:p>
      <w:pPr>
        <w:spacing w:after="80"/>
      </w:pPr>
      <w:r>
        <w:rPr>
          <w:rFonts w:ascii="Arial" w:cs="Arial" w:eastAsia="Arial" w:hAnsi="Arial"/>
          <w:sz w:val="20"/>
          <w:szCs w:val="20"/>
        </w:rPr>
        <w:t xml:space="preserve">Działa drażniąco na oczy (produkt zaklasyfikowany do kategorii Eye Irrit. 2, H319 z uwagi na stężenie etanolu ≥ 50%).</w:t>
      </w:r>
    </w:p>
    <w:p>
      <w:pPr>
        <w:spacing w:after="80"/>
      </w:pPr>
      <w:r>
        <w:rPr>
          <w:rFonts w:ascii="Arial" w:cs="Arial" w:eastAsia="Arial" w:hAnsi="Arial"/>
          <w:sz w:val="20"/>
          <w:szCs w:val="20"/>
        </w:rPr>
        <w:t xml:space="preserve">Działanie uczulające na drogi oddechowe lub skórę:</w:t>
      </w:r>
    </w:p>
    <w:p>
      <w:pPr>
        <w:spacing w:after="80"/>
      </w:pPr>
      <w:r>
        <w:rPr>
          <w:rFonts w:ascii="Arial" w:cs="Arial" w:eastAsia="Arial" w:hAnsi="Arial"/>
          <w:sz w:val="20"/>
          <w:szCs w:val="20"/>
        </w:rPr>
        <w:t xml:space="preserve">Może powodować wystąpienie reakcji alergicznej. Zawiera kumarynę (stężenie kumaryny 0,4–0,45 % nakazuje uzupełniające oznakowanie zwrotem EUH208, nie powodując pełnej klasyfikacji mieszaniny jako Skin Sens. 1).</w:t>
      </w:r>
    </w:p>
    <w:p>
      <w:pPr>
        <w:spacing w:after="80"/>
      </w:pPr>
      <w:r>
        <w:rPr>
          <w:rFonts w:ascii="Arial" w:cs="Arial" w:eastAsia="Arial" w:hAnsi="Arial"/>
          <w:sz w:val="20"/>
          <w:szCs w:val="20"/>
        </w:rPr>
        <w:t xml:space="preserve">Działanie mutagenne na komórki rozrodcze: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Rakotwórczość:</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Toluen został zaklasyfikowany przez Międzynarodową Agencję Badań nad Rakiem (IARC) do Grupy 3 (brak możliwości zaklasyfikowania jako rakotwórczy dla ludzi - IARC, 1999). Amerykańska Agencja Ochrony Środowiska (EPA) stwierdza, że dane są niewystarczające do oceny potencjału rakotwórczego.</w:t>
      </w:r>
    </w:p>
    <w:p>
      <w:pPr>
        <w:spacing w:after="80"/>
      </w:pPr>
      <w:r>
        <w:rPr>
          <w:rFonts w:ascii="Arial" w:cs="Arial" w:eastAsia="Arial" w:hAnsi="Arial"/>
          <w:sz w:val="20"/>
          <w:szCs w:val="20"/>
        </w:rPr>
        <w:t xml:space="preserve">Szkodliwe działanie na rozrodczość:</w:t>
      </w:r>
    </w:p>
    <w:p>
      <w:pPr>
        <w:spacing w:after="80"/>
      </w:pPr>
      <w:r>
        <w:rPr>
          <w:rFonts w:ascii="Arial" w:cs="Arial" w:eastAsia="Arial" w:hAnsi="Arial"/>
          <w:sz w:val="20"/>
          <w:szCs w:val="20"/>
        </w:rPr>
        <w:t xml:space="preserve">W oparciu o dostępne dane, kryteria klasyfikacji nie są spełnione (składniki o działaniu reprotoksycznym występują poniżej stężeń nakazujących klasyfikację mieszaniny).</w:t>
      </w:r>
    </w:p>
    <w:p>
      <w:pPr>
        <w:spacing w:after="80"/>
      </w:pPr>
      <w:r>
        <w:rPr>
          <w:rFonts w:ascii="Arial" w:cs="Arial" w:eastAsia="Arial" w:hAnsi="Arial"/>
          <w:sz w:val="20"/>
          <w:szCs w:val="20"/>
        </w:rPr>
        <w:t xml:space="preserve">Działanie toksyczne na narządy docelowe – narażenie jednorazowe (STOT SE):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Działanie toksyczne na narządy docelowe – narażenie powtarzane (STOT RE):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Zagrożenie spowodowane aspiracją:</w:t>
      </w:r>
    </w:p>
    <w:p>
      <w:pPr>
        <w:spacing w:after="80"/>
      </w:pPr>
      <w:r>
        <w:rPr>
          <w:rFonts w:ascii="Arial" w:cs="Arial" w:eastAsia="Arial" w:hAnsi="Arial"/>
          <w:sz w:val="20"/>
          <w:szCs w:val="20"/>
        </w:rPr>
        <w:t xml:space="preserve">W oparciu o dostępne dane, kryteria klasyfikacji nie są spełnione.</w:t>
      </w:r>
    </w:p>
    <w:p>
      <w:pPr>
        <w:spacing w:after="100" w:before="200"/>
      </w:pPr>
      <w:r>
        <w:rPr>
          <w:rFonts w:ascii="Arial" w:cs="Arial" w:eastAsia="Arial" w:hAnsi="Arial"/>
          <w:b/>
          <w:bCs/>
          <w:sz w:val="20"/>
          <w:szCs w:val="20"/>
        </w:rPr>
        <w:t xml:space="preserve">11.2. Informacje o innych zagrożeniach</w:t>
      </w:r>
    </w:p>
    <w:p>
      <w:pPr>
        <w:spacing w:after="80"/>
      </w:pPr>
      <w:r>
        <w:rPr>
          <w:rFonts w:ascii="Arial" w:cs="Arial" w:eastAsia="Arial" w:hAnsi="Arial"/>
          <w:sz w:val="20"/>
          <w:szCs w:val="20"/>
        </w:rPr>
        <w:t xml:space="preserve">Właściwości zaburzające funkcjonowanie układu hormonalnego:</w:t>
      </w:r>
    </w:p>
    <w:p>
      <w:pPr>
        <w:spacing w:after="80"/>
      </w:pPr>
      <w:r>
        <w:rPr>
          <w:rFonts w:ascii="Arial" w:cs="Arial" w:eastAsia="Arial" w:hAnsi="Arial"/>
          <w:sz w:val="20"/>
          <w:szCs w:val="20"/>
        </w:rPr>
        <w:t xml:space="preserve">Na podstawie dostępnych danych mieszanina nie zawiera substancji wpisanych do unijnych wykazów ustanowionych zgodnie z art. 59 ust. 1 rozporządzenia REACH ani substancji zidentyfikowanych jako zaburzające gospodarkę hormonalną u ludzi w stężeniu ≥ 0,1 % wag.</w:t>
      </w:r>
    </w:p>
    <w:p>
      <w:pPr>
        <w:pBdr>
          <w:bottom w:color="00A651" w:sz="12" w:space="1"/>
        </w:pBdr>
        <w:spacing w:after="150" w:before="300"/>
      </w:pPr>
      <w:r>
        <w:rPr>
          <w:b/>
          <w:bCs/>
          <w:sz w:val="22"/>
          <w:szCs w:val="22"/>
        </w:rPr>
        <w:t xml:space="preserve">SEKCJA 12: INFORMACJE EKOLOGICZNE</w:t>
      </w:r>
    </w:p>
    <w:p>
      <w:pPr>
        <w:spacing w:after="100" w:before="200"/>
      </w:pPr>
      <w:r>
        <w:rPr>
          <w:rFonts w:ascii="Arial" w:cs="Arial" w:eastAsia="Arial" w:hAnsi="Arial"/>
          <w:b/>
          <w:bCs/>
          <w:sz w:val="20"/>
          <w:szCs w:val="20"/>
        </w:rPr>
        <w:t xml:space="preserve">12.1. Toksyczność</w:t>
      </w:r>
    </w:p>
    <w:p>
      <w:pPr>
        <w:spacing w:after="80"/>
      </w:pPr>
      <w:r>
        <w:rPr>
          <w:rFonts w:ascii="Arial" w:cs="Arial" w:eastAsia="Arial" w:hAnsi="Arial"/>
          <w:sz w:val="20"/>
          <w:szCs w:val="20"/>
        </w:rPr>
        <w:t xml:space="preserve">Stosować dobrą praktykę zawodową, unikając przedostawania się produktu do środowiska.</w:t>
      </w:r>
    </w:p>
    <w:p>
      <w:pPr>
        <w:spacing w:after="80" w:before="150"/>
      </w:pPr>
      <w:r>
        <w:rPr>
          <w:rFonts w:ascii="Arial" w:cs="Arial" w:eastAsia="Arial" w:hAnsi="Arial"/>
          <w:b/>
          <w:bCs/>
          <w:sz w:val="20"/>
          <w:szCs w:val="20"/>
        </w:rPr>
        <w:t xml:space="preserve">Właściwości ekotoksykologiczne mieszaniny:</w:t>
      </w:r>
    </w:p>
    <w:p>
      <w:pPr>
        <w:spacing w:after="80"/>
      </w:pPr>
      <w:r>
        <w:rPr>
          <w:rFonts w:ascii="Arial" w:cs="Arial" w:eastAsia="Arial" w:hAnsi="Arial"/>
          <w:sz w:val="20"/>
          <w:szCs w:val="20"/>
        </w:rPr>
        <w:t xml:space="preserve">Mieszanina nie została zaklasyfikowana jako stwarzająca zagrożenie dla środowiska.</w:t>
      </w:r>
    </w:p>
    <w:p>
      <w:pPr>
        <w:spacing w:after="80"/>
      </w:pPr>
      <w:r>
        <w:rPr>
          <w:rFonts w:ascii="Arial" w:cs="Arial" w:eastAsia="Arial" w:hAnsi="Arial"/>
          <w:sz w:val="20"/>
          <w:szCs w:val="20"/>
        </w:rPr>
        <w:t xml:space="preserve">Brak danych doświadczalnych dla mieszaniny.</w:t>
      </w:r>
    </w:p>
    <w:p>
      <w:pPr>
        <w:spacing w:after="80" w:before="150"/>
      </w:pPr>
      <w:r>
        <w:rPr>
          <w:rFonts w:ascii="Arial" w:cs="Arial" w:eastAsia="Arial" w:hAnsi="Arial"/>
          <w:b/>
          <w:bCs/>
          <w:sz w:val="20"/>
          <w:szCs w:val="20"/>
        </w:rPr>
        <w:t xml:space="preserve">Informacje ekotoksykologiczne o składnikach:</w:t>
      </w:r>
    </w:p>
    <w:p>
      <w:pPr>
        <w:spacing w:after="80" w:before="150"/>
      </w:pPr>
      <w:r>
        <w:rPr>
          <w:rFonts w:ascii="Arial" w:cs="Arial" w:eastAsia="Arial" w:hAnsi="Arial"/>
          <w:b/>
          <w:bCs/>
          <w:sz w:val="20"/>
          <w:szCs w:val="20"/>
        </w:rPr>
        <w:t xml:space="preserve">etanol (CAS: 64-17-5):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14200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454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275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250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96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11,5 mg/l</w:t>
      </w:r>
    </w:p>
    <w:p>
      <w:pPr>
        <w:spacing w:after="80" w:before="150"/>
      </w:pPr>
      <w:r>
        <w:rPr>
          <w:rFonts w:ascii="Arial" w:cs="Arial" w:eastAsia="Arial" w:hAnsi="Arial"/>
          <w:b/>
          <w:bCs/>
          <w:sz w:val="20"/>
          <w:szCs w:val="20"/>
        </w:rPr>
        <w:t xml:space="preserve">aldehyd anyżowy (4-metoksybenzaldehyd) (CAS: 123-11-5):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148,32 mg/l/(96 h) Leuciscus idus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82,8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81,11 mg/l/(72 h) Desmodesmus subspicatus</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100 mg/l/(96 h) Leuciscus idus</w:t>
      </w:r>
    </w:p>
    <w:p>
      <w:pPr>
        <w:spacing w:after="80" w:before="150"/>
      </w:pPr>
      <w:r>
        <w:rPr>
          <w:rFonts w:ascii="Arial" w:cs="Arial" w:eastAsia="Arial" w:hAnsi="Arial"/>
          <w:b/>
          <w:bCs/>
          <w:sz w:val="20"/>
          <w:szCs w:val="20"/>
        </w:rPr>
        <w:t xml:space="preserve">kumaryna (2H-chromen-2-on) (CAS: 91-64-5):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1,324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8,012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1,452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0,119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0,448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0,408 mg/l</w:t>
      </w:r>
    </w:p>
    <w:p>
      <w:pPr>
        <w:spacing w:after="80" w:before="150"/>
      </w:pPr>
      <w:r>
        <w:rPr>
          <w:rFonts w:ascii="Arial" w:cs="Arial" w:eastAsia="Arial" w:hAnsi="Arial"/>
          <w:b/>
          <w:bCs/>
          <w:sz w:val="20"/>
          <w:szCs w:val="20"/>
        </w:rPr>
        <w:t xml:space="preserve">2,6-di-tert-butylo-4-metylofenol (BHT) (CAS: 128-37-0):</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0,199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0,48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&gt; 0,4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0,053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0,15 mg/l</w:t>
      </w:r>
    </w:p>
    <w:p>
      <w:pPr>
        <w:spacing w:after="80" w:before="150"/>
      </w:pPr>
      <w:r>
        <w:rPr>
          <w:rFonts w:ascii="Arial" w:cs="Arial" w:eastAsia="Arial" w:hAnsi="Arial"/>
          <w:b/>
          <w:bCs/>
          <w:sz w:val="20"/>
          <w:szCs w:val="20"/>
        </w:rPr>
        <w:t xml:space="preserve">toluen (CAS: 108-88-3):</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5,5 mg/l/(96 h) Oncorhynchus kisutch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3,78 mg/l</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134 mg/l/(3 h) Chlorella vulgaris and Chlamydomonas angulosa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10 mg/l/(72 h) Skeletonema costatum</w:t>
      </w:r>
    </w:p>
    <w:p>
      <w:pPr>
        <w:spacing w:after="100" w:before="200"/>
      </w:pPr>
      <w:r>
        <w:rPr>
          <w:rFonts w:ascii="Arial" w:cs="Arial" w:eastAsia="Arial" w:hAnsi="Arial"/>
          <w:b/>
          <w:bCs/>
          <w:sz w:val="20"/>
          <w:szCs w:val="20"/>
        </w:rPr>
        <w:t xml:space="preserve">12.2. Trwałość i zdolność do rozkładu</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Szybko ulega degradacji (substancja łatwo biodegradowalna). Rozpuszczalność w wodzie: 1000 - 10000 mg/l.</w:t>
      </w:r>
    </w:p>
    <w:p>
      <w:pPr>
        <w:spacing w:after="80"/>
      </w:pPr>
      <w:r>
        <w:rPr>
          <w:rFonts w:ascii="Arial" w:cs="Arial" w:eastAsia="Arial" w:hAnsi="Arial"/>
          <w:sz w:val="20"/>
          <w:szCs w:val="20"/>
        </w:rPr>
        <w:t xml:space="preserve">aldehyd anyżowy (4-metoksybenzaldehyd) (CAS: 123-11-5): Szybko ulega degradacji (substancja łatwo biodegradowalna).</w:t>
      </w:r>
    </w:p>
    <w:p>
      <w:pPr>
        <w:spacing w:after="80"/>
      </w:pPr>
      <w:r>
        <w:rPr>
          <w:rFonts w:ascii="Arial" w:cs="Arial" w:eastAsia="Arial" w:hAnsi="Arial"/>
          <w:sz w:val="20"/>
          <w:szCs w:val="20"/>
        </w:rPr>
        <w:t xml:space="preserve">kumaryna (2H-chromen-2-on) (CAS: 91-64-5): Szybko ulega degradacji (substancja łatwo biodegradowalna).</w:t>
      </w:r>
    </w:p>
    <w:p>
      <w:pPr>
        <w:spacing w:after="80"/>
      </w:pPr>
      <w:r>
        <w:rPr>
          <w:rFonts w:ascii="Arial" w:cs="Arial" w:eastAsia="Arial" w:hAnsi="Arial"/>
          <w:sz w:val="20"/>
          <w:szCs w:val="20"/>
        </w:rPr>
        <w:t xml:space="preserve">2,6-di-tert-butylo-4-metylofenol (BHT) (CAS: 128-37-0): Szybko ulega degradacji (substancja łatwo biodegradowalna).</w:t>
      </w:r>
    </w:p>
    <w:p>
      <w:pPr>
        <w:spacing w:after="80"/>
      </w:pPr>
      <w:r>
        <w:rPr>
          <w:rFonts w:ascii="Arial" w:cs="Arial" w:eastAsia="Arial" w:hAnsi="Arial"/>
          <w:sz w:val="20"/>
          <w:szCs w:val="20"/>
        </w:rPr>
        <w:t xml:space="preserve">toluen (CAS: 108-88-3): Szybko ulega degradacji (substancja łatwo biodegradowalna). Rozpuszczalność w wodzie: 100 - 1000 mg/l.</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trwałości i rozkładu mieszaniny.</w:t>
      </w:r>
    </w:p>
    <w:p>
      <w:pPr>
        <w:spacing w:after="100" w:before="200"/>
      </w:pPr>
      <w:r>
        <w:rPr>
          <w:rFonts w:ascii="Arial" w:cs="Arial" w:eastAsia="Arial" w:hAnsi="Arial"/>
          <w:b/>
          <w:bCs/>
          <w:sz w:val="20"/>
          <w:szCs w:val="20"/>
        </w:rPr>
        <w:t xml:space="preserve">12.3. Zdolność do bioakumulacji</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współczynnik podziału n-oktanol/woda (log Kow): -0,35.</w:t>
      </w:r>
    </w:p>
    <w:p>
      <w:pPr>
        <w:spacing w:after="80"/>
      </w:pPr>
      <w:r>
        <w:rPr>
          <w:rFonts w:ascii="Arial" w:cs="Arial" w:eastAsia="Arial" w:hAnsi="Arial"/>
          <w:sz w:val="20"/>
          <w:szCs w:val="20"/>
        </w:rPr>
        <w:t xml:space="preserve">2,6-di-tert-butylo-4-metylofenol (BHT) (CAS: 128-37-0): współczynnik podziału n-oktanol/woda (log Kow): 5,1, współczynnik biokoncentracji BCF = 598,4.</w:t>
      </w:r>
    </w:p>
    <w:p>
      <w:pPr>
        <w:spacing w:after="80"/>
      </w:pPr>
      <w:r>
        <w:rPr>
          <w:rFonts w:ascii="Arial" w:cs="Arial" w:eastAsia="Arial" w:hAnsi="Arial"/>
          <w:sz w:val="20"/>
          <w:szCs w:val="20"/>
        </w:rPr>
        <w:t xml:space="preserve">toluen (CAS: 108-88-3): współczynnik podziału n-oktanol/woda (log Kow): 2,73, współczynnik biokoncentracji BCF = 90.</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bioakumulacji dla mieszaniny.</w:t>
      </w:r>
    </w:p>
    <w:p>
      <w:pPr>
        <w:spacing w:after="100" w:before="200"/>
      </w:pPr>
      <w:r>
        <w:rPr>
          <w:rFonts w:ascii="Arial" w:cs="Arial" w:eastAsia="Arial" w:hAnsi="Arial"/>
          <w:b/>
          <w:bCs/>
          <w:sz w:val="20"/>
          <w:szCs w:val="20"/>
        </w:rPr>
        <w:t xml:space="preserve">12.4. Mobilność w glebie</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aldehyd anyżowy (4-metoksybenzaldehyd) (CAS: 123-11-5): współczynnik podziału gleba/woda (Koc): 1.</w:t>
      </w:r>
    </w:p>
    <w:p>
      <w:pPr>
        <w:spacing w:after="80"/>
      </w:pPr>
      <w:r>
        <w:rPr>
          <w:rFonts w:ascii="Arial" w:cs="Arial" w:eastAsia="Arial" w:hAnsi="Arial"/>
          <w:sz w:val="20"/>
          <w:szCs w:val="20"/>
        </w:rPr>
        <w:t xml:space="preserve">2,6-di-tert-butylo-4-metylofenol (BHT) (CAS: 128-37-0): współczynnik podziału gleba/woda (Koc): 4,2.</w:t>
      </w:r>
    </w:p>
    <w:p>
      <w:pPr>
        <w:spacing w:after="80"/>
      </w:pPr>
      <w:r>
        <w:rPr>
          <w:rFonts w:ascii="Arial" w:cs="Arial" w:eastAsia="Arial" w:hAnsi="Arial"/>
          <w:sz w:val="20"/>
          <w:szCs w:val="20"/>
        </w:rPr>
        <w:t xml:space="preserve">toluen (CAS: 108-88-3): współczynnik podziału gleba/woda (Koc): 2,31.</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mobilności mieszaniny w glebie.</w:t>
      </w:r>
    </w:p>
    <w:p>
      <w:pPr>
        <w:spacing w:after="100" w:before="200"/>
      </w:pPr>
      <w:r>
        <w:rPr>
          <w:rFonts w:ascii="Arial" w:cs="Arial" w:eastAsia="Arial" w:hAnsi="Arial"/>
          <w:b/>
          <w:bCs/>
          <w:sz w:val="20"/>
          <w:szCs w:val="20"/>
        </w:rPr>
        <w:t xml:space="preserve">12.5. Wyniki oceny właściwości PBT i vPvB</w:t>
      </w:r>
    </w:p>
    <w:p>
      <w:pPr>
        <w:spacing w:after="80"/>
      </w:pPr>
      <w:r>
        <w:rPr>
          <w:rFonts w:ascii="Arial" w:cs="Arial" w:eastAsia="Arial" w:hAnsi="Arial"/>
          <w:sz w:val="20"/>
          <w:szCs w:val="20"/>
        </w:rPr>
        <w:t xml:space="preserve">Mieszanina nie zawiera substancji spełniających kryteria PBT lub vPvB zgodnie z załącznikiem XIII do rozporządzenia REACH w stężeniu ≥ 0,1% wag.</w:t>
      </w:r>
    </w:p>
    <w:p>
      <w:pPr>
        <w:spacing w:after="100" w:before="200"/>
      </w:pPr>
      <w:r>
        <w:rPr>
          <w:rFonts w:ascii="Arial" w:cs="Arial" w:eastAsia="Arial" w:hAnsi="Arial"/>
          <w:b/>
          <w:bCs/>
          <w:sz w:val="20"/>
          <w:szCs w:val="20"/>
        </w:rPr>
        <w:t xml:space="preserve">12.6. Właściwości zaburzające funkcjonowanie układu hormonalnego</w:t>
      </w:r>
    </w:p>
    <w:p>
      <w:pPr>
        <w:spacing w:after="80"/>
      </w:pPr>
      <w:r>
        <w:rPr>
          <w:rFonts w:ascii="Arial" w:cs="Arial" w:eastAsia="Arial" w:hAnsi="Arial"/>
          <w:sz w:val="20"/>
          <w:szCs w:val="20"/>
        </w:rPr>
        <w:t xml:space="preserve">Mieszanina nie zawiera substancji o właściwościach zaburzających funkcjonowanie układu hormonalnego w odniesieniu do środowiska w stężeniu ≥ 0,1% wag.</w:t>
      </w:r>
    </w:p>
    <w:p>
      <w:pPr>
        <w:spacing w:after="100" w:before="200"/>
      </w:pPr>
      <w:r>
        <w:rPr>
          <w:rFonts w:ascii="Arial" w:cs="Arial" w:eastAsia="Arial" w:hAnsi="Arial"/>
          <w:b/>
          <w:bCs/>
          <w:sz w:val="20"/>
          <w:szCs w:val="20"/>
        </w:rPr>
        <w:t xml:space="preserve">12.7. Inne szkodliwe skutki działania</w:t>
      </w:r>
    </w:p>
    <w:p>
      <w:pPr>
        <w:spacing w:after="80"/>
      </w:pPr>
      <w:r>
        <w:rPr>
          <w:rFonts w:ascii="Arial" w:cs="Arial" w:eastAsia="Arial" w:hAnsi="Arial"/>
          <w:sz w:val="20"/>
          <w:szCs w:val="20"/>
        </w:rPr>
        <w:t xml:space="preserve">Nie są znane żadne inne szkodliwe skutki działania na środowisko (brak potencjału niszczenia warstwy ozonowej, tworzenia ozonu fotochemicznego ani wpływu na globalne ocieplenie).</w:t>
      </w:r>
    </w:p>
    <w:p>
      <w:pPr>
        <w:pBdr>
          <w:bottom w:color="00A651" w:sz="12" w:space="1"/>
        </w:pBdr>
        <w:spacing w:after="150" w:before="300"/>
      </w:pPr>
      <w:r>
        <w:rPr>
          <w:b/>
          <w:bCs/>
          <w:sz w:val="22"/>
          <w:szCs w:val="22"/>
        </w:rPr>
        <w:t xml:space="preserve">SEKCJA 13: POSTĘPOWANIE Z ODPADAMI</w:t>
      </w:r>
    </w:p>
    <w:p>
      <w:pPr>
        <w:spacing w:after="100" w:before="200"/>
      </w:pPr>
      <w:r>
        <w:rPr>
          <w:rFonts w:ascii="Arial" w:cs="Arial" w:eastAsia="Arial" w:hAnsi="Arial"/>
          <w:b/>
          <w:bCs/>
          <w:sz w:val="20"/>
          <w:szCs w:val="20"/>
        </w:rPr>
        <w:t xml:space="preserve">13.1. Metody unieszkodliwiania odpadów</w:t>
      </w:r>
    </w:p>
    <w:p>
      <w:pPr>
        <w:spacing w:after="80" w:before="150"/>
      </w:pPr>
      <w:r>
        <w:rPr>
          <w:rFonts w:ascii="Arial" w:cs="Arial" w:eastAsia="Arial" w:hAnsi="Arial"/>
          <w:b/>
          <w:bCs/>
          <w:sz w:val="20"/>
          <w:szCs w:val="20"/>
        </w:rPr>
        <w:t xml:space="preserve">Zalecenia dotyczące produktu i pozostałości:</w:t>
      </w:r>
    </w:p>
    <w:p>
      <w:pPr>
        <w:spacing w:after="80"/>
      </w:pPr>
      <w:r>
        <w:rPr>
          <w:rFonts w:ascii="Arial" w:cs="Arial" w:eastAsia="Arial" w:hAnsi="Arial"/>
          <w:sz w:val="20"/>
          <w:szCs w:val="20"/>
        </w:rPr>
        <w:t xml:space="preserve">Odzyskać, jeśli to możliwe. Nie wprowadzać do kanalizacji, wód powierzchniowych, gruntowych ani gleby. Pozostałości produktu oraz odpady należy poddać odzyskowi lub unieszkodliwianiu w uprawnionych instalacjach (np. spalarniach termicznych lub wyspecjalizowanych zakładach utylizacji odpadów) posiadających stosowne zezwolenia na prowadzenie gospodarki odpadami zgodnie z obowiązującymi przepisami.</w:t>
      </w:r>
    </w:p>
    <w:p>
      <w:pPr>
        <w:spacing w:after="80" w:before="150"/>
      </w:pPr>
      <w:r>
        <w:rPr>
          <w:rFonts w:ascii="Arial" w:cs="Arial" w:eastAsia="Arial" w:hAnsi="Arial"/>
          <w:b/>
          <w:bCs/>
          <w:sz w:val="20"/>
          <w:szCs w:val="20"/>
        </w:rPr>
        <w:t xml:space="preserve">Zalecenia dotyczące odpadów opakowaniowych:</w:t>
      </w:r>
    </w:p>
    <w:p>
      <w:pPr>
        <w:spacing w:after="80"/>
      </w:pPr>
      <w:r>
        <w:rPr>
          <w:rFonts w:ascii="Arial" w:cs="Arial" w:eastAsia="Arial" w:hAnsi="Arial"/>
          <w:sz w:val="20"/>
          <w:szCs w:val="20"/>
        </w:rPr>
        <w:t xml:space="preserve">Całkowicie opróżnione opakowania poddać procesowi odzysku lub recyklingu materiałowego w ramach selektywnej zbiórki odpadów. Opakowania zanieczyszczone pozostałościami produktu traktować zgodnie z ich stopniem skażenia – w przypadku substancji niebezpiecznych likwidować jak sam produkt u uprawnionego odbiorcy odpadów.</w:t>
      </w:r>
    </w:p>
    <w:p>
      <w:pPr>
        <w:spacing w:after="80" w:before="150"/>
      </w:pPr>
      <w:r>
        <w:rPr>
          <w:rFonts w:ascii="Arial" w:cs="Arial" w:eastAsia="Arial" w:hAnsi="Arial"/>
          <w:b/>
          <w:bCs/>
          <w:sz w:val="20"/>
          <w:szCs w:val="20"/>
        </w:rPr>
        <w:t xml:space="preserve">Klasyfikacja i kody odpadów (Katalog Odpadów Dz.U. 2020 poz. 10):</w:t>
      </w:r>
    </w:p>
    <w:p>
      <w:pPr>
        <w:spacing w:after="60" w:before="60"/>
      </w:pPr>
      <w:r>
        <w:rPr>
          <w:rFonts w:ascii="Arial" w:cs="Arial" w:eastAsia="Arial" w:hAnsi="Arial"/>
          <w:b/>
          <w:bCs/>
          <w:sz w:val="20"/>
          <w:szCs w:val="20"/>
        </w:rPr>
        <w:t xml:space="preserve">- Odpady z produktu (dla zastosowań profesjonalnych / przemysłowych):</w:t>
      </w:r>
      <w:r>
        <w:rPr>
          <w:rFonts w:ascii="Arial" w:cs="Arial" w:eastAsia="Arial" w:hAnsi="Arial"/>
          <w:sz w:val="20"/>
          <w:szCs w:val="20"/>
        </w:rPr>
        <w:t xml:space="preserve"> 16 03 05* (Organiczne odpady zawierające substancje niebezpieczne) lub 16 05 08* (Zużyte chemikalia zawierające substancje niebezpieczne).</w:t>
      </w:r>
    </w:p>
    <w:p>
      <w:pPr>
        <w:spacing w:after="60" w:before="60"/>
      </w:pPr>
      <w:r>
        <w:rPr>
          <w:rFonts w:ascii="Arial" w:cs="Arial" w:eastAsia="Arial" w:hAnsi="Arial"/>
          <w:b/>
          <w:bCs/>
          <w:sz w:val="20"/>
          <w:szCs w:val="20"/>
        </w:rPr>
        <w:t xml:space="preserve">- Odpady z produktu (dla konsumentów / odpady komunalne):</w:t>
      </w:r>
      <w:r>
        <w:rPr>
          <w:rFonts w:ascii="Arial" w:cs="Arial" w:eastAsia="Arial" w:hAnsi="Arial"/>
          <w:sz w:val="20"/>
          <w:szCs w:val="20"/>
        </w:rPr>
        <w:t xml:space="preserve"> 20 01 29* (Detergenty zawierające substancje niebezpieczne) lub 20 01 27*.</w:t>
      </w:r>
    </w:p>
    <w:p>
      <w:pPr>
        <w:spacing w:after="60" w:before="60"/>
      </w:pPr>
      <w:r>
        <w:rPr>
          <w:rFonts w:ascii="Arial" w:cs="Arial" w:eastAsia="Arial" w:hAnsi="Arial"/>
          <w:b/>
          <w:bCs/>
          <w:sz w:val="20"/>
          <w:szCs w:val="20"/>
        </w:rPr>
        <w:t xml:space="preserve">- Odpady opakowaniowe:</w:t>
      </w:r>
      <w:r>
        <w:rPr>
          <w:rFonts w:ascii="Arial" w:cs="Arial" w:eastAsia="Arial" w:hAnsi="Arial"/>
          <w:sz w:val="20"/>
          <w:szCs w:val="20"/>
        </w:rPr>
        <w:t xml:space="preserve"> 15 01 02 (Opakowania z tworzyw sztucznych) [w przypadku opakowań zanieczyszczonych substancjami niebezpiecznymi: 15 01 10*].</w:t>
      </w:r>
    </w:p>
    <w:p>
      <w:pPr>
        <w:spacing w:after="80" w:before="80"/>
      </w:pPr>
      <w:r>
        <w:rPr>
          <w:rFonts w:ascii="Arial" w:cs="Arial" w:eastAsia="Arial" w:hAnsi="Arial"/>
          <w:b/>
          <w:bCs/>
          <w:sz w:val="20"/>
          <w:szCs w:val="20"/>
        </w:rPr>
        <w:t xml:space="preserve">Uwaga:</w:t>
      </w:r>
      <w:r>
        <w:rPr>
          <w:rFonts w:ascii="Arial" w:cs="Arial" w:eastAsia="Arial" w:hAnsi="Arial"/>
          <w:sz w:val="20"/>
          <w:szCs w:val="20"/>
        </w:rPr>
        <w:t xml:space="preserve"> Podane kody odpadów mają charakter zalecany. Szczegółowy i ostateczny kod odpadu musi zostać nadany bezpośrednio przez wytwórcę odpadu, w oparciu o miejsce, branżę i specyfikę jego powstawania (BDO).</w:t>
      </w:r>
    </w:p>
    <w:p>
      <w:pPr>
        <w:spacing w:after="80" w:before="150"/>
      </w:pPr>
      <w:r>
        <w:rPr>
          <w:rFonts w:ascii="Arial" w:cs="Arial" w:eastAsia="Arial" w:hAnsi="Arial"/>
          <w:b/>
          <w:bCs/>
          <w:sz w:val="20"/>
          <w:szCs w:val="20"/>
        </w:rPr>
        <w:t xml:space="preserve">Krajowe i unijne akty prawne dotyczące gospodarki odpadami:</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Dyrektywa Parlamentu Europejskiego i Rady 2008/98/WE z dnia 19 listopada 2008 r. w sprawie odpadów oraz uchylająca niektóre dyrektywy.</w:t>
      </w:r>
    </w:p>
    <w:p>
      <w:pPr>
        <w:pBdr>
          <w:bottom w:color="00A651" w:sz="12" w:space="1"/>
        </w:pBdr>
        <w:spacing w:after="150" w:before="300"/>
      </w:pPr>
      <w:r>
        <w:rPr>
          <w:b/>
          <w:bCs/>
          <w:sz w:val="22"/>
          <w:szCs w:val="22"/>
        </w:rPr>
        <w:t xml:space="preserve">SEKCJA 14: INFORMACJE DOTYCZĄCE TRANSPORTU</w:t>
      </w:r>
    </w:p>
    <w:p>
      <w:pPr>
        <w:spacing w:after="80"/>
      </w:pPr>
      <w:r>
        <w:rPr>
          <w:rFonts w:ascii="Arial" w:cs="Arial" w:eastAsia="Arial" w:hAnsi="Arial"/>
          <w:sz w:val="20"/>
          <w:szCs w:val="20"/>
        </w:rPr>
        <w:t xml:space="preserve">Produkt podlega przepisom dotyczącym międzynarodowego przewozu towarów niebezpiecznych (ADR/RID, IMDG, ICAO/IATA).</w:t>
      </w:r>
    </w:p>
    <w:p>
      <w:pPr>
        <w:spacing w:after="100" w:before="200"/>
      </w:pPr>
      <w:r>
        <w:rPr>
          <w:rFonts w:ascii="Arial" w:cs="Arial" w:eastAsia="Arial" w:hAnsi="Arial"/>
          <w:b/>
          <w:bCs/>
          <w:sz w:val="20"/>
          <w:szCs w:val="20"/>
        </w:rPr>
        <w:t xml:space="preserve">14.1. Numer UN lub numer identyfikacyjny ID</w:t>
      </w:r>
    </w:p>
    <w:p>
      <w:pPr>
        <w:spacing w:after="80"/>
      </w:pPr>
      <w:r>
        <w:rPr>
          <w:rFonts w:ascii="Arial" w:cs="Arial" w:eastAsia="Arial" w:hAnsi="Arial"/>
          <w:sz w:val="20"/>
          <w:szCs w:val="20"/>
        </w:rPr>
        <w:t xml:space="preserve">UN 1170</w:t>
      </w:r>
    </w:p>
    <w:p>
      <w:pPr>
        <w:spacing w:after="100" w:before="200"/>
      </w:pPr>
      <w:r>
        <w:rPr>
          <w:rFonts w:ascii="Arial" w:cs="Arial" w:eastAsia="Arial" w:hAnsi="Arial"/>
          <w:b/>
          <w:bCs/>
          <w:sz w:val="20"/>
          <w:szCs w:val="20"/>
        </w:rPr>
        <w:t xml:space="preserve">14.2. Prawidłowa nazwa przewozowa UN</w:t>
      </w:r>
    </w:p>
    <w:p>
      <w:pPr>
        <w:spacing w:after="80"/>
      </w:pPr>
      <w:r>
        <w:rPr>
          <w:rFonts w:ascii="Arial" w:cs="Arial" w:eastAsia="Arial" w:hAnsi="Arial"/>
          <w:sz w:val="20"/>
          <w:szCs w:val="20"/>
        </w:rPr>
        <w:t xml:space="preserve">ETANOL (ALKOHOL ETYLOWY) lub ETANOL W ROZTWORZE (ALKOHOL ETYLOWY W ROZTWORZE)</w:t>
      </w:r>
    </w:p>
    <w:p>
      <w:pPr>
        <w:spacing w:after="80" w:before="200"/>
      </w:pPr>
      <w:r>
        <w:rPr>
          <w:rFonts w:ascii="Arial" w:cs="Arial" w:eastAsia="Arial" w:hAnsi="Arial"/>
          <w:b/>
          <w:bCs/>
          <w:sz w:val="20"/>
          <w:szCs w:val="20"/>
        </w:rPr>
        <w:t xml:space="preserve">14.3. Klasa(-y) zagrożenia w transporcie</w:t>
      </w:r>
    </w:p>
    <w:p>
      <w:pPr>
        <w:spacing w:after="80"/>
      </w:pPr>
      <w:r>
        <w:rPr>
          <w:rFonts w:ascii="Arial" w:cs="Arial" w:eastAsia="Arial" w:hAnsi="Arial"/>
          <w:sz w:val="20"/>
          <w:szCs w:val="20"/>
        </w:rPr>
        <w:t xml:space="preserve">ADR / RID, IMDG, IATA: Klasa 3 (Materiały ciekłe zapalne)</w:t>
      </w:r>
    </w:p>
    <w:p>
      <w:pPr>
        <w:spacing w:after="80" w:before="80"/>
      </w:pPr>
      <w:r>
        <w:rPr>
          <w:rFonts w:ascii="Arial" w:cs="Arial" w:eastAsia="Arial" w:hAnsi="Arial"/>
          <w:b/>
          <w:bCs/>
          <w:sz w:val="20"/>
          <w:szCs w:val="20"/>
        </w:rPr>
        <w:t xml:space="preserve">Nalepka ostrzegawcza:</w:t>
      </w:r>
      <w:r>
        <w:rPr>
          <w:rFonts w:ascii="Arial" w:cs="Arial" w:eastAsia="Arial" w:hAnsi="Arial"/>
          <w:sz w:val="20"/>
          <w:szCs w:val="20"/>
        </w:rPr>
        <w:t xml:space="preserve"> Nr 3</w:t>
      </w:r>
    </w:p>
    <w:p>
      <w:pPr>
        <w:spacing w:after="100" w:before="200"/>
      </w:pPr>
      <w:r>
        <w:rPr>
          <w:rFonts w:ascii="Arial" w:cs="Arial" w:eastAsia="Arial" w:hAnsi="Arial"/>
          <w:b/>
          <w:bCs/>
          <w:sz w:val="20"/>
          <w:szCs w:val="20"/>
        </w:rPr>
        <w:t xml:space="preserve">14.4. Grupa pakowania</w:t>
      </w:r>
    </w:p>
    <w:p>
      <w:pPr>
        <w:spacing w:after="80"/>
      </w:pPr>
      <w:r>
        <w:rPr>
          <w:rFonts w:ascii="Arial" w:cs="Arial" w:eastAsia="Arial" w:hAnsi="Arial"/>
          <w:sz w:val="20"/>
          <w:szCs w:val="20"/>
        </w:rPr>
        <w:t xml:space="preserve">Grupa pakowania ADR / RID, IMDG, IATA:II</w:t>
      </w:r>
    </w:p>
    <w:p>
      <w:pPr>
        <w:spacing w:after="100" w:before="200"/>
      </w:pPr>
      <w:r>
        <w:rPr>
          <w:rFonts w:ascii="Arial" w:cs="Arial" w:eastAsia="Arial" w:hAnsi="Arial"/>
          <w:b/>
          <w:bCs/>
          <w:sz w:val="20"/>
          <w:szCs w:val="20"/>
        </w:rPr>
        <w:t xml:space="preserve">14.5. Zagrożenia dla środowiska</w:t>
      </w:r>
    </w:p>
    <w:p>
      <w:pPr>
        <w:spacing w:after="80"/>
      </w:pPr>
      <w:r>
        <w:rPr>
          <w:rFonts w:ascii="Arial" w:cs="Arial" w:eastAsia="Arial" w:hAnsi="Arial"/>
          <w:sz w:val="20"/>
          <w:szCs w:val="20"/>
        </w:rPr>
        <w:t xml:space="preserve">Brak (produkt nie jest zaklasyfikowany jako stwarzający zagrożenie dla środowiska w transporcie).</w:t>
      </w:r>
    </w:p>
    <w:p>
      <w:pPr>
        <w:spacing w:after="100" w:before="200"/>
      </w:pPr>
      <w:r>
        <w:rPr>
          <w:rFonts w:ascii="Arial" w:cs="Arial" w:eastAsia="Arial" w:hAnsi="Arial"/>
          <w:b/>
          <w:bCs/>
          <w:sz w:val="20"/>
          <w:szCs w:val="20"/>
        </w:rPr>
        <w:t xml:space="preserve">14.6. Szczególne środki ostrożności dla użytkowników</w:t>
      </w:r>
    </w:p>
    <w:p>
      <w:pPr>
        <w:spacing w:after="60" w:before="80"/>
      </w:pPr>
      <w:r>
        <w:rPr>
          <w:rFonts w:ascii="Arial" w:cs="Arial" w:eastAsia="Arial" w:hAnsi="Arial"/>
          <w:b/>
          <w:bCs/>
          <w:sz w:val="20"/>
          <w:szCs w:val="20"/>
        </w:rPr>
        <w:t xml:space="preserve">Ilości ograniczone (LQ):</w:t>
      </w:r>
      <w:r>
        <w:rPr>
          <w:rFonts w:ascii="Arial" w:cs="Arial" w:eastAsia="Arial" w:hAnsi="Arial"/>
          <w:sz w:val="20"/>
          <w:szCs w:val="20"/>
        </w:rPr>
        <w:t xml:space="preserve"> 1 L</w:t>
      </w:r>
    </w:p>
    <w:p>
      <w:pPr>
        <w:spacing w:after="80" w:before="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666750"/>
                    </a:xfrm>
                    <a:prstGeom prst="rect">
                      <a:avLst/>
                    </a:prstGeom>
                  </pic:spPr>
                </pic:pic>
              </a:graphicData>
            </a:graphic>
          </wp:inline>
        </w:drawing>
      </w:r>
      <w:r>
        <w:rPr>
          <w:rFonts w:ascii="Arial" w:cs="Arial" w:eastAsia="Arial" w:hAnsi="Arial"/>
          <w:i/>
          <w:iCs/>
          <w:sz w:val="16"/>
          <w:szCs w:val="16"/>
        </w:rPr>
        <w:t xml:space="preserve">  Znak dla towarów pakowanych w ilościach ograniczonych (LQ) zgodnie z działem 3.4 Umowy ADR</w:t>
      </w:r>
    </w:p>
    <w:p>
      <w:pPr>
        <w:spacing w:after="80" w:before="80"/>
      </w:pPr>
      <w:r>
        <w:rPr>
          <w:rFonts w:ascii="Arial" w:cs="Arial" w:eastAsia="Arial" w:hAnsi="Arial"/>
          <w:b/>
          <w:bCs/>
          <w:sz w:val="20"/>
          <w:szCs w:val="20"/>
        </w:rPr>
        <w:t xml:space="preserve">Kod ograniczeń przewozu przez tunele:</w:t>
      </w:r>
      <w:r>
        <w:rPr>
          <w:rFonts w:ascii="Arial" w:cs="Arial" w:eastAsia="Arial" w:hAnsi="Arial"/>
          <w:sz w:val="20"/>
          <w:szCs w:val="20"/>
        </w:rPr>
        <w:t xml:space="preserve"> (D/E)</w:t>
      </w:r>
    </w:p>
    <w:p>
      <w:pPr>
        <w:spacing w:after="80"/>
      </w:pPr>
      <w:r>
        <w:rPr>
          <w:rFonts w:ascii="Arial" w:cs="Arial" w:eastAsia="Arial" w:hAnsi="Arial"/>
          <w:sz w:val="20"/>
          <w:szCs w:val="20"/>
        </w:rPr>
        <w:t xml:space="preserve">Transportować w szczelnie zamkniętych, certyfikowanych opakowaniach, zabezpieczonych przed przemieszczaniem i uszkodzeniami mechanicznymi.</w:t>
      </w:r>
    </w:p>
    <w:p>
      <w:pPr>
        <w:spacing w:after="80"/>
      </w:pPr>
      <w:r>
        <w:rPr>
          <w:rFonts w:ascii="Arial" w:cs="Arial" w:eastAsia="Arial" w:hAnsi="Arial"/>
          <w:sz w:val="20"/>
          <w:szCs w:val="20"/>
        </w:rPr>
        <w:t xml:space="preserve">Kierowca powinien posiadać stosowne uprawnienia ADR oraz wymagane wyposażenie ochronne pojazdu.</w:t>
      </w:r>
    </w:p>
    <w:p>
      <w:pPr>
        <w:spacing w:after="100" w:before="200"/>
      </w:pPr>
      <w:r>
        <w:rPr>
          <w:rFonts w:ascii="Arial" w:cs="Arial" w:eastAsia="Arial" w:hAnsi="Arial"/>
          <w:b/>
          <w:bCs/>
          <w:sz w:val="20"/>
          <w:szCs w:val="20"/>
        </w:rPr>
        <w:t xml:space="preserve">14.7. Transport morski luzem zgodnie z instrumentami IMO</w:t>
      </w:r>
    </w:p>
    <w:p>
      <w:pPr>
        <w:spacing w:after="80"/>
      </w:pPr>
      <w:r>
        <w:rPr>
          <w:rFonts w:ascii="Arial" w:cs="Arial" w:eastAsia="Arial" w:hAnsi="Arial"/>
          <w:sz w:val="20"/>
          <w:szCs w:val="20"/>
        </w:rPr>
        <w:t xml:space="preserve">Nie dotyczy (produkt nie jest przewożony luzem w chemikaliowcach morskich).</w:t>
      </w:r>
    </w:p>
    <w:p>
      <w:pPr>
        <w:pBdr>
          <w:bottom w:color="00A651" w:sz="12" w:space="1"/>
        </w:pBdr>
        <w:spacing w:after="150" w:before="300"/>
      </w:pPr>
      <w:r>
        <w:rPr>
          <w:b/>
          <w:bCs/>
          <w:sz w:val="22"/>
          <w:szCs w:val="22"/>
        </w:rPr>
        <w:t xml:space="preserve">SEKCJA 15: INFORMACJE DOTYCZĄCE PRZEPISÓW PRAWNYCH</w:t>
      </w:r>
    </w:p>
    <w:p>
      <w:pPr>
        <w:spacing w:after="100" w:before="200"/>
      </w:pPr>
      <w:r>
        <w:rPr>
          <w:rFonts w:ascii="Arial" w:cs="Arial" w:eastAsia="Arial" w:hAnsi="Arial"/>
          <w:b/>
          <w:bCs/>
          <w:sz w:val="20"/>
          <w:szCs w:val="20"/>
        </w:rPr>
        <w:t xml:space="preserve">15.1. Przepisy prawne dotyczące bezpieczeństwa, zdrowia i ochrony środowiska specyficzne dla substancji lub mieszaniny</w:t>
      </w:r>
    </w:p>
    <w:p>
      <w:pPr>
        <w:spacing w:after="80" w:before="150"/>
      </w:pPr>
      <w:r>
        <w:rPr>
          <w:rFonts w:ascii="Arial" w:cs="Arial" w:eastAsia="Arial" w:hAnsi="Arial"/>
          <w:b/>
          <w:bCs/>
          <w:sz w:val="20"/>
          <w:szCs w:val="20"/>
        </w:rPr>
        <w:t xml:space="preserve">Prawodawstwo Unii Europejskiej:</w:t>
      </w:r>
    </w:p>
    <w:p>
      <w:pPr>
        <w:spacing w:after="80"/>
      </w:pPr>
      <w:r>
        <w:rPr>
          <w:rFonts w:ascii="Arial" w:cs="Arial" w:eastAsia="Arial" w:hAnsi="Arial"/>
          <w:sz w:val="20"/>
          <w:szCs w:val="20"/>
        </w:rPr>
        <w:t xml:space="preserve">- Rozporządzenie (WE) nr 1907/2006 Parlamentu Europejskiego i Rady z dnia 18 grudnia 2006 r. w sprawie rejestracji, oceny, udzielania zezwoleń i stosowanych ograniczeń w zakresie chemikaliów (REACH) z późniejszymi zmianami.</w:t>
      </w:r>
    </w:p>
    <w:p>
      <w:pPr>
        <w:spacing w:after="80"/>
      </w:pPr>
      <w:r>
        <w:rPr>
          <w:rFonts w:ascii="Arial" w:cs="Arial" w:eastAsia="Arial" w:hAnsi="Arial"/>
          <w:sz w:val="20"/>
          <w:szCs w:val="20"/>
        </w:rPr>
        <w:t xml:space="preserve">- Rozporządzenie Komisji (UE) 2020/878 z dnia 18 czerwca 2020 r. zmieniające załącznik II do rozporządzenia (WE) nr 1907/2006 (wymogi dotyczące sporządzania kart charakterystyki).</w:t>
      </w:r>
    </w:p>
    <w:p>
      <w:pPr>
        <w:spacing w:after="80"/>
      </w:pPr>
      <w:r>
        <w:rPr>
          <w:rFonts w:ascii="Arial" w:cs="Arial" w:eastAsia="Arial" w:hAnsi="Arial"/>
          <w:sz w:val="20"/>
          <w:szCs w:val="20"/>
        </w:rPr>
        <w:t xml:space="preserve">- Rozporządzenie Parlamentu Europejskiego i Rady (WE) nr 1272/2008 z dnia 16 grudnia 2008 r. w sprawie klasyfikacji, oznakowania i pakowania substancji i mieszanin (CLP) z późniejszymi zmianami (kolejne ATP).</w:t>
      </w:r>
    </w:p>
    <w:p>
      <w:pPr>
        <w:spacing w:after="60" w:before="60"/>
      </w:pPr>
      <w:r>
        <w:rPr>
          <w:rFonts w:ascii="Arial" w:cs="Arial" w:eastAsia="Arial" w:hAnsi="Arial"/>
          <w:b/>
          <w:bCs/>
          <w:sz w:val="20"/>
          <w:szCs w:val="20"/>
        </w:rPr>
        <w:t xml:space="preserve">- Substancje wzbudzające szczególnie duże obawy (SVHC – REACH załącznik XIV):</w:t>
      </w:r>
      <w:r>
        <w:rPr>
          <w:rFonts w:ascii="Arial" w:cs="Arial" w:eastAsia="Arial" w:hAnsi="Arial"/>
          <w:sz w:val="20"/>
          <w:szCs w:val="20"/>
        </w:rPr>
        <w:t xml:space="preserve"> Mieszanina nie zawiera substancji z listy kandydackiej SVHC podlegających procedurze udzielania zezwoleń (REACH załącznik XIV) w stężeniu ≥ 0,1% wag.</w:t>
      </w:r>
    </w:p>
    <w:p>
      <w:pPr>
        <w:spacing w:after="60" w:before="60"/>
      </w:pPr>
      <w:r>
        <w:rPr>
          <w:rFonts w:ascii="Arial" w:cs="Arial" w:eastAsia="Arial" w:hAnsi="Arial"/>
          <w:b/>
          <w:bCs/>
          <w:sz w:val="20"/>
          <w:szCs w:val="20"/>
        </w:rPr>
        <w:t xml:space="preserve">- Ograniczenia dotyczące produkcji, wprowadzania do obrotu i stosowania niektórych niebezpiecznych substancji (REACH załącznik XVII):</w:t>
      </w:r>
      <w:r>
        <w:rPr>
          <w:rFonts w:ascii="Arial" w:cs="Arial" w:eastAsia="Arial" w:hAnsi="Arial"/>
          <w:sz w:val="20"/>
          <w:szCs w:val="20"/>
        </w:rPr>
        <w:t xml:space="preserve"/>
      </w:r>
    </w:p>
    <w:p>
      <w:pPr>
        <w:spacing w:after="80"/>
      </w:pPr>
      <w:r>
        <w:rPr>
          <w:rFonts w:ascii="Arial" w:cs="Arial" w:eastAsia="Arial" w:hAnsi="Arial"/>
          <w:sz w:val="20"/>
          <w:szCs w:val="20"/>
        </w:rPr>
        <w:t xml:space="preserve">* Produkt podlega ograniczeniom wynikającym z pozycji 3 (Ciekłe substancje lub mieszaniny stwarzające zagrożenie w rozumieniu rozporządzenia CLP) oraz pozycji 40 (Substancje zaklasyfikowane jako ciecze łatwopalne kategorii 1, 2 lub 3).</w:t>
      </w:r>
    </w:p>
    <w:p>
      <w:pPr>
        <w:spacing w:after="80"/>
      </w:pPr>
      <w:r>
        <w:rPr>
          <w:rFonts w:ascii="Arial" w:cs="Arial" w:eastAsia="Arial" w:hAnsi="Arial"/>
          <w:sz w:val="20"/>
          <w:szCs w:val="20"/>
        </w:rPr>
        <w:t xml:space="preserve">* Substancje zawarte w mieszaninie podlegają ograniczeniom wynikającym z pozycji 75 (Substancje w tuszach do tatuażu i makijażu permanentnego).</w:t>
      </w:r>
    </w:p>
    <w:p>
      <w:pPr>
        <w:spacing w:after="60" w:before="60"/>
      </w:pPr>
      <w:r>
        <w:rPr>
          <w:rFonts w:ascii="Arial" w:cs="Arial" w:eastAsia="Arial" w:hAnsi="Arial"/>
          <w:b/>
          <w:bCs/>
          <w:sz w:val="20"/>
          <w:szCs w:val="20"/>
        </w:rPr>
        <w:t xml:space="preserve">- Dyrektywa Seveso III (2012/18/UE) / Rozporządzenie Ministra Rozwoju z dnia 29 stycznia 2016 r. (Dz.U. 2016 poz. 138):</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Kategoria zagrożenia:</w:t>
      </w:r>
      <w:r>
        <w:rPr>
          <w:rFonts w:ascii="Arial" w:cs="Arial" w:eastAsia="Arial" w:hAnsi="Arial"/>
          <w:sz w:val="20"/>
          <w:szCs w:val="20"/>
        </w:rPr>
        <w:t xml:space="preserve"> P5c CIECZE ŁATWOPALNE.</w:t>
      </w:r>
    </w:p>
    <w:p>
      <w:pPr>
        <w:spacing w:after="60" w:before="60"/>
      </w:pPr>
      <w:r>
        <w:rPr>
          <w:rFonts w:ascii="Arial" w:cs="Arial" w:eastAsia="Arial" w:hAnsi="Arial"/>
          <w:b/>
          <w:bCs/>
          <w:sz w:val="20"/>
          <w:szCs w:val="20"/>
        </w:rPr>
        <w:t xml:space="preserve">* Ilości progowe substancji niebezpiecznych decydujące o zaliczeniu zakładu:</w:t>
      </w:r>
      <w:r>
        <w:rPr>
          <w:rFonts w:ascii="Arial" w:cs="Arial" w:eastAsia="Arial" w:hAnsi="Arial"/>
          <w:sz w:val="20"/>
          <w:szCs w:val="20"/>
        </w:rPr>
        <w:t xml:space="preserve"> Zakład o Zwiększonym Ryzyku (ZZR) – 5 000 t; Zakład o Dużym Ryzyku (ZDR) – 50 000 t.</w:t>
      </w:r>
    </w:p>
    <w:p>
      <w:pPr>
        <w:spacing w:after="60" w:before="60"/>
      </w:pPr>
      <w:r>
        <w:rPr>
          <w:rFonts w:ascii="Arial" w:cs="Arial" w:eastAsia="Arial" w:hAnsi="Arial"/>
          <w:b/>
          <w:bCs/>
          <w:sz w:val="20"/>
          <w:szCs w:val="20"/>
        </w:rPr>
        <w:t xml:space="preserve">- Rozporządzenie Parlamentu Europejskiego i Rady (UE) nr 649/2012 z dnia 4 lipca 2012 r. dotyczące wywozu i przywozu niebezpiecznych chemikaliów (PIC):</w:t>
      </w:r>
      <w:r>
        <w:rPr>
          <w:rFonts w:ascii="Arial" w:cs="Arial" w:eastAsia="Arial" w:hAnsi="Arial"/>
          <w:sz w:val="20"/>
          <w:szCs w:val="20"/>
        </w:rPr>
        <w:t xml:space="preserve"> Nie dotyczy.</w:t>
      </w:r>
    </w:p>
    <w:p>
      <w:pPr>
        <w:spacing w:after="80" w:before="150"/>
      </w:pPr>
      <w:r>
        <w:rPr>
          <w:rFonts w:ascii="Arial" w:cs="Arial" w:eastAsia="Arial" w:hAnsi="Arial"/>
          <w:b/>
          <w:bCs/>
          <w:sz w:val="20"/>
          <w:szCs w:val="20"/>
        </w:rPr>
        <w:t xml:space="preserve">Prawodawstwo Rzeczypospolitej Polskiej:</w:t>
      </w:r>
    </w:p>
    <w:p>
      <w:pPr>
        <w:spacing w:after="80"/>
      </w:pPr>
      <w:r>
        <w:rPr>
          <w:rFonts w:ascii="Arial" w:cs="Arial" w:eastAsia="Arial" w:hAnsi="Arial"/>
          <w:sz w:val="20"/>
          <w:szCs w:val="20"/>
        </w:rPr>
        <w:t xml:space="preserve">- Ustawa z dnia 25 lutego 2011 r. o substancjach chemicznych i ich mieszaninach (t.j. Dz.U. 2022 poz. 1816 z późn. zm.).</w:t>
      </w:r>
    </w:p>
    <w:p>
      <w:pPr>
        <w:spacing w:after="80"/>
      </w:pPr>
      <w:r>
        <w:rPr>
          <w:rFonts w:ascii="Arial" w:cs="Arial" w:eastAsia="Arial" w:hAnsi="Arial"/>
          <w:sz w:val="20"/>
          <w:szCs w:val="20"/>
        </w:rPr>
        <w:t xml:space="preserve">- Rozporządzenie Ministra Rodziny, Pracy i Polityki Społecznej z dnia 12 czerwca 2018 r. w sprawie najwyższych dopuszczalnych stężeń i natężeń czynników szkodliwych dla zdrowia w środowisku pracy (Dz.U. 2018 poz. 1286 z późn. zm.).</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Ustawa z dnia 19 sierpnia 2011 r. o przewozie towarów niebezpiecznych (t.j. Dz.U. 2024 poz. 643 z późn. zm.) wraz z oświadczeniami rządowymi w sprawie Umowy europejskiej dotyczącej międzynarodowego przewozu drogowego towarów niebezpiecznych (ADR).</w:t>
      </w:r>
    </w:p>
    <w:p>
      <w:pPr>
        <w:spacing w:after="80"/>
      </w:pPr>
      <w:r>
        <w:rPr>
          <w:rFonts w:ascii="Arial" w:cs="Arial" w:eastAsia="Arial" w:hAnsi="Arial"/>
          <w:sz w:val="20"/>
          <w:szCs w:val="20"/>
        </w:rPr>
        <w:t xml:space="preserve">- Rozporządzenie Ministra Zdrowia z dnia 30 grudnia 2004 r. w sprawie bezpieczeństwa i higieny pracy związanej z występowaniem w miejscu pracy czynników chemicznych (t.j. Dz.U. 2016 poz. 1488).</w:t>
      </w:r>
    </w:p>
    <w:p>
      <w:pPr>
        <w:spacing w:after="80"/>
      </w:pPr>
      <w:r>
        <w:rPr>
          <w:rFonts w:ascii="Arial" w:cs="Arial" w:eastAsia="Arial" w:hAnsi="Arial"/>
          <w:sz w:val="20"/>
          <w:szCs w:val="20"/>
        </w:rPr>
        <w:t xml:space="preserve">- Rozporządzenie Ministra Zdrowia z dnia 2 lutego 2011 r. w sprawie badań i pomiarów czynników szkodliwych dla zdrowia w środowisku pracy (t.j. Dz.U. 2023 poz. 419).</w:t>
      </w:r>
    </w:p>
    <w:p>
      <w:pPr>
        <w:spacing w:after="80"/>
      </w:pPr>
      <w:r>
        <w:rPr>
          <w:rFonts w:ascii="Arial" w:cs="Arial" w:eastAsia="Arial" w:hAnsi="Arial"/>
          <w:sz w:val="20"/>
          <w:szCs w:val="20"/>
        </w:rPr>
        <w:t xml:space="preserve">- Ustawa z dnia 26 czerwca 1974 r. – Kodeks pracy (t.j. Dz.U. 2023 poz. 1465 z późn. zm.).</w:t>
      </w:r>
    </w:p>
    <w:p>
      <w:pPr>
        <w:spacing w:after="100" w:before="200"/>
      </w:pPr>
      <w:r>
        <w:rPr>
          <w:rFonts w:ascii="Arial" w:cs="Arial" w:eastAsia="Arial" w:hAnsi="Arial"/>
          <w:b/>
          <w:bCs/>
          <w:sz w:val="20"/>
          <w:szCs w:val="20"/>
        </w:rPr>
        <w:t xml:space="preserve">15.2. Ocena bezpieczeństwa chemicznego</w:t>
      </w:r>
    </w:p>
    <w:p>
      <w:pPr>
        <w:spacing w:after="80"/>
      </w:pPr>
      <w:r>
        <w:rPr>
          <w:rFonts w:ascii="Arial" w:cs="Arial" w:eastAsia="Arial" w:hAnsi="Arial"/>
          <w:sz w:val="20"/>
          <w:szCs w:val="20"/>
        </w:rPr>
        <w:t xml:space="preserve">Dla mieszaniny nie dokonano oceny bezpieczeństwa chemicznego (dla mieszanin nie jest ona wymagana zgodnie z art. 14 rozporządzenia REACH).</w:t>
      </w:r>
    </w:p>
    <w:p>
      <w:pPr>
        <w:pBdr>
          <w:bottom w:color="00A651" w:sz="12" w:space="1"/>
        </w:pBdr>
        <w:spacing w:after="150" w:before="300"/>
      </w:pPr>
      <w:r>
        <w:rPr>
          <w:b/>
          <w:bCs/>
          <w:sz w:val="22"/>
          <w:szCs w:val="22"/>
        </w:rPr>
        <w:t xml:space="preserve">SEKCJA 16: INNE INFORMACJE</w:t>
      </w:r>
    </w:p>
    <w:p>
      <w:pPr>
        <w:spacing w:after="80" w:before="150"/>
      </w:pPr>
      <w:r>
        <w:rPr>
          <w:rFonts w:ascii="Arial" w:cs="Arial" w:eastAsia="Arial" w:hAnsi="Arial"/>
          <w:b/>
          <w:bCs/>
          <w:sz w:val="20"/>
          <w:szCs w:val="20"/>
        </w:rPr>
        <w:t xml:space="preserve">Pełne brzmienie zwrotów H i EUH przytoczonych w sekcjach 2 i 3 karty charakterystyki:</w:t>
      </w:r>
    </w:p>
    <w:p>
      <w:pPr>
        <w:spacing w:after="80" w:before="80"/>
      </w:pPr>
      <w:r>
        <w:rPr>
          <w:rFonts w:ascii="Arial" w:cs="Arial" w:eastAsia="Arial" w:hAnsi="Arial"/>
          <w:b/>
          <w:bCs/>
          <w:sz w:val="20"/>
          <w:szCs w:val="20"/>
        </w:rPr>
        <w:t xml:space="preserve">H225:</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H302:</w:t>
      </w:r>
      <w:r>
        <w:rPr>
          <w:rFonts w:ascii="Arial" w:cs="Arial" w:eastAsia="Arial" w:hAnsi="Arial"/>
          <w:sz w:val="20"/>
          <w:szCs w:val="20"/>
        </w:rPr>
        <w:t xml:space="preserve"> Działa szkodliwie po połknięciu.</w:t>
      </w:r>
    </w:p>
    <w:p>
      <w:pPr>
        <w:spacing w:after="80" w:before="80"/>
      </w:pPr>
      <w:r>
        <w:rPr>
          <w:rFonts w:ascii="Arial" w:cs="Arial" w:eastAsia="Arial" w:hAnsi="Arial"/>
          <w:b/>
          <w:bCs/>
          <w:sz w:val="20"/>
          <w:szCs w:val="20"/>
        </w:rPr>
        <w:t xml:space="preserve">H304:</w:t>
      </w:r>
      <w:r>
        <w:rPr>
          <w:rFonts w:ascii="Arial" w:cs="Arial" w:eastAsia="Arial" w:hAnsi="Arial"/>
          <w:sz w:val="20"/>
          <w:szCs w:val="20"/>
        </w:rPr>
        <w:t xml:space="preserve"> Połknięcie i dostanie się przez drogi oddechowe może grozić śmiercią.</w:t>
      </w:r>
    </w:p>
    <w:p>
      <w:pPr>
        <w:spacing w:after="80" w:before="80"/>
      </w:pPr>
      <w:r>
        <w:rPr>
          <w:rFonts w:ascii="Arial" w:cs="Arial" w:eastAsia="Arial" w:hAnsi="Arial"/>
          <w:b/>
          <w:bCs/>
          <w:sz w:val="20"/>
          <w:szCs w:val="20"/>
        </w:rPr>
        <w:t xml:space="preserve">H315:</w:t>
      </w:r>
      <w:r>
        <w:rPr>
          <w:rFonts w:ascii="Arial" w:cs="Arial" w:eastAsia="Arial" w:hAnsi="Arial"/>
          <w:sz w:val="20"/>
          <w:szCs w:val="20"/>
        </w:rPr>
        <w:t xml:space="preserve"> Działa drażniąco na skórę.</w:t>
      </w:r>
    </w:p>
    <w:p>
      <w:pPr>
        <w:spacing w:after="80" w:before="80"/>
      </w:pPr>
      <w:r>
        <w:rPr>
          <w:rFonts w:ascii="Arial" w:cs="Arial" w:eastAsia="Arial" w:hAnsi="Arial"/>
          <w:b/>
          <w:bCs/>
          <w:sz w:val="20"/>
          <w:szCs w:val="20"/>
        </w:rPr>
        <w:t xml:space="preserve">H317:</w:t>
      </w:r>
      <w:r>
        <w:rPr>
          <w:rFonts w:ascii="Arial" w:cs="Arial" w:eastAsia="Arial" w:hAnsi="Arial"/>
          <w:sz w:val="20"/>
          <w:szCs w:val="20"/>
        </w:rPr>
        <w:t xml:space="preserve"> Może powodować reakcję alergiczną skóry.</w:t>
      </w:r>
    </w:p>
    <w:p>
      <w:pPr>
        <w:spacing w:after="80" w:before="80"/>
      </w:pPr>
      <w:r>
        <w:rPr>
          <w:rFonts w:ascii="Arial" w:cs="Arial" w:eastAsia="Arial" w:hAnsi="Arial"/>
          <w:b/>
          <w:bCs/>
          <w:sz w:val="20"/>
          <w:szCs w:val="20"/>
        </w:rPr>
        <w:t xml:space="preserve">H319:</w:t>
      </w:r>
      <w:r>
        <w:rPr>
          <w:rFonts w:ascii="Arial" w:cs="Arial" w:eastAsia="Arial" w:hAnsi="Arial"/>
          <w:sz w:val="20"/>
          <w:szCs w:val="20"/>
        </w:rPr>
        <w:t xml:space="preserve"> Działa drażniąco na oczy.</w:t>
      </w:r>
    </w:p>
    <w:p>
      <w:pPr>
        <w:spacing w:after="80" w:before="80"/>
      </w:pPr>
      <w:r>
        <w:rPr>
          <w:rFonts w:ascii="Arial" w:cs="Arial" w:eastAsia="Arial" w:hAnsi="Arial"/>
          <w:b/>
          <w:bCs/>
          <w:sz w:val="20"/>
          <w:szCs w:val="20"/>
        </w:rPr>
        <w:t xml:space="preserve">H336:</w:t>
      </w:r>
      <w:r>
        <w:rPr>
          <w:rFonts w:ascii="Arial" w:cs="Arial" w:eastAsia="Arial" w:hAnsi="Arial"/>
          <w:sz w:val="20"/>
          <w:szCs w:val="20"/>
        </w:rPr>
        <w:t xml:space="preserve"> Może wywoływać uczucie senności lub zawroty głowy.</w:t>
      </w:r>
    </w:p>
    <w:p>
      <w:pPr>
        <w:spacing w:after="80" w:before="80"/>
      </w:pPr>
      <w:r>
        <w:rPr>
          <w:rFonts w:ascii="Arial" w:cs="Arial" w:eastAsia="Arial" w:hAnsi="Arial"/>
          <w:b/>
          <w:bCs/>
          <w:sz w:val="20"/>
          <w:szCs w:val="20"/>
        </w:rPr>
        <w:t xml:space="preserve">H361d:</w:t>
      </w:r>
      <w:r>
        <w:rPr>
          <w:rFonts w:ascii="Arial" w:cs="Arial" w:eastAsia="Arial" w:hAnsi="Arial"/>
          <w:sz w:val="20"/>
          <w:szCs w:val="20"/>
        </w:rPr>
        <w:t xml:space="preserve"> Podejrzewa się, że działa szkodliwie na dziecko w łonie matki.</w:t>
      </w:r>
    </w:p>
    <w:p>
      <w:pPr>
        <w:spacing w:after="80"/>
      </w:pPr>
      <w:r>
        <w:rPr>
          <w:rFonts w:ascii="Arial" w:cs="Arial" w:eastAsia="Arial" w:hAnsi="Arial"/>
          <w:sz w:val="20"/>
          <w:szCs w:val="20"/>
        </w:rPr>
        <w:t xml:space="preserve">H361fd: Podejrzewa się, że działa szkodliwie na płodność. Podejrzewa się, że działa szkodliwie na dziecko w łonie matki.</w:t>
      </w:r>
    </w:p>
    <w:p>
      <w:pPr>
        <w:spacing w:after="80" w:before="80"/>
      </w:pPr>
      <w:r>
        <w:rPr>
          <w:rFonts w:ascii="Arial" w:cs="Arial" w:eastAsia="Arial" w:hAnsi="Arial"/>
          <w:b/>
          <w:bCs/>
          <w:sz w:val="20"/>
          <w:szCs w:val="20"/>
        </w:rPr>
        <w:t xml:space="preserve">H373:</w:t>
      </w:r>
      <w:r>
        <w:rPr>
          <w:rFonts w:ascii="Arial" w:cs="Arial" w:eastAsia="Arial" w:hAnsi="Arial"/>
          <w:sz w:val="20"/>
          <w:szCs w:val="20"/>
        </w:rPr>
        <w:t xml:space="preserve"> Może powodować uszkodzenie narządów poprzez długotrwałe lub narażenie powtarzane.</w:t>
      </w:r>
    </w:p>
    <w:p>
      <w:pPr>
        <w:spacing w:after="80" w:before="80"/>
      </w:pPr>
      <w:r>
        <w:rPr>
          <w:rFonts w:ascii="Arial" w:cs="Arial" w:eastAsia="Arial" w:hAnsi="Arial"/>
          <w:b/>
          <w:bCs/>
          <w:sz w:val="20"/>
          <w:szCs w:val="20"/>
        </w:rPr>
        <w:t xml:space="preserve">H410:</w:t>
      </w:r>
      <w:r>
        <w:rPr>
          <w:rFonts w:ascii="Arial" w:cs="Arial" w:eastAsia="Arial" w:hAnsi="Arial"/>
          <w:sz w:val="20"/>
          <w:szCs w:val="20"/>
        </w:rPr>
        <w:t xml:space="preserve"> Działa bardzo toksycznie na organizmy wodne, powodując długotrwałe skutki.</w:t>
      </w:r>
    </w:p>
    <w:p>
      <w:pPr>
        <w:spacing w:after="80" w:before="80"/>
      </w:pPr>
      <w:r>
        <w:rPr>
          <w:rFonts w:ascii="Arial" w:cs="Arial" w:eastAsia="Arial" w:hAnsi="Arial"/>
          <w:b/>
          <w:bCs/>
          <w:sz w:val="20"/>
          <w:szCs w:val="20"/>
        </w:rPr>
        <w:t xml:space="preserve">H412:</w:t>
      </w:r>
      <w:r>
        <w:rPr>
          <w:rFonts w:ascii="Arial" w:cs="Arial" w:eastAsia="Arial" w:hAnsi="Arial"/>
          <w:sz w:val="20"/>
          <w:szCs w:val="20"/>
        </w:rPr>
        <w:t xml:space="preserve"> Działa szkodliwie na organizmy wodne, powodując długotrwałe skutki.</w:t>
      </w:r>
    </w:p>
    <w:p>
      <w:pPr>
        <w:spacing w:after="80" w:before="80"/>
      </w:pPr>
      <w:r>
        <w:rPr>
          <w:rFonts w:ascii="Arial" w:cs="Arial" w:eastAsia="Arial" w:hAnsi="Arial"/>
          <w:b/>
          <w:bCs/>
          <w:sz w:val="20"/>
          <w:szCs w:val="20"/>
        </w:rPr>
        <w:t xml:space="preserve">EUH208:</w:t>
      </w:r>
      <w:r>
        <w:rPr>
          <w:rFonts w:ascii="Arial" w:cs="Arial" w:eastAsia="Arial" w:hAnsi="Arial"/>
          <w:sz w:val="20"/>
          <w:szCs w:val="20"/>
        </w:rPr>
        <w:t xml:space="preserve"> Zawiera kumarynę (2H-chromen-2-on). Może powodować wystąpienie reakcji alergicznej.</w:t>
      </w:r>
    </w:p>
    <w:p>
      <w:pPr>
        <w:spacing w:after="80" w:before="150"/>
      </w:pPr>
      <w:r>
        <w:rPr>
          <w:rFonts w:ascii="Arial" w:cs="Arial" w:eastAsia="Arial" w:hAnsi="Arial"/>
          <w:b/>
          <w:bCs/>
          <w:sz w:val="20"/>
          <w:szCs w:val="20"/>
        </w:rPr>
        <w:t xml:space="preserve">Wykaz klas i kategorii zagrożenia przytoczonych w karcie charakterystyki:</w:t>
      </w:r>
    </w:p>
    <w:p>
      <w:pPr>
        <w:spacing w:after="80" w:before="80"/>
      </w:pPr>
      <w:r>
        <w:rPr>
          <w:rFonts w:ascii="Arial" w:cs="Arial" w:eastAsia="Arial" w:hAnsi="Arial"/>
          <w:b/>
          <w:bCs/>
          <w:sz w:val="20"/>
          <w:szCs w:val="20"/>
        </w:rPr>
        <w:t xml:space="preserve">Acute Tox. 4:</w:t>
      </w:r>
      <w:r>
        <w:rPr>
          <w:rFonts w:ascii="Arial" w:cs="Arial" w:eastAsia="Arial" w:hAnsi="Arial"/>
          <w:sz w:val="20"/>
          <w:szCs w:val="20"/>
        </w:rPr>
        <w:t xml:space="preserve"> Toksyczność ostra, kategoria 4</w:t>
      </w:r>
    </w:p>
    <w:p>
      <w:pPr>
        <w:spacing w:after="80" w:before="80"/>
      </w:pPr>
      <w:r>
        <w:rPr>
          <w:rFonts w:ascii="Arial" w:cs="Arial" w:eastAsia="Arial" w:hAnsi="Arial"/>
          <w:b/>
          <w:bCs/>
          <w:sz w:val="20"/>
          <w:szCs w:val="20"/>
        </w:rPr>
        <w:t xml:space="preserve">Aquatic Chronic 1:</w:t>
      </w:r>
      <w:r>
        <w:rPr>
          <w:rFonts w:ascii="Arial" w:cs="Arial" w:eastAsia="Arial" w:hAnsi="Arial"/>
          <w:sz w:val="20"/>
          <w:szCs w:val="20"/>
        </w:rPr>
        <w:t xml:space="preserve"> Stwarzające zagrożenie dla środowiska wodnego – zagrożenie przewlekłe, kategoria 1</w:t>
      </w:r>
    </w:p>
    <w:p>
      <w:pPr>
        <w:spacing w:after="80" w:before="80"/>
      </w:pPr>
      <w:r>
        <w:rPr>
          <w:rFonts w:ascii="Arial" w:cs="Arial" w:eastAsia="Arial" w:hAnsi="Arial"/>
          <w:b/>
          <w:bCs/>
          <w:sz w:val="20"/>
          <w:szCs w:val="20"/>
        </w:rPr>
        <w:t xml:space="preserve">Aquatic Chronic 3:</w:t>
      </w:r>
      <w:r>
        <w:rPr>
          <w:rFonts w:ascii="Arial" w:cs="Arial" w:eastAsia="Arial" w:hAnsi="Arial"/>
          <w:sz w:val="20"/>
          <w:szCs w:val="20"/>
        </w:rPr>
        <w:t xml:space="preserve"> Stwarzające zagrożenie dla środowiska wodnego – zagrożenie przewlekłe, kategoria 3</w:t>
      </w:r>
    </w:p>
    <w:p>
      <w:pPr>
        <w:spacing w:after="80" w:before="80"/>
      </w:pPr>
      <w:r>
        <w:rPr>
          <w:rFonts w:ascii="Arial" w:cs="Arial" w:eastAsia="Arial" w:hAnsi="Arial"/>
          <w:b/>
          <w:bCs/>
          <w:sz w:val="20"/>
          <w:szCs w:val="20"/>
        </w:rPr>
        <w:t xml:space="preserve">Asp. Tox. 1:</w:t>
      </w:r>
      <w:r>
        <w:rPr>
          <w:rFonts w:ascii="Arial" w:cs="Arial" w:eastAsia="Arial" w:hAnsi="Arial"/>
          <w:sz w:val="20"/>
          <w:szCs w:val="20"/>
        </w:rPr>
        <w:t xml:space="preserve"> Zagrożenie spowodowane aspiracją, kategoria 1</w:t>
      </w:r>
    </w:p>
    <w:p>
      <w:pPr>
        <w:spacing w:after="80" w:before="80"/>
      </w:pPr>
      <w:r>
        <w:rPr>
          <w:rFonts w:ascii="Arial" w:cs="Arial" w:eastAsia="Arial" w:hAnsi="Arial"/>
          <w:b/>
          <w:bCs/>
          <w:sz w:val="20"/>
          <w:szCs w:val="20"/>
        </w:rPr>
        <w:t xml:space="preserve">Eye Irrit. 2:</w:t>
      </w:r>
      <w:r>
        <w:rPr>
          <w:rFonts w:ascii="Arial" w:cs="Arial" w:eastAsia="Arial" w:hAnsi="Arial"/>
          <w:sz w:val="20"/>
          <w:szCs w:val="20"/>
        </w:rPr>
        <w:t xml:space="preserve"> Działanie drażniące na oczy, kategoria 2</w:t>
      </w:r>
    </w:p>
    <w:p>
      <w:pPr>
        <w:spacing w:after="80" w:before="80"/>
      </w:pPr>
      <w:r>
        <w:rPr>
          <w:rFonts w:ascii="Arial" w:cs="Arial" w:eastAsia="Arial" w:hAnsi="Arial"/>
          <w:b/>
          <w:bCs/>
          <w:sz w:val="20"/>
          <w:szCs w:val="20"/>
        </w:rPr>
        <w:t xml:space="preserve">Flam. Liq. 2:</w:t>
      </w:r>
      <w:r>
        <w:rPr>
          <w:rFonts w:ascii="Arial" w:cs="Arial" w:eastAsia="Arial" w:hAnsi="Arial"/>
          <w:sz w:val="20"/>
          <w:szCs w:val="20"/>
        </w:rPr>
        <w:t xml:space="preserve"> Substancja ciekła łatwopalna, kategoria 2</w:t>
      </w:r>
    </w:p>
    <w:p>
      <w:pPr>
        <w:spacing w:after="80"/>
      </w:pPr>
      <w:r>
        <w:rPr>
          <w:rFonts w:ascii="Arial" w:cs="Arial" w:eastAsia="Arial" w:hAnsi="Arial"/>
          <w:sz w:val="20"/>
          <w:szCs w:val="20"/>
        </w:rPr>
        <w:t xml:space="preserve">Repr. 2: Działanie szkodliwe na rozrodczość, kategoria 2</w:t>
      </w:r>
    </w:p>
    <w:p>
      <w:pPr>
        <w:spacing w:after="80" w:before="80"/>
      </w:pPr>
      <w:r>
        <w:rPr>
          <w:rFonts w:ascii="Arial" w:cs="Arial" w:eastAsia="Arial" w:hAnsi="Arial"/>
          <w:b/>
          <w:bCs/>
          <w:sz w:val="20"/>
          <w:szCs w:val="20"/>
        </w:rPr>
        <w:t xml:space="preserve">STOT RE 2:</w:t>
      </w:r>
      <w:r>
        <w:rPr>
          <w:rFonts w:ascii="Arial" w:cs="Arial" w:eastAsia="Arial" w:hAnsi="Arial"/>
          <w:sz w:val="20"/>
          <w:szCs w:val="20"/>
        </w:rPr>
        <w:t xml:space="preserve"> Działanie toksyczne na narządy docelowe – narażenie powtarzane, kategoria 2</w:t>
      </w:r>
    </w:p>
    <w:p>
      <w:pPr>
        <w:spacing w:after="80" w:before="80"/>
      </w:pPr>
      <w:r>
        <w:rPr>
          <w:rFonts w:ascii="Arial" w:cs="Arial" w:eastAsia="Arial" w:hAnsi="Arial"/>
          <w:b/>
          <w:bCs/>
          <w:sz w:val="20"/>
          <w:szCs w:val="20"/>
        </w:rPr>
        <w:t xml:space="preserve">STOT SE 3:</w:t>
      </w:r>
      <w:r>
        <w:rPr>
          <w:rFonts w:ascii="Arial" w:cs="Arial" w:eastAsia="Arial" w:hAnsi="Arial"/>
          <w:sz w:val="20"/>
          <w:szCs w:val="20"/>
        </w:rPr>
        <w:t xml:space="preserve"> Działanie toksyczne na narządy docelowe – narażenie jednorazowe, kategoria 3</w:t>
      </w:r>
    </w:p>
    <w:p>
      <w:pPr>
        <w:spacing w:after="80" w:before="80"/>
      </w:pPr>
      <w:r>
        <w:rPr>
          <w:rFonts w:ascii="Arial" w:cs="Arial" w:eastAsia="Arial" w:hAnsi="Arial"/>
          <w:b/>
          <w:bCs/>
          <w:sz w:val="20"/>
          <w:szCs w:val="20"/>
        </w:rPr>
        <w:t xml:space="preserve">Skin Irrit. 2:</w:t>
      </w:r>
      <w:r>
        <w:rPr>
          <w:rFonts w:ascii="Arial" w:cs="Arial" w:eastAsia="Arial" w:hAnsi="Arial"/>
          <w:sz w:val="20"/>
          <w:szCs w:val="20"/>
        </w:rPr>
        <w:t xml:space="preserve"> Działanie drażniące na skórę, kategoria 2</w:t>
      </w:r>
    </w:p>
    <w:p>
      <w:pPr>
        <w:spacing w:after="80" w:before="80"/>
      </w:pPr>
      <w:r>
        <w:rPr>
          <w:rFonts w:ascii="Arial" w:cs="Arial" w:eastAsia="Arial" w:hAnsi="Arial"/>
          <w:b/>
          <w:bCs/>
          <w:sz w:val="20"/>
          <w:szCs w:val="20"/>
        </w:rPr>
        <w:t xml:space="preserve">Skin Sens. 1:</w:t>
      </w:r>
      <w:r>
        <w:rPr>
          <w:rFonts w:ascii="Arial" w:cs="Arial" w:eastAsia="Arial" w:hAnsi="Arial"/>
          <w:sz w:val="20"/>
          <w:szCs w:val="20"/>
        </w:rPr>
        <w:t xml:space="preserve"> Działanie uczulające na skórę, kategoria 1</w:t>
      </w:r>
    </w:p>
    <w:p>
      <w:pPr>
        <w:spacing w:after="80" w:before="150"/>
      </w:pPr>
      <w:r>
        <w:rPr>
          <w:rFonts w:ascii="Arial" w:cs="Arial" w:eastAsia="Arial" w:hAnsi="Arial"/>
          <w:b/>
          <w:bCs/>
          <w:sz w:val="20"/>
          <w:szCs w:val="20"/>
        </w:rPr>
        <w:t xml:space="preserve">Objaśnienie skrótów i akronimów stosowanych w karcie charakterystyki:</w:t>
      </w:r>
    </w:p>
    <w:p>
      <w:pPr>
        <w:spacing w:after="80" w:before="80"/>
      </w:pPr>
      <w:r>
        <w:rPr>
          <w:rFonts w:ascii="Arial" w:cs="Arial" w:eastAsia="Arial" w:hAnsi="Arial"/>
          <w:b/>
          <w:bCs/>
          <w:sz w:val="20"/>
          <w:szCs w:val="20"/>
        </w:rPr>
        <w:t xml:space="preserve">ADR:</w:t>
      </w:r>
      <w:r>
        <w:rPr>
          <w:rFonts w:ascii="Arial" w:cs="Arial" w:eastAsia="Arial" w:hAnsi="Arial"/>
          <w:sz w:val="20"/>
          <w:szCs w:val="20"/>
        </w:rPr>
        <w:t xml:space="preserve"> Umowa europejska dotycząca międzynarodowego przewozu drogowego towarów niebezpiecznych</w:t>
      </w:r>
    </w:p>
    <w:p>
      <w:pPr>
        <w:spacing w:after="80" w:before="80"/>
      </w:pPr>
      <w:r>
        <w:rPr>
          <w:rFonts w:ascii="Arial" w:cs="Arial" w:eastAsia="Arial" w:hAnsi="Arial"/>
          <w:b/>
          <w:bCs/>
          <w:sz w:val="20"/>
          <w:szCs w:val="20"/>
        </w:rPr>
        <w:t xml:space="preserve">RID:</w:t>
      </w:r>
      <w:r>
        <w:rPr>
          <w:rFonts w:ascii="Arial" w:cs="Arial" w:eastAsia="Arial" w:hAnsi="Arial"/>
          <w:sz w:val="20"/>
          <w:szCs w:val="20"/>
        </w:rPr>
        <w:t xml:space="preserve"> Regulamin międzynarodowego przewozu kolejami towarów niebezpiecznych</w:t>
      </w:r>
    </w:p>
    <w:p>
      <w:pPr>
        <w:spacing w:after="80" w:before="80"/>
      </w:pPr>
      <w:r>
        <w:rPr>
          <w:rFonts w:ascii="Arial" w:cs="Arial" w:eastAsia="Arial" w:hAnsi="Arial"/>
          <w:b/>
          <w:bCs/>
          <w:sz w:val="20"/>
          <w:szCs w:val="20"/>
        </w:rPr>
        <w:t xml:space="preserve">IMDG:</w:t>
      </w:r>
      <w:r>
        <w:rPr>
          <w:rFonts w:ascii="Arial" w:cs="Arial" w:eastAsia="Arial" w:hAnsi="Arial"/>
          <w:sz w:val="20"/>
          <w:szCs w:val="20"/>
        </w:rPr>
        <w:t xml:space="preserve"> Międzynarodowy morski kodeks towarów niebezpiecznych (International Maritime Dangerous Goods Code)</w:t>
      </w:r>
    </w:p>
    <w:p>
      <w:pPr>
        <w:spacing w:after="80" w:before="80"/>
      </w:pPr>
      <w:r>
        <w:rPr>
          <w:rFonts w:ascii="Arial" w:cs="Arial" w:eastAsia="Arial" w:hAnsi="Arial"/>
          <w:b/>
          <w:bCs/>
          <w:sz w:val="20"/>
          <w:szCs w:val="20"/>
        </w:rPr>
        <w:t xml:space="preserve">IATA:</w:t>
      </w:r>
      <w:r>
        <w:rPr>
          <w:rFonts w:ascii="Arial" w:cs="Arial" w:eastAsia="Arial" w:hAnsi="Arial"/>
          <w:sz w:val="20"/>
          <w:szCs w:val="20"/>
        </w:rPr>
        <w:t xml:space="preserve"> Międzynarodowe Zrzeszenie Przewoźników Powietrznych (International Air Transport Association)</w:t>
      </w:r>
    </w:p>
    <w:p>
      <w:pPr>
        <w:spacing w:after="80" w:before="80"/>
      </w:pPr>
      <w:r>
        <w:rPr>
          <w:rFonts w:ascii="Arial" w:cs="Arial" w:eastAsia="Arial" w:hAnsi="Arial"/>
          <w:b/>
          <w:bCs/>
          <w:sz w:val="20"/>
          <w:szCs w:val="20"/>
        </w:rPr>
        <w:t xml:space="preserve">ICAO:</w:t>
      </w:r>
      <w:r>
        <w:rPr>
          <w:rFonts w:ascii="Arial" w:cs="Arial" w:eastAsia="Arial" w:hAnsi="Arial"/>
          <w:sz w:val="20"/>
          <w:szCs w:val="20"/>
        </w:rPr>
        <w:t xml:space="preserve"> Organizacja Międzynarodowego Lotnictwa Cywilnego</w:t>
      </w:r>
    </w:p>
    <w:p>
      <w:pPr>
        <w:spacing w:after="80" w:before="80"/>
      </w:pPr>
      <w:r>
        <w:rPr>
          <w:rFonts w:ascii="Arial" w:cs="Arial" w:eastAsia="Arial" w:hAnsi="Arial"/>
          <w:b/>
          <w:bCs/>
          <w:sz w:val="20"/>
          <w:szCs w:val="20"/>
        </w:rPr>
        <w:t xml:space="preserve">CLP:</w:t>
      </w:r>
      <w:r>
        <w:rPr>
          <w:rFonts w:ascii="Arial" w:cs="Arial" w:eastAsia="Arial" w:hAnsi="Arial"/>
          <w:sz w:val="20"/>
          <w:szCs w:val="20"/>
        </w:rPr>
        <w:t xml:space="preserve"> Rozporządzenie (WE) nr 1272/2008 w sprawie klasyfikacji, oznakowania i pakowania substancji i mieszanin</w:t>
      </w:r>
    </w:p>
    <w:p>
      <w:pPr>
        <w:spacing w:after="80" w:before="80"/>
      </w:pPr>
      <w:r>
        <w:rPr>
          <w:rFonts w:ascii="Arial" w:cs="Arial" w:eastAsia="Arial" w:hAnsi="Arial"/>
          <w:b/>
          <w:bCs/>
          <w:sz w:val="20"/>
          <w:szCs w:val="20"/>
        </w:rPr>
        <w:t xml:space="preserve">REACH:</w:t>
      </w:r>
      <w:r>
        <w:rPr>
          <w:rFonts w:ascii="Arial" w:cs="Arial" w:eastAsia="Arial" w:hAnsi="Arial"/>
          <w:sz w:val="20"/>
          <w:szCs w:val="20"/>
        </w:rPr>
        <w:t xml:space="preserve"> Rozporządzenie (WE) nr 1907/2006 w sprawie rejestracji, oceny, udzielania zezwoleń i stosowanych ograniczeń w zakresie chemikaliów</w:t>
      </w:r>
    </w:p>
    <w:p>
      <w:pPr>
        <w:spacing w:after="80" w:before="80"/>
      </w:pPr>
      <w:r>
        <w:rPr>
          <w:rFonts w:ascii="Arial" w:cs="Arial" w:eastAsia="Arial" w:hAnsi="Arial"/>
          <w:b/>
          <w:bCs/>
          <w:sz w:val="20"/>
          <w:szCs w:val="20"/>
        </w:rPr>
        <w:t xml:space="preserve">GHS:</w:t>
      </w:r>
      <w:r>
        <w:rPr>
          <w:rFonts w:ascii="Arial" w:cs="Arial" w:eastAsia="Arial" w:hAnsi="Arial"/>
          <w:sz w:val="20"/>
          <w:szCs w:val="20"/>
        </w:rPr>
        <w:t xml:space="preserve"> Globalnie Zharmonizowany System Klasyfikacji i Oznakowania Chemikaliów</w:t>
      </w:r>
    </w:p>
    <w:p>
      <w:pPr>
        <w:spacing w:after="80" w:before="80"/>
      </w:pPr>
      <w:r>
        <w:rPr>
          <w:rFonts w:ascii="Arial" w:cs="Arial" w:eastAsia="Arial" w:hAnsi="Arial"/>
          <w:b/>
          <w:bCs/>
          <w:sz w:val="20"/>
          <w:szCs w:val="20"/>
        </w:rPr>
        <w:t xml:space="preserve">CAS:</w:t>
      </w:r>
      <w:r>
        <w:rPr>
          <w:rFonts w:ascii="Arial" w:cs="Arial" w:eastAsia="Arial" w:hAnsi="Arial"/>
          <w:sz w:val="20"/>
          <w:szCs w:val="20"/>
        </w:rPr>
        <w:t xml:space="preserve"> Chemical Abstracts Service (unikalny numeryczny identyfikator substancji chemicznej)</w:t>
      </w:r>
    </w:p>
    <w:p>
      <w:pPr>
        <w:spacing w:after="80" w:before="80"/>
      </w:pPr>
      <w:r>
        <w:rPr>
          <w:rFonts w:ascii="Arial" w:cs="Arial" w:eastAsia="Arial" w:hAnsi="Arial"/>
          <w:b/>
          <w:bCs/>
          <w:sz w:val="20"/>
          <w:szCs w:val="20"/>
        </w:rPr>
        <w:t xml:space="preserve">WE:</w:t>
      </w:r>
      <w:r>
        <w:rPr>
          <w:rFonts w:ascii="Arial" w:cs="Arial" w:eastAsia="Arial" w:hAnsi="Arial"/>
          <w:sz w:val="20"/>
          <w:szCs w:val="20"/>
        </w:rPr>
        <w:t xml:space="preserve"> Numer Wspólnoty Europejskiej (oficjalny numer rejestracyjny substancji w UE: EINECS, ELINCS lub NLP)</w:t>
      </w:r>
    </w:p>
    <w:p>
      <w:pPr>
        <w:spacing w:after="80" w:before="80"/>
      </w:pPr>
      <w:r>
        <w:rPr>
          <w:rFonts w:ascii="Arial" w:cs="Arial" w:eastAsia="Arial" w:hAnsi="Arial"/>
          <w:b/>
          <w:bCs/>
          <w:sz w:val="20"/>
          <w:szCs w:val="20"/>
        </w:rPr>
        <w:t xml:space="preserve">NDS:</w:t>
      </w:r>
      <w:r>
        <w:rPr>
          <w:rFonts w:ascii="Arial" w:cs="Arial" w:eastAsia="Arial" w:hAnsi="Arial"/>
          <w:sz w:val="20"/>
          <w:szCs w:val="20"/>
        </w:rPr>
        <w:t xml:space="preserve"> Najwyższe dopuszczalne stężenie na stanowisku pracy w ciągu 8-godzinnego dnia pracy</w:t>
      </w:r>
    </w:p>
    <w:p>
      <w:pPr>
        <w:spacing w:after="80" w:before="80"/>
      </w:pPr>
      <w:r>
        <w:rPr>
          <w:rFonts w:ascii="Arial" w:cs="Arial" w:eastAsia="Arial" w:hAnsi="Arial"/>
          <w:b/>
          <w:bCs/>
          <w:sz w:val="20"/>
          <w:szCs w:val="20"/>
        </w:rPr>
        <w:t xml:space="preserve">NDSCh:</w:t>
      </w:r>
      <w:r>
        <w:rPr>
          <w:rFonts w:ascii="Arial" w:cs="Arial" w:eastAsia="Arial" w:hAnsi="Arial"/>
          <w:sz w:val="20"/>
          <w:szCs w:val="20"/>
        </w:rPr>
        <w:t xml:space="preserve"> Najwyższe dopuszczalne stężenie chwilowe (czas ekspozycji do 15 minut)</w:t>
      </w:r>
    </w:p>
    <w:p>
      <w:pPr>
        <w:spacing w:after="80" w:before="80"/>
      </w:pPr>
      <w:r>
        <w:rPr>
          <w:rFonts w:ascii="Arial" w:cs="Arial" w:eastAsia="Arial" w:hAnsi="Arial"/>
          <w:b/>
          <w:bCs/>
          <w:sz w:val="20"/>
          <w:szCs w:val="20"/>
        </w:rPr>
        <w:t xml:space="preserve">NDSP:</w:t>
      </w:r>
      <w:r>
        <w:rPr>
          <w:rFonts w:ascii="Arial" w:cs="Arial" w:eastAsia="Arial" w:hAnsi="Arial"/>
          <w:sz w:val="20"/>
          <w:szCs w:val="20"/>
        </w:rPr>
        <w:t xml:space="preserve"> Najwyższe dopuszczalne stężenie pułapowe (wartość, która nie może być przekroczona w żadnym momencie)</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Pochodny poziom niepowodujący zmian (Derived No-Effect Level)</w:t>
      </w:r>
    </w:p>
    <w:p>
      <w:pPr>
        <w:spacing w:after="80" w:before="80"/>
      </w:pPr>
      <w:r>
        <w:rPr>
          <w:rFonts w:ascii="Arial" w:cs="Arial" w:eastAsia="Arial" w:hAnsi="Arial"/>
          <w:b/>
          <w:bCs/>
          <w:sz w:val="20"/>
          <w:szCs w:val="20"/>
        </w:rPr>
        <w:t xml:space="preserve">PNEC:</w:t>
      </w:r>
      <w:r>
        <w:rPr>
          <w:rFonts w:ascii="Arial" w:cs="Arial" w:eastAsia="Arial" w:hAnsi="Arial"/>
          <w:sz w:val="20"/>
          <w:szCs w:val="20"/>
        </w:rPr>
        <w:t xml:space="preserve"> Przewidywane stężenie niepowodujące zmian w środowisku (Predicted No-Effect Concentration)</w:t>
      </w:r>
    </w:p>
    <w:p>
      <w:pPr>
        <w:spacing w:after="80"/>
      </w:pPr>
      <w:r>
        <w:rPr>
          <w:rFonts w:ascii="Arial" w:cs="Arial" w:eastAsia="Arial" w:hAnsi="Arial"/>
          <w:sz w:val="20"/>
          <w:szCs w:val="20"/>
        </w:rPr>
        <w:t xml:space="preserve">PBT: Substancja trwała, wykazująca zdolność do bioakumulacji i toksyczna</w:t>
      </w:r>
    </w:p>
    <w:p>
      <w:pPr>
        <w:spacing w:after="80" w:before="80"/>
      </w:pPr>
      <w:r>
        <w:rPr>
          <w:rFonts w:ascii="Arial" w:cs="Arial" w:eastAsia="Arial" w:hAnsi="Arial"/>
          <w:b/>
          <w:bCs/>
          <w:sz w:val="20"/>
          <w:szCs w:val="20"/>
        </w:rPr>
        <w:t xml:space="preserve">vPvB:</w:t>
      </w:r>
      <w:r>
        <w:rPr>
          <w:rFonts w:ascii="Arial" w:cs="Arial" w:eastAsia="Arial" w:hAnsi="Arial"/>
          <w:sz w:val="20"/>
          <w:szCs w:val="20"/>
        </w:rPr>
        <w:t xml:space="preserve"> Substancja bardzo trwała i wykazująca bardzo dużą zdolność do bioakumulacji</w:t>
      </w:r>
    </w:p>
    <w:p>
      <w:pPr>
        <w:spacing w:after="80" w:before="80"/>
      </w:pPr>
      <w:r>
        <w:rPr>
          <w:rFonts w:ascii="Arial" w:cs="Arial" w:eastAsia="Arial" w:hAnsi="Arial"/>
          <w:b/>
          <w:bCs/>
          <w:sz w:val="20"/>
          <w:szCs w:val="20"/>
        </w:rPr>
        <w:t xml:space="preserve">SVHC:</w:t>
      </w:r>
      <w:r>
        <w:rPr>
          <w:rFonts w:ascii="Arial" w:cs="Arial" w:eastAsia="Arial" w:hAnsi="Arial"/>
          <w:sz w:val="20"/>
          <w:szCs w:val="20"/>
        </w:rPr>
        <w:t xml:space="preserve"> Substancje wzbudzające szczególnie duże obawy (Substances of Very High Concern)</w:t>
      </w:r>
    </w:p>
    <w:p>
      <w:pPr>
        <w:spacing w:after="80"/>
      </w:pPr>
      <w:r>
        <w:rPr>
          <w:rFonts w:ascii="Arial" w:cs="Arial" w:eastAsia="Arial" w:hAnsi="Arial"/>
          <w:sz w:val="20"/>
          <w:szCs w:val="20"/>
        </w:rPr>
        <w:t xml:space="preserve">BCF: Współczynnik biokoncentracji (Bioconcentration Factor)</w:t>
      </w:r>
    </w:p>
    <w:p>
      <w:pPr>
        <w:spacing w:after="80" w:before="80"/>
      </w:pPr>
      <w:r>
        <w:rPr>
          <w:rFonts w:ascii="Arial" w:cs="Arial" w:eastAsia="Arial" w:hAnsi="Arial"/>
          <w:b/>
          <w:bCs/>
          <w:sz w:val="20"/>
          <w:szCs w:val="20"/>
        </w:rPr>
        <w:t xml:space="preserve">log Kow:</w:t>
      </w:r>
      <w:r>
        <w:rPr>
          <w:rFonts w:ascii="Arial" w:cs="Arial" w:eastAsia="Arial" w:hAnsi="Arial"/>
          <w:sz w:val="20"/>
          <w:szCs w:val="20"/>
        </w:rPr>
        <w:t xml:space="preserve"> Współczynnik podziału n-oktanol/woda</w:t>
      </w:r>
    </w:p>
    <w:p>
      <w:pPr>
        <w:spacing w:after="80" w:before="80"/>
      </w:pPr>
      <w:r>
        <w:rPr>
          <w:rFonts w:ascii="Arial" w:cs="Arial" w:eastAsia="Arial" w:hAnsi="Arial"/>
          <w:b/>
          <w:bCs/>
          <w:sz w:val="20"/>
          <w:szCs w:val="20"/>
        </w:rPr>
        <w:t xml:space="preserve">LD50:</w:t>
      </w:r>
      <w:r>
        <w:rPr>
          <w:rFonts w:ascii="Arial" w:cs="Arial" w:eastAsia="Arial" w:hAnsi="Arial"/>
          <w:sz w:val="20"/>
          <w:szCs w:val="20"/>
        </w:rPr>
        <w:t xml:space="preserve"> Dawka śmiertelna dla 50% badanej populacji zwierząt laboratoryjnych</w:t>
      </w:r>
    </w:p>
    <w:p>
      <w:pPr>
        <w:spacing w:after="80" w:before="80"/>
      </w:pPr>
      <w:r>
        <w:rPr>
          <w:rFonts w:ascii="Arial" w:cs="Arial" w:eastAsia="Arial" w:hAnsi="Arial"/>
          <w:b/>
          <w:bCs/>
          <w:sz w:val="20"/>
          <w:szCs w:val="20"/>
        </w:rPr>
        <w:t xml:space="preserve">LC50:</w:t>
      </w:r>
      <w:r>
        <w:rPr>
          <w:rFonts w:ascii="Arial" w:cs="Arial" w:eastAsia="Arial" w:hAnsi="Arial"/>
          <w:sz w:val="20"/>
          <w:szCs w:val="20"/>
        </w:rPr>
        <w:t xml:space="preserve"> Stężenie śmiertelne dla 50% badanej populacji organizmów testowych</w:t>
      </w:r>
    </w:p>
    <w:p>
      <w:pPr>
        <w:spacing w:after="80" w:before="80"/>
      </w:pPr>
      <w:r>
        <w:rPr>
          <w:rFonts w:ascii="Arial" w:cs="Arial" w:eastAsia="Arial" w:hAnsi="Arial"/>
          <w:b/>
          <w:bCs/>
          <w:sz w:val="20"/>
          <w:szCs w:val="20"/>
        </w:rPr>
        <w:t xml:space="preserve">EC50:</w:t>
      </w:r>
      <w:r>
        <w:rPr>
          <w:rFonts w:ascii="Arial" w:cs="Arial" w:eastAsia="Arial" w:hAnsi="Arial"/>
          <w:sz w:val="20"/>
          <w:szCs w:val="20"/>
        </w:rPr>
        <w:t xml:space="preserve"> Stężenie wywołujące efekt u 50% badanej populacji testowej</w:t>
      </w:r>
    </w:p>
    <w:p>
      <w:pPr>
        <w:spacing w:after="80" w:before="80"/>
      </w:pPr>
      <w:r>
        <w:rPr>
          <w:rFonts w:ascii="Arial" w:cs="Arial" w:eastAsia="Arial" w:hAnsi="Arial"/>
          <w:b/>
          <w:bCs/>
          <w:sz w:val="20"/>
          <w:szCs w:val="20"/>
        </w:rPr>
        <w:t xml:space="preserve">NOEC:</w:t>
      </w:r>
      <w:r>
        <w:rPr>
          <w:rFonts w:ascii="Arial" w:cs="Arial" w:eastAsia="Arial" w:hAnsi="Arial"/>
          <w:sz w:val="20"/>
          <w:szCs w:val="20"/>
        </w:rPr>
        <w:t xml:space="preserve"> Najwyższe stężenie, przy którym nie obserwuje się statystycznie istotnych skutków (No Observed Effect Concentration)</w:t>
      </w:r>
    </w:p>
    <w:p>
      <w:pPr>
        <w:spacing w:after="80" w:before="80"/>
      </w:pPr>
      <w:r>
        <w:rPr>
          <w:rFonts w:ascii="Arial" w:cs="Arial" w:eastAsia="Arial" w:hAnsi="Arial"/>
          <w:b/>
          <w:bCs/>
          <w:sz w:val="20"/>
          <w:szCs w:val="20"/>
        </w:rPr>
        <w:t xml:space="preserve">SCL:</w:t>
      </w:r>
      <w:r>
        <w:rPr>
          <w:rFonts w:ascii="Arial" w:cs="Arial" w:eastAsia="Arial" w:hAnsi="Arial"/>
          <w:sz w:val="20"/>
          <w:szCs w:val="20"/>
        </w:rPr>
        <w:t xml:space="preserve"> Specyficzne stężenie graniczne (Specific Concentration Limit)</w:t>
      </w:r>
    </w:p>
    <w:p>
      <w:pPr>
        <w:spacing w:after="80" w:before="80"/>
      </w:pPr>
      <w:r>
        <w:rPr>
          <w:rFonts w:ascii="Arial" w:cs="Arial" w:eastAsia="Arial" w:hAnsi="Arial"/>
          <w:b/>
          <w:bCs/>
          <w:sz w:val="20"/>
          <w:szCs w:val="20"/>
        </w:rPr>
        <w:t xml:space="preserve">BDO:</w:t>
      </w:r>
      <w:r>
        <w:rPr>
          <w:rFonts w:ascii="Arial" w:cs="Arial" w:eastAsia="Arial" w:hAnsi="Arial"/>
          <w:sz w:val="20"/>
          <w:szCs w:val="20"/>
        </w:rPr>
        <w:t xml:space="preserve"> Baza danych o produktach i opakowaniach oraz o gospodarce odpadami</w:t>
      </w:r>
    </w:p>
    <w:p>
      <w:pPr>
        <w:spacing w:after="80" w:before="80"/>
      </w:pPr>
      <w:r>
        <w:rPr>
          <w:rFonts w:ascii="Arial" w:cs="Arial" w:eastAsia="Arial" w:hAnsi="Arial"/>
          <w:b/>
          <w:bCs/>
          <w:sz w:val="20"/>
          <w:szCs w:val="20"/>
        </w:rPr>
        <w:t xml:space="preserve">ECHA:</w:t>
      </w:r>
      <w:r>
        <w:rPr>
          <w:rFonts w:ascii="Arial" w:cs="Arial" w:eastAsia="Arial" w:hAnsi="Arial"/>
          <w:sz w:val="20"/>
          <w:szCs w:val="20"/>
        </w:rPr>
        <w:t xml:space="preserve"> Europejska Agencja Chemikaliów</w:t>
      </w:r>
    </w:p>
    <w:p>
      <w:pPr>
        <w:spacing w:after="80" w:before="150"/>
      </w:pPr>
      <w:r>
        <w:rPr>
          <w:rFonts w:ascii="Arial" w:cs="Arial" w:eastAsia="Arial" w:hAnsi="Arial"/>
          <w:b/>
          <w:bCs/>
          <w:sz w:val="20"/>
          <w:szCs w:val="20"/>
        </w:rPr>
        <w:t xml:space="preserve">Główne źródła literatury i danych:</w:t>
      </w:r>
    </w:p>
    <w:p>
      <w:pPr>
        <w:spacing w:after="80"/>
      </w:pPr>
      <w:r>
        <w:rPr>
          <w:rFonts w:ascii="Arial" w:cs="Arial" w:eastAsia="Arial" w:hAnsi="Arial"/>
          <w:sz w:val="20"/>
          <w:szCs w:val="20"/>
        </w:rPr>
        <w:t xml:space="preserve">- Karty charakterystyki substancji składowych udostępnione przez producentów i dostawców surowców.</w:t>
      </w:r>
    </w:p>
    <w:p>
      <w:pPr>
        <w:spacing w:after="60" w:before="60"/>
      </w:pPr>
      <w:r>
        <w:rPr>
          <w:rFonts w:ascii="Arial" w:cs="Arial" w:eastAsia="Arial" w:hAnsi="Arial"/>
          <w:b/>
          <w:bCs/>
          <w:sz w:val="20"/>
          <w:szCs w:val="20"/>
        </w:rPr>
        <w:t xml:space="preserve">- Baza danych Europejskiej Agencji Chemikaliów (ECHA):</w:t>
      </w:r>
      <w:r>
        <w:rPr>
          <w:rFonts w:ascii="Arial" w:cs="Arial" w:eastAsia="Arial" w:hAnsi="Arial"/>
          <w:sz w:val="20"/>
          <w:szCs w:val="20"/>
        </w:rPr>
        <w:t xml:space="preserve"> https://echa.europa.eu/</w:t>
      </w:r>
    </w:p>
    <w:p>
      <w:pPr>
        <w:spacing w:after="60" w:before="60"/>
      </w:pPr>
      <w:r>
        <w:rPr>
          <w:rFonts w:ascii="Arial" w:cs="Arial" w:eastAsia="Arial" w:hAnsi="Arial"/>
          <w:b/>
          <w:bCs/>
          <w:sz w:val="20"/>
          <w:szCs w:val="20"/>
        </w:rPr>
        <w:t xml:space="preserve">- Baza danych PubChem National Library of Medicine:</w:t>
      </w:r>
      <w:r>
        <w:rPr>
          <w:rFonts w:ascii="Arial" w:cs="Arial" w:eastAsia="Arial" w:hAnsi="Arial"/>
          <w:sz w:val="20"/>
          <w:szCs w:val="20"/>
        </w:rPr>
        <w:t xml:space="preserve"> https://pubchem.ncbi.nlm.nih.gov/</w:t>
      </w:r>
    </w:p>
    <w:p>
      <w:pPr>
        <w:spacing w:after="80"/>
      </w:pPr>
      <w:r>
        <w:rPr>
          <w:rFonts w:ascii="Arial" w:cs="Arial" w:eastAsia="Arial" w:hAnsi="Arial"/>
          <w:sz w:val="20"/>
          <w:szCs w:val="20"/>
        </w:rPr>
        <w:t xml:space="preserve">- Obowiązujące unijne i krajowe akty prawne (REACH, CLP, Dz.U. 2018 poz. 1286, Dz.U. 2023 poz. 1587).</w:t>
      </w:r>
    </w:p>
    <w:p>
      <w:pPr>
        <w:spacing w:after="80" w:before="150"/>
      </w:pPr>
      <w:r>
        <w:rPr>
          <w:rFonts w:ascii="Arial" w:cs="Arial" w:eastAsia="Arial" w:hAnsi="Arial"/>
          <w:b/>
          <w:bCs/>
          <w:sz w:val="20"/>
          <w:szCs w:val="20"/>
        </w:rPr>
        <w:t xml:space="preserve">Zalecenia i wskazówki szkoleniowe dla pracowników:</w:t>
      </w:r>
    </w:p>
    <w:p>
      <w:pPr>
        <w:spacing w:after="80"/>
      </w:pPr>
      <w:r>
        <w:rPr>
          <w:rFonts w:ascii="Arial" w:cs="Arial" w:eastAsia="Arial" w:hAnsi="Arial"/>
          <w:sz w:val="20"/>
          <w:szCs w:val="2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p>
    <w:p>
      <w:pPr>
        <w:spacing w:after="80" w:before="150"/>
      </w:pPr>
      <w:r>
        <w:rPr>
          <w:rFonts w:ascii="Arial" w:cs="Arial" w:eastAsia="Arial" w:hAnsi="Arial"/>
          <w:b/>
          <w:bCs/>
          <w:sz w:val="20"/>
          <w:szCs w:val="20"/>
        </w:rPr>
        <w:t xml:space="preserve">Informacje o zmianach i aktualizacji:</w:t>
      </w:r>
    </w:p>
    <w:p>
      <w:pPr>
        <w:spacing w:after="80"/>
      </w:pPr>
      <w:r>
        <w:rPr>
          <w:rFonts w:ascii="Arial" w:cs="Arial" w:eastAsia="Arial" w:hAnsi="Arial"/>
          <w:sz w:val="20"/>
          <w:szCs w:val="20"/>
        </w:rPr>
        <w:t xml:space="preserve">Niniejsza karta charakterystyki (wersja 1.0 PL) stanowi wydanie pierwsze w języku polskim, opracowane na podstawie karty charakterystyki SDS producenta z dnia 14.02.2025 r.</w:t>
      </w:r>
    </w:p>
    <w:p>
      <w:pPr>
        <w:spacing w:after="80"/>
      </w:pPr>
      <w:r>
        <w:rPr>
          <w:rFonts w:ascii="Arial" w:cs="Arial" w:eastAsia="Arial" w:hAnsi="Arial"/>
          <w:sz w:val="20"/>
          <w:szCs w:val="20"/>
        </w:rPr>
        <w:t xml:space="preserve">Aktualizacja została sporządzona i dostosowana zgodnie z wymogami Rozporządzenia Komisji (UE) 2020/878 z dnia 18 czerwca 2020 r. zmieniającego załącznik II do rozporządzenia (WE) nr 1907/2006 (REACH) oraz przepisami prawa Rzeczypospolitej Polskiej.</w:t>
      </w:r>
    </w:p>
    <w:p>
      <w:pPr>
        <w:spacing w:after="80"/>
      </w:pPr>
      <w:r>
        <w:rPr>
          <w:rFonts w:ascii="Arial" w:cs="Arial" w:eastAsia="Arial" w:hAnsi="Arial"/>
          <w:sz w:val="20"/>
          <w:szCs w:val="20"/>
        </w:rPr>
        <w:t xml:space="preserve">Główne zmiany wprowadzone w bieżącej wersji obejmują:</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danych dostawcy karty w Rzeczypospolitej Polskiej na ITALLUX Sp. z o.o. (ul. Wesoła 16, 63-600 Kępno, www.prostozwloch.pl).</w:t>
      </w:r>
    </w:p>
    <w:p>
      <w:pPr>
        <w:spacing w:after="60" w:before="60"/>
      </w:pPr>
      <w:r>
        <w:rPr>
          <w:rFonts w:ascii="Arial" w:cs="Arial" w:eastAsia="Arial" w:hAnsi="Arial"/>
          <w:b/>
          <w:bCs/>
          <w:sz w:val="20"/>
          <w:szCs w:val="20"/>
        </w:rPr>
        <w:t xml:space="preserve">- Sekcja 8.1:</w:t>
      </w:r>
      <w:r>
        <w:rPr>
          <w:rFonts w:ascii="Arial" w:cs="Arial" w:eastAsia="Arial" w:hAnsi="Arial"/>
          <w:sz w:val="20"/>
          <w:szCs w:val="20"/>
        </w:rPr>
        <w:t xml:space="preserve"> Weryfikacja i implementacja krajowych norm higienicznych w środowisku pracy (NDS, NDSCh) na podstawie Rozporządzenia MRPiPS (Dz.U. 2018 poz. 1286 z późn. zm.).</w:t>
      </w:r>
    </w:p>
    <w:p>
      <w:pPr>
        <w:spacing w:after="60" w:before="60"/>
      </w:pPr>
      <w:r>
        <w:rPr>
          <w:rFonts w:ascii="Arial" w:cs="Arial" w:eastAsia="Arial" w:hAnsi="Arial"/>
          <w:b/>
          <w:bCs/>
          <w:sz w:val="20"/>
          <w:szCs w:val="20"/>
        </w:rPr>
        <w:t xml:space="preserve">- Sekcja 11.2 i 12.6:</w:t>
      </w:r>
      <w:r>
        <w:rPr>
          <w:rFonts w:ascii="Arial" w:cs="Arial" w:eastAsia="Arial" w:hAnsi="Arial"/>
          <w:sz w:val="20"/>
          <w:szCs w:val="20"/>
        </w:rPr>
        <w:t xml:space="preserve"> Wdrożenie obligatoryjnych podsekcji dotyczących właściwości zaburzających funkcjonowanie układu hormonalnego.</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klasyfikacji i 6-cyfrowych kodów odpadów zgodnie z ustawą o odpadach i Dz.U. 2020 poz. 10.</w:t>
      </w:r>
    </w:p>
    <w:p>
      <w:pPr>
        <w:spacing w:after="60" w:before="60"/>
      </w:pPr>
      <w:r>
        <w:rPr>
          <w:rFonts w:ascii="Arial" w:cs="Arial" w:eastAsia="Arial" w:hAnsi="Arial"/>
          <w:b/>
          <w:bCs/>
          <w:sz w:val="20"/>
          <w:szCs w:val="20"/>
        </w:rPr>
        <w:t xml:space="preserve">- Sekcja 14:</w:t>
      </w:r>
      <w:r>
        <w:rPr>
          <w:rFonts w:ascii="Arial" w:cs="Arial" w:eastAsia="Arial" w:hAnsi="Arial"/>
          <w:sz w:val="20"/>
          <w:szCs w:val="20"/>
        </w:rPr>
        <w:t xml:space="preserve"> Weryfikacja i zharmonizowanie warunków przewozu zgodnie z Umową ADR.</w:t>
      </w:r>
    </w:p>
    <w:p>
      <w:pPr>
        <w:spacing w:after="80" w:before="150"/>
      </w:pPr>
      <w:r>
        <w:rPr>
          <w:rFonts w:ascii="Arial" w:cs="Arial" w:eastAsia="Arial" w:hAnsi="Arial"/>
          <w:b/>
          <w:bCs/>
          <w:sz w:val="20"/>
          <w:szCs w:val="20"/>
        </w:rPr>
        <w:t xml:space="preserve">Klauzula prawna i ochrona praw autorskich:</w:t>
      </w:r>
    </w:p>
    <w:p>
      <w:pPr>
        <w:spacing w:after="80"/>
      </w:pPr>
      <w:r>
        <w:rPr>
          <w:rFonts w:ascii="Arial" w:cs="Arial" w:eastAsia="Arial" w:hAnsi="Arial"/>
          <w:sz w:val="20"/>
          <w:szCs w:val="20"/>
        </w:rPr>
        <w:t xml:space="preserve">Niniejsze autorskie opracowanie tłumaczenia, formatowania oraz adaptacji regulacyjnej do prawa polskiego stanowi własność intelektualną firmy ITALLUX Sp. z o.o.. Kopiowanie i wykorzystywanie całości lub fragmentów w celach komercyjnych przez podmioty trzecie bez uprzedniej zgody właściciela jest zabronione. Dozwolone jest wykorzystanie dokumentu przez odbiorców w łańcuchu dostaw do celów bezpieczeństwa pracy i ochrony zdrowia.</w:t>
      </w:r>
    </w:p>
    <w:p>
      <w:pPr>
        <w:spacing w:after="80"/>
      </w:pPr>
      <w:r>
        <w:rPr>
          <w:rFonts w:ascii="Arial" w:cs="Arial" w:eastAsia="Arial" w:hAnsi="Arial"/>
          <w:sz w:val="20"/>
          <w:szCs w:val="2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E5E7EB" w:sz="4" w:space="4"/>
      </w:pBdr>
      <w:spacing w:before="120"/>
      <w:jc w:val="right"/>
    </w:pPr>
    <w:r>
      <w:rPr>
        <w:rFonts w:ascii="Arial" w:cs="Arial" w:eastAsia="Arial" w:hAnsi="Arial"/>
        <w:color w:val="555555"/>
        <w:sz w:val="16"/>
        <w:szCs w:val="16"/>
      </w:rPr>
      <w:t xml:space="preserve">Dystrybutor: ITALLUX Sp. z o.o. | </w:t>
    </w:r>
    <w:r>
      <w:rPr>
        <w:rFonts w:ascii="Arial" w:cs="Arial" w:eastAsia="Arial" w:hAnsi="Arial"/>
        <w:color w:val="555555"/>
        <w:sz w:val="16"/>
        <w:szCs w:val="16"/>
      </w:rPr>
      <w:t xml:space="preserve">Strona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z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E5E7EB" w:sz="4" w:space="4"/>
      </w:pBdr>
      <w:spacing w:after="120"/>
      <w:jc w:val="right"/>
    </w:pPr>
    <w:r>
      <w:rPr>
        <w:rFonts w:ascii="Arial" w:cs="Arial" w:eastAsia="Arial" w:hAnsi="Arial"/>
        <w:color w:val="555555"/>
        <w:sz w:val="16"/>
        <w:szCs w:val="16"/>
      </w:rPr>
      <w:t xml:space="preserve">KARTA CHARAKTERYSTYKI | SWEET HOME - PROFUMATORE AMBIENTE ORCHIDEA E VANIGLIA V2 | Wersja: 1.0 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df4620fc619cfcec683facca7e88bc7fd37dd8.undefined"/><Relationship Id="rId10" Type="http://schemas.openxmlformats.org/officeDocument/2006/relationships/image" Target="media/ab3b38ff5aec5db8cf291d921b1836a765ff072f.undefined"/><Relationship Id="rId11" Type="http://schemas.openxmlformats.org/officeDocument/2006/relationships/image" Target="media/40ebfa5564939c27d85f5e4019dc884a31c847f6.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2026-09-15T13:15:48.577Z</dcterms:created>
  <dcterms:modified xsi:type="dcterms:W3CDTF">2026-09-15T13:15:48.579Z</dcterms:modified>
</cp:coreProperties>
</file>

<file path=docProps/custom.xml><?xml version="1.0" encoding="utf-8"?>
<Properties xmlns="http://schemas.openxmlformats.org/officeDocument/2006/custom-properties" xmlns:vt="http://schemas.openxmlformats.org/officeDocument/2006/docPropsVTypes"/>
</file>