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LAYALI - PROFUMA TESSUTI E AMBIENTE NAJMA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produktu:</w:t>
      </w:r>
      <w:r>
        <w:rPr>
          <w:rFonts w:ascii="Arial" w:cs="Arial" w:eastAsia="Arial" w:hAnsi="Arial"/>
          <w:sz w:val="20"/>
          <w:szCs w:val="20"/>
        </w:rPr>
        <w:t xml:space="preserve"> BLK2084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Zastosowanie zidentyfikowane:</w:t>
      </w:r>
      <w:r>
        <w:rPr>
          <w:rFonts w:ascii="Arial" w:cs="Arial" w:eastAsia="Arial" w:hAnsi="Arial"/>
          <w:sz w:val="20"/>
          <w:szCs w:val="20"/>
        </w:rPr>
        <w:t xml:space="preserve"> Zastosowanie konsumenckie: perfumy do tkanin i prania.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Nie stosować do celów innych niż wskazane.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Producent / Podmiot wprowadzający do obrotu: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SUAREZ COMPANY S.R.L.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Via Pergolesi, 1, 20811 Cesano Maderno (MI) - Włochy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Tel. +39 0362659766 | www.suarezcompany.it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 osoby odpowiedzialnej: info@suarezcompany.it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Dystrybutor w Polsce: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 | Tel.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producenta:</w:t>
      </w:r>
      <w:r>
        <w:rPr>
          <w:rFonts w:ascii="Arial" w:cs="Arial" w:eastAsia="Arial" w:hAnsi="Arial"/>
          <w:sz w:val="20"/>
          <w:szCs w:val="20"/>
        </w:rPr>
        <w:t xml:space="preserve"> +39 0362659766 (w godzinach pracy biura, język włoski/angielski)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niebezpiecznych wraz z dodatkami nieniebezpiecznymi.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octan 4-tert-butylocykloheksylu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4-tert-butylcyclohexyl acetate)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32210-23-4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250-954-9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01-2119976286-24-XXXX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1B,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0,1 - &lt; 0,25 %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cynamonowy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cinnamaldehyde)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104-55-2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203-213-9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606-155-00-6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01-2119935242-45-XXXX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1A, H317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0.01%: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0,001 - &lt; 0,01 %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masa poreakcyjna 5-chloro-2-metylo-2H-izotiazol-3-onu i 2-metylo-2H-izotiazol-3-onu (3:1)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reaction mass of 5-chloro-2-methyl-2H-isothiazol-3-one and 2-methyl-2H-isothiazol-3-one (3:1))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55965-84-9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911-418-6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613-167-00-5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01-2120764691-48-XXXX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2, H330; Acute Tox. 2,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H310; Acute Tox. 3, H301;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Corr. 1C, H314; Eye Dam. 1,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H318; Skin Sens. 1A, H317;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ostra 1, H400; Stwarzające zagrożenie dla środowiska wodnego - kategoria przewlekła 1, H410, M (przewlekły) = 100,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 (ostry) = 100, EUH071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Skin Corr. 1C H314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Skin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Eye Dam. 1 H318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Eye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0.0015%: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0,00093 %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Zmyć natychmiast dużą ilością wody z mydłem.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wodą przy otwartych powiekach przez wystarczająco długi czas, następnie natychmiast skonsultować się z lekarzem okulistą. Usunąć soczewki kontaktowe, jeżeli są i można je łatwo usunąć.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wymiotów. Niezwłocznie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spokój. W przypadku wystąpienia objawów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szczegółowych informacji na temat objawów i skutków wywoływanych przez produkt.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Brak danych.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Gaśnica śniegowa (CO2), gaśnica proszkowa, piana gaśnicza, woda.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Niewłaściwe środki gaśnicze:</w:t>
      </w:r>
      <w:r>
        <w:rPr>
          <w:rFonts w:ascii="Arial" w:cs="Arial" w:eastAsia="Arial" w:hAnsi="Arial"/>
          <w:sz w:val="20"/>
          <w:szCs w:val="20"/>
        </w:rPr>
        <w:t xml:space="preserve"> Brak szczególnych.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Szczególne zagrożenia związane z substancją lub mieszaniną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Szczególne zagrożenia:</w:t>
      </w:r>
      <w:r>
        <w:rPr>
          <w:rFonts w:ascii="Arial" w:cs="Arial" w:eastAsia="Arial" w:hAnsi="Arial"/>
          <w:sz w:val="20"/>
          <w:szCs w:val="20"/>
        </w:rPr>
        <w:t xml:space="preserve"> Unikać wdychania produktów spalania.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Informacje dla straży pożarnej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ochrony strażaków:</w:t>
      </w:r>
      <w:r>
        <w:rPr>
          <w:rFonts w:ascii="Arial" w:cs="Arial" w:eastAsia="Arial" w:hAnsi="Arial"/>
          <w:sz w:val="20"/>
          <w:szCs w:val="20"/>
        </w:rPr>
        <w:t xml:space="preserve"> Gromadzić oddzielnie zanieczyszczoną wodę gaśniczą; nie dopuścić do jej przedostania się do kanalizacji. Stosować odzież ochronną dla strażaków zgodną z normą europejską EN 469 oraz autonomiczny aparat oddechowy (SCBA) z rękawicami odpornymi na chemikalia.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ostrożności, wyposażenie ochronne i procedury w sytuacjach awaryjnych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nienależących do personelu udzielającego pomocy:</w:t>
      </w:r>
      <w:r>
        <w:rPr>
          <w:rFonts w:ascii="Arial" w:cs="Arial" w:eastAsia="Arial" w:hAnsi="Arial"/>
          <w:sz w:val="20"/>
          <w:szCs w:val="20"/>
        </w:rPr>
        <w:t xml:space="preserve"> Stosować środki ochrony indywidualnej. Ewakuować osoby w bezpieczne miejsce. Patrz środki ochronne w punkcie 7 i 8.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udzielających pomocy:</w:t>
      </w:r>
      <w:r>
        <w:rPr>
          <w:rFonts w:ascii="Arial" w:cs="Arial" w:eastAsia="Arial" w:hAnsi="Arial"/>
          <w:sz w:val="20"/>
          <w:szCs w:val="20"/>
        </w:rPr>
        <w:t xml:space="preserve"> Stosować środki ochrony indywidualnej.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Środki ostrożności w zakresie ochrony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dopuścić do przedostania się do gleby/podglebia. Nie dopuścić do przedostania się do wód powierzchniowych ani kanalizacji. Zatrzymać zanieczyszczoną wodę z mycia i przekazać do utylizacji. W przypadku wycieku gazu lub przedostania się do cieków wodnych, gleby lub kanalizacji powiadomić właściwe władze.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6.3. Metody i materiały zapobiegające rozprzestrzenianiu się skażenia i służące do usuwania skażenia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 materiał do zbierania:</w:t>
      </w:r>
      <w:r>
        <w:rPr>
          <w:rFonts w:ascii="Arial" w:cs="Arial" w:eastAsia="Arial" w:hAnsi="Arial"/>
          <w:sz w:val="20"/>
          <w:szCs w:val="20"/>
        </w:rPr>
        <w:t xml:space="preserve"> materiał pochłaniający, organiczny, piasek. Zmyć dużą ilością wody.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6.4. Odniesienia do innych sekcji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Patrz również sekcja 8 i 13.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ostrożności:</w:t>
      </w:r>
      <w:r>
        <w:rPr>
          <w:rFonts w:ascii="Arial" w:cs="Arial" w:eastAsia="Arial" w:hAnsi="Arial"/>
          <w:sz w:val="20"/>
          <w:szCs w:val="20"/>
        </w:rPr>
        <w:t xml:space="preserve"> Unikać kontaktu ze skórą i oczami oraz wdychania par i mgieł. Patrz również sekcja 8 w celu zapoznania się z zalecanym sprzętem ochrony osobistej.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ogólnej higieny pracy:</w:t>
      </w:r>
      <w:r>
        <w:rPr>
          <w:rFonts w:ascii="Arial" w:cs="Arial" w:eastAsia="Arial" w:hAnsi="Arial"/>
          <w:sz w:val="20"/>
          <w:szCs w:val="20"/>
        </w:rPr>
        <w:t xml:space="preserve"> Nie jeść i nie pić podczas pracy.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 Warunki bezpiecznego magazynowania, w tym informacje dotyczące wszelkich wzajemnych niezgodności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Materiały niezgodne:</w:t>
      </w:r>
      <w:r>
        <w:rPr>
          <w:rFonts w:ascii="Arial" w:cs="Arial" w:eastAsia="Arial" w:hAnsi="Arial"/>
          <w:sz w:val="20"/>
          <w:szCs w:val="20"/>
        </w:rPr>
        <w:t xml:space="preserve"> Brak szczególnych.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Wskazówki dotyczące pomieszczeń magazynowych:</w:t>
      </w:r>
      <w:r>
        <w:rPr>
          <w:rFonts w:ascii="Arial" w:cs="Arial" w:eastAsia="Arial" w:hAnsi="Arial"/>
          <w:sz w:val="20"/>
          <w:szCs w:val="20"/>
        </w:rPr>
        <w:t xml:space="preserve"> Pomieszczenia odpowiednio wentylowane.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 Szczególne zastosowanie(-a) końcowe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szczególnych.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Rozwiązania specyficzne dla sektora przemysłowego:</w:t>
      </w:r>
      <w:r>
        <w:rPr>
          <w:rFonts w:ascii="Arial" w:cs="Arial" w:eastAsia="Arial" w:hAnsi="Arial"/>
          <w:sz w:val="20"/>
          <w:szCs w:val="20"/>
        </w:rPr>
        <w:t xml:space="preserve"> Brak szczególnych.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Algorytm zablokował zagraniczne limity OEL/MAK/TLV.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KRYTYCZNE: Safety Assessor ma obowiązek uzupełnić poniższe wartości o polskie limity NDS, NDSCh, NDSP zgodnie z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 32210-23-4: Brak określonych krajowych wartości najwyższych dopuszczalnych stężeń (NDS, NDSCh, NDSP) w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 104-55-2: Brak określonych krajowych wartości najwyższych dopuszczalnych stężeń (NDS, NDSCh, NDSP) w Dz.U. 2018 poz. 1286.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 55965-84-9: Brak określonych krajowych wartości najwyższych dopuszczalnych stężeń (NDS, NDSCh, NDSP) w Dz.U. 2018 poz. 1286.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Ochrona rąk: Rękawice ochronne zgodne z normą EN 374. Ochrona oczu: Okulary ochronne (EN 166).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2026-09-11T13:28:30.914Z</dcterms:created>
  <dcterms:modified xsi:type="dcterms:W3CDTF">2026-09-11T13:28:30.917Z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