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15.09.2026</w:t>
      </w:r>
      <w:r>
        <w:rPr>
          <w:sz w:val="16"/>
          <w:szCs w:val="16"/>
        </w:rPr>
        <w:t xml:space="preserve">
Wersja: 2.0 / PL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- PROFUMATORE AMBIENTE ORCHIDEA E VANIGLIA V2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1JUA-J3HY-KX04-SM29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Zastosowanie: Odświeżacz powietrza (dyfuzor zapachowy).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Brak.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Firma:</w:t>
      </w:r>
      <w:r>
        <w:rPr>
          <w:rFonts w:ascii="Arial" w:cs="Arial" w:eastAsia="Arial" w:hAnsi="Arial"/>
          <w:sz w:val="20"/>
          <w:szCs w:val="20"/>
        </w:rPr>
        <w:t xml:space="preserve"> ITALLUX Sp. z o.o.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Adres:</w:t>
      </w:r>
      <w:r>
        <w:rPr>
          <w:rFonts w:ascii="Arial" w:cs="Arial" w:eastAsia="Arial" w:hAnsi="Arial"/>
          <w:sz w:val="20"/>
          <w:szCs w:val="20"/>
        </w:rPr>
        <w:t xml:space="preserve"> ul. Wesoła 16, 63-600 Kępno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Strona www:</w:t>
      </w:r>
      <w:r>
        <w:rPr>
          <w:rFonts w:ascii="Arial" w:cs="Arial" w:eastAsia="Arial" w:hAnsi="Arial"/>
          <w:sz w:val="20"/>
          <w:szCs w:val="20"/>
        </w:rPr>
        <w:t xml:space="preserve"> www.prostozwloch.pl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E-mail:</w:t>
      </w:r>
      <w:r>
        <w:rPr>
          <w:rFonts w:ascii="Arial" w:cs="Arial" w:eastAsia="Arial" w:hAnsi="Arial"/>
          <w:sz w:val="20"/>
          <w:szCs w:val="20"/>
        </w:rPr>
        <w:t xml:space="preserve"> kontakt@prostozwloch.pl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Telefon:</w:t>
      </w:r>
      <w:r>
        <w:rPr>
          <w:rFonts w:ascii="Arial" w:cs="Arial" w:eastAsia="Arial" w:hAnsi="Arial"/>
          <w:sz w:val="20"/>
          <w:szCs w:val="20"/>
        </w:rPr>
        <w:t xml:space="preserve">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alarmowy przedsiębiorstwa:</w:t>
      </w:r>
      <w:r>
        <w:rPr>
          <w:rFonts w:ascii="Arial" w:cs="Arial" w:eastAsia="Arial" w:hAnsi="Arial"/>
          <w:sz w:val="20"/>
          <w:szCs w:val="20"/>
        </w:rPr>
        <w:t xml:space="preserve"> +48 663116607 (czynny od poniedziałku do piątku w godzinach 8:00 – 16:00, informacja udzielana w języku polskim)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Informacja toksykologiczna w Polsce (organ doradczy):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Centrum Informacji Toksykologicznej (Instytut Medycyny Pracy im. prof. J. Nofera w Łodzi):</w:t>
      </w:r>
      <w:r>
        <w:rPr>
          <w:rFonts w:ascii="Arial" w:cs="Arial" w:eastAsia="Arial" w:hAnsi="Arial"/>
          <w:sz w:val="20"/>
          <w:szCs w:val="20"/>
        </w:rPr>
        <w:t xml:space="preserve"> tel. +48 42 631 47 24, +48 42 631 47 25 (czynne w dni robocze w godz. 7:00 – 15:00)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Ośrodek Informacji Toksykologicznej w Warszawie (całodobowa informacja toksykologiczna 24/7):</w:t>
      </w:r>
      <w:r>
        <w:rPr>
          <w:rFonts w:ascii="Arial" w:cs="Arial" w:eastAsia="Arial" w:hAnsi="Arial"/>
          <w:sz w:val="20"/>
          <w:szCs w:val="20"/>
        </w:rPr>
        <w:t xml:space="preserve"> tel. +48 22 619 66 54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Ogólne telefony ratunkowe w nagłych wypadkach:</w:t>
      </w:r>
      <w:r>
        <w:rPr>
          <w:rFonts w:ascii="Arial" w:cs="Arial" w:eastAsia="Arial" w:hAnsi="Arial"/>
          <w:sz w:val="20"/>
          <w:szCs w:val="20"/>
        </w:rPr>
        <w:t xml:space="preserve"> 112 (ogólnoeuropejski numer alarmowy), 998 (straż pożarna), 999 (pogotowie ratunkowe)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Flam. Liq. 2 (Substancja ciekła łatwopalna,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Eye Irrit. 2 (Działanie drażniące na oczy,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zagrożenia: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GHS02, GHS07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Hasło ostrzegawcze: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Niebezpieczeństwo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Nazwy niebezpiecznych substancji wymienione na etykiecie: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rodzaj zagrożenia: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środki ostrożności: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P210 Przechowywać z dala od źródeł ciepła, gorących powierzchni, źródeł iskrzenia, otwartego ognia i innych źródeł zapłonu. Nie palić.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P305+P351+P338 W PRZYPADKU DOSTANIA SIĘ DO OCZU: Ostrożnie płukać wodą przez kilka minut. Wyjąć soczewki kontaktowe, jeżeli są i można je łatwo usunąć. Nadal płukać.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P337+P313 W przypadku utrzymywania się działania drażniącego na oczy: Zasięgnąć porady/zgłosić się pod opiekę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P501 Zawartość/pojemnik usuwać do odpowiednio oznakowanych pojemników na odpady zgodnie z krajowymi przepisami.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uzupełniające: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 kumarynę (2H-chromen-2-on).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stwarzających zagrożenie wraz z dodatkami niesklasyfikowanymi.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etanol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ETHANOL)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64-17-5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200-578-6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603-002-00-5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01-2119457610-43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Eye Irrit. 2 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Eye Irrit. 2 H319: ≥ 50%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74 ≤ x &lt; 78 %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anyżowy (4-metoksybenzaldehyd)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ANISALDEHYDE)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123-11-5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204-602-6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01-2119977101-43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Repr. 2 H361fd, Stwarzające zagrożenie dla środowiska wodnego - kategoria przewlekła 3 H412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0,7 ≤ x &lt; 0,8 %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kumaryna (2H-chromen-2-on)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2H-CHROMEN-2-ONE)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91-64-5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202-086-7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01-2119943756-26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4 H302, Skin Sens. 1 H317, Stwarzające zagrożenie dla środowiska wodnego - kategoria przewlekła 3 H412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 (droga pokarmowa) = 500 mg/kg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0,4 ≤ x &lt; 0,45 %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2,6-di-tert-butylo-4-metylofenol (BHT)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2,6-di-tert-butyl-p-cresol)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128-37-0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204-881-4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01-2119565113-46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przewlekła 1 H410 M = 1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≤ x &lt; 0,15 %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toluen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toluene)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108-88-3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203-625-9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601-021-00-3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01-2119471310-51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Repr. 2 H361d, Asp. Tox. 1 H304, Działanie toksyczne na narządy docelowe – narażenie powtarzane 2 H373,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Irrit. 2 H315, Działanie toksyczne na narządy docelowe – narażenie jednorazowe 3 H336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x &lt; 0,05 %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wdychania: wyprowadzić poszkodowanego na świeże powietrze.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dwutlenek węgla.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usunąć wszelkie źródła zapłonu.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postępowania: unikać kontaktu z oczami i skórą.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wartości najwyższych dopuszczalnych stężeń w środowisku pracy (Polska – Dz.U. 2018 poz. 1286 z późn. zm., w tym Dz.U. 2024 poz. 1017):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1900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[CAS: 128-37-0]: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NDSCh: 200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Uwagi: oznakowanie substancji notacją „skóra”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Niemcy (AGW) / Austria (MAK): 380 mg/m³ (200 ppm) / 960 mg/m³ (500 ppm).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 oraz 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etanol [CAS: 64-17-5]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87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114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950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206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343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słodka:0,96mg/l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morska:0,79mg/l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słodkowodne:3,6mg/kg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morskie:2,9mg/kg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okresowe):2,75mg/l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(STP):580mg/l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wtórne):0,38mg/kg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(gleba):0,63mg/kg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aldehyd anyżowy (4-metoksybenzaldehyd) [CAS: 123-11-5]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2,5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4,35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14,7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4,2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6,9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słodka:0,081mg/l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(STP):4,5mg/l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(gleba):0,0967mg/kg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kumaryna (2H-chromen-2-on) [CAS: 91-64-5]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0,39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1,69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6,78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0,39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0,79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okresowe):0,0142mg/l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(STP):6,4mg/l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wtórne):30,7mg/kg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(gleba):0,018mg/kg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2,6-di-tert-butylo-4-metylofenol (BHT) [CAS: 128-37-0]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0,25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0,86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3,5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0,25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0,5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morska:0,02 μg/l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(STP):0,17mg/l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wtórne):8,33mg/kg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(gleba):0,04769mg/kg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toluen [CAS: 108-88-3]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8,13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Konsumenci: ostre miejscowe: 226 mg/m³, ostre układowe: 226 mg/m³, przewlekłe miejscowe: 56,5 mg/m³, przewlekłe układowe: 56,5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Pracownicy: ostre miejscowe: 384 mg/m³, ostre układowe: 384 mg/m³, przewlekłe miejscowe: 192 mg/m³, przewlekłe układowe: 192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226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384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(STP):13,61mg/l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wtórne):2,89mg/kg soil dw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Nosić okulary ochronne w szczelnej obudowie lub gogle ochronne zgodne z normą PN-EN 166.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Stosować odpowiednią odzież roboczą chroniącą przed kontaktem z chemikaliami.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Stosować rękawice ochronne odporne na działanie chemikaliów (np. z kauczuku nitrylowego lub neoprenu) zgodne z normą PN-EN ISO 374-1. Czas przebicia i grubość materiału należy skonsultować z dostawcą rękawic.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W normalnych warunkach stosowania przy właściwej wentylacji nie jest wymagana. W przypadku niedostatecznej wentylacji lub przekroczenia dopuszczalnych stężeń NDS stosować odpowiedni sprzęt ochrony dróg oddechowych z pochłaniaczem par typu A (norma PN-EN 14387).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dopuścić do przedostania się dużych ilości produktu do kanalizacji, wód powierzchniowych ani gruntowych.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Zapewnić odpowiednią wentylację ogólną i miejscową na stanowiskach pracy. Myć ręce po zakończeniu pracy z produktem. Nie jeść i nie pić podczas stosowania.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 Informacje na temat podstawowych właściwości fizycznych i chemicznych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 skupienia:</w:t>
      </w:r>
      <w:r>
        <w:rPr>
          <w:rFonts w:ascii="Arial" w:cs="Arial" w:eastAsia="Arial" w:hAnsi="Arial"/>
          <w:sz w:val="20"/>
          <w:szCs w:val="20"/>
        </w:rPr>
        <w:t xml:space="preserve"> ciecz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Kolor:</w:t>
      </w:r>
      <w:r>
        <w:rPr>
          <w:rFonts w:ascii="Arial" w:cs="Arial" w:eastAsia="Arial" w:hAnsi="Arial"/>
          <w:sz w:val="20"/>
          <w:szCs w:val="20"/>
        </w:rPr>
        <w:t xml:space="preserve"> różowy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Zapach:</w:t>
      </w:r>
      <w:r>
        <w:rPr>
          <w:rFonts w:ascii="Arial" w:cs="Arial" w:eastAsia="Arial" w:hAnsi="Arial"/>
          <w:sz w:val="20"/>
          <w:szCs w:val="20"/>
        </w:rPr>
        <w:t xml:space="preserve"> charakterystyczny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topnienia/krzepnięcia:</w:t>
      </w:r>
      <w:r>
        <w:rPr>
          <w:rFonts w:ascii="Arial" w:cs="Arial" w:eastAsia="Arial" w:hAnsi="Arial"/>
          <w:sz w:val="20"/>
          <w:szCs w:val="20"/>
        </w:rPr>
        <w:t xml:space="preserve"> -114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wrzenia lub początkowa temperatura wrzenia i zakres temperatur wrzenia:</w:t>
      </w:r>
      <w:r>
        <w:rPr>
          <w:rFonts w:ascii="Arial" w:cs="Arial" w:eastAsia="Arial" w:hAnsi="Arial"/>
          <w:sz w:val="20"/>
          <w:szCs w:val="20"/>
        </w:rPr>
        <w:t xml:space="preserve"> 78,5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Palność materiałów:</w:t>
      </w:r>
      <w:r>
        <w:rPr>
          <w:rFonts w:ascii="Arial" w:cs="Arial" w:eastAsia="Arial" w:hAnsi="Arial"/>
          <w:sz w:val="20"/>
          <w:szCs w:val="20"/>
        </w:rPr>
        <w:t xml:space="preserve"> ciecz łatwopalna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Dolna i górna granica wybuchowości:</w:t>
      </w:r>
      <w:r>
        <w:rPr>
          <w:rFonts w:ascii="Arial" w:cs="Arial" w:eastAsia="Arial" w:hAnsi="Arial"/>
          <w:sz w:val="20"/>
          <w:szCs w:val="20"/>
        </w:rPr>
        <w:t xml:space="preserve"> Dolna granica wybuchowości (DGW): 3,3 % (v/v); Górna granica wybuchowości (GGW): 19 % (v/v)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zapłonu:</w:t>
      </w:r>
      <w:r>
        <w:rPr>
          <w:rFonts w:ascii="Arial" w:cs="Arial" w:eastAsia="Arial" w:hAnsi="Arial"/>
          <w:sz w:val="20"/>
          <w:szCs w:val="20"/>
        </w:rPr>
        <w:t xml:space="preserve"> 18,7 °C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samozapłonu:</w:t>
      </w:r>
      <w:r>
        <w:rPr>
          <w:rFonts w:ascii="Arial" w:cs="Arial" w:eastAsia="Arial" w:hAnsi="Arial"/>
          <w:sz w:val="20"/>
          <w:szCs w:val="20"/>
        </w:rPr>
        <w:t xml:space="preserve"> 363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rozkładu:</w:t>
      </w:r>
      <w:r>
        <w:rPr>
          <w:rFonts w:ascii="Arial" w:cs="Arial" w:eastAsia="Arial" w:hAnsi="Arial"/>
          <w:sz w:val="20"/>
          <w:szCs w:val="20"/>
        </w:rPr>
        <w:t xml:space="preserve"> nie określono (substancje mogą ulegać rozkładowi)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pH:</w:t>
      </w:r>
      <w:r>
        <w:rPr>
          <w:rFonts w:ascii="Arial" w:cs="Arial" w:eastAsia="Arial" w:hAnsi="Arial"/>
          <w:sz w:val="20"/>
          <w:szCs w:val="20"/>
        </w:rPr>
        <w:t xml:space="preserve"> 5 - 8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Lepkość kinematyczna:</w:t>
      </w:r>
      <w:r>
        <w:rPr>
          <w:rFonts w:ascii="Arial" w:cs="Arial" w:eastAsia="Arial" w:hAnsi="Arial"/>
          <w:sz w:val="20"/>
          <w:szCs w:val="20"/>
        </w:rPr>
        <w:t xml:space="preserve"> 1,5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wodzie:</w:t>
      </w:r>
      <w:r>
        <w:rPr>
          <w:rFonts w:ascii="Arial" w:cs="Arial" w:eastAsia="Arial" w:hAnsi="Arial"/>
          <w:sz w:val="20"/>
          <w:szCs w:val="20"/>
        </w:rPr>
        <w:t xml:space="preserve"> rozpuszczalny w wodzie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innych rozpuszczalnikach:</w:t>
      </w:r>
      <w:r>
        <w:rPr>
          <w:rFonts w:ascii="Arial" w:cs="Arial" w:eastAsia="Arial" w:hAnsi="Arial"/>
          <w:sz w:val="20"/>
          <w:szCs w:val="20"/>
        </w:rPr>
        <w:t xml:space="preserve"> Nie dotyczy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Współczynnik podziału n-oktanol/woda (wartość współczynnika log):</w:t>
      </w:r>
      <w:r>
        <w:rPr>
          <w:rFonts w:ascii="Arial" w:cs="Arial" w:eastAsia="Arial" w:hAnsi="Arial"/>
          <w:sz w:val="20"/>
          <w:szCs w:val="20"/>
        </w:rPr>
        <w:t xml:space="preserve"> -0,35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Prężność pary:</w:t>
      </w:r>
      <w:r>
        <w:rPr>
          <w:rFonts w:ascii="Arial" w:cs="Arial" w:eastAsia="Arial" w:hAnsi="Arial"/>
          <w:sz w:val="20"/>
          <w:szCs w:val="20"/>
        </w:rPr>
        <w:t xml:space="preserve"> 5,9 kPa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Gęstość lub gęstość względna:</w:t>
      </w:r>
      <w:r>
        <w:rPr>
          <w:rFonts w:ascii="Arial" w:cs="Arial" w:eastAsia="Arial" w:hAnsi="Arial"/>
          <w:sz w:val="20"/>
          <w:szCs w:val="20"/>
        </w:rPr>
        <w:t xml:space="preserve"> 0,855 g/cm³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Względna gęstość pary:</w:t>
      </w:r>
      <w:r>
        <w:rPr>
          <w:rFonts w:ascii="Arial" w:cs="Arial" w:eastAsia="Arial" w:hAnsi="Arial"/>
          <w:sz w:val="20"/>
          <w:szCs w:val="20"/>
        </w:rPr>
        <w:t xml:space="preserve"> 1,6 (metoda: HSDB, 2015; INRS, 2011)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Charakterystyka cząsteczek:</w:t>
      </w:r>
      <w:r>
        <w:rPr>
          <w:rFonts w:ascii="Arial" w:cs="Arial" w:eastAsia="Arial" w:hAnsi="Arial"/>
          <w:sz w:val="20"/>
          <w:szCs w:val="20"/>
        </w:rPr>
        <w:t xml:space="preserve"> Nie dotyczy (produkt płynny)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 Inne informacje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Lotne Związki Organiczne (LZO / VOC):</w:t>
      </w:r>
      <w:r>
        <w:rPr>
          <w:rFonts w:ascii="Arial" w:cs="Arial" w:eastAsia="Arial" w:hAnsi="Arial"/>
          <w:sz w:val="20"/>
          <w:szCs w:val="20"/>
        </w:rPr>
        <w:t xml:space="preserve"> ok. 76–78% (ok. 663 g/l)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9.2.1. Informacje dotyczące klas zagrożenia fizycznego: Brak dodatkowych danych badawczych.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9.2.2. Inne właściwości bezpieczeństwa: Zawartość LZO (VOC): ok. 76–78% (ok. 663 g/l).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 zdefiniowanych w rozporządzeniu (WE) nr 1272/2008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Wobec braku danych doświadczalnych dla samego produktu, zagrożenia dla zdrowia ludzi oceniono na podstawie właściwości zawartych w nim substancji, stosując kryteria określone w obowiązujących przepisach dotyczących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związku z tym oceniając skutki toksykologiczne narażenia na produkt, należy wziąć pod uwagę stężenia poszczególnych substancji niebezpiecznych wskazanych w sekcji 3.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Metabolizm, toksykokinetyka, mechanizm działania i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informacji.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prawdopodobnych dróg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Pracownicy: przez drogi oddechowe (inhalacyjnie); kontakt ze skórą.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Konsumenci: spożycie skażonej żywności lub wody; wdychanie powietrza otoczenia; kontakt ze skórą z produktami zawierającymi substancję.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opóźnione, bezpośrednie oraz przewlekłe spowodowane krótko- i długotrwałym narażeniem: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 Działanie toksyczne na ośrodkowy i obwodowy układ nerwowy z encefalopatią i zapaleniem wielonerwowym; działanie drażniące na skórę, spojówki, rogówkę i układ oddechowy.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wzajemnego oddziaływania: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 Niektóre leki i inne substancje chemiczne mogą wchodzić w interakcje z metabolizmem toluenu.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Toksyczność ostra: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(mieszaniny, inhalacyjnie): Nie sklasyfikowano (brak istotnych składników o toksyczności wziewnej)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(mieszaniny, droga pokarmowa): Nie sklasyfikowano (obliczona wartość ATE mieszaniny znacznie przewyższa 2000 mg/kg mc.)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(mieszaniny, na skórę): Nie sklasyfikowano (brak istotnych składników o toksyczności skórnej)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toksykologiczne o składnikach: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pary, szczur): &gt; 50 mg/l/4h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[CAS: 123-11-5]: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3210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pary, szczur): 0,32 mg/l/7h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 [CAS: 91-64-5]: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293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290 mg/kg mc. (ATE do klasyfikacji mieszaniny: 500 mg/kg mc.)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pyły/mgły, szczur): 293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[CAS: 128-37-0]: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&gt; 2000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2930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(drogi oddechowe – pary, człowiek): 100 ppm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żrące/drażniące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Poważne uszkodzenie oczu/działanie drażniące na oczy: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 drażniąco na oczy (Eye Irrit. 2, H319).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uczulające na drogi oddechowe lub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zawiera kumarynę w stężeniu ≥ 0,1 % i może powodować wystąpienie reakcji alergicznej (EUH208). W oparciu o dostępne dane produkt nie spełnia kryteriów do sklasyfikowania jako działający uczulająco na skórę.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mutagenne na komórki rozrodcze: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Rakotwórczość: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został zaklasyfikowany do Grupy 3 (nie można zakwalifikować jako rakotwórczy dla ludzi) przez Międzynarodową Agencję Badań nad Rakiem (IARC, 1999). Agencja EPA wskazuje na brak wystarczających danych do oceny potencjału rakotwórczego.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Szkodliwe działanie na rozrodczość: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 (składniki o podejrzeniu takiego działania występują w stężeniach poniżej progów klasyfikacyjnych).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jednorazowe (STOT SE):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powtarzane (STOT RE):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Zagrożenie spowodowane aspiracją: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 Informacje o innych zagrożeniach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11.2.1. Właściwości zaburzające funkcjonowanie układu hormonalnego: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 podstawie dostępnych danych mieszanina nie zawiera substancji wpisanych do wykazu ustanowionego zgodnie z art. 59 ust. 1 rozporządzenia REACH ze względu na właściwości zaburzające gospodarkę hormonalną ani substancji o właściwościach zaburzających gospodarkę hormonalną u ludzi w stężeniu równym lub większym niż 0,1 % zgodnie z kryteriami określonymi w rozporządzeniach (UE) 2017/2100 lub (UE) 2018/605.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11.2.2.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innych istotnych informacji.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Stosować dobrą praktykę zawodową, unikając przedostawania się produktu do środowiska.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Właściwości ekotoksykologiczne mieszaniny: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dla środowiska.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danych doświadczalnych dla mieszaniny.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ekotoksykologiczne o składnikach: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(ryby):14200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(skorupiaki):454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wodne):275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ryby):250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skorupiaki):96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glony):11,5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(ryby):148,32 mg/l/(96 h) Leuciscus idus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(skorupiaki):82,8 mg/l/(48 h) Daphnia magna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wodne):81,11 mg/l/(72 h) Desmodesmus subspicatus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ryby):100 mg/l/(96 h) Leuciscus idus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(2H-chromen-2-on) (CAS: 91-64-5):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(ryby):1,324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(skorupiaki):8,012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wodne):1,452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ryby):0,119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skorupiaki):0,448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glony):0,408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(ryby):0,199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(skorupiaki):0,48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wodne):&gt; 0,4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ryby):0,053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skorupiaki):0,15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(ryby):5,5 mg/l/(96 h) Oncorhynchus kisutch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(skorupiaki):3,78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wodne):134 mg/l/(3 h) Chlorella vulgaris and Chlamydomonas angulosa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glony):10 mg/l/(72 h) Skeletonema costatum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12.2. Trwałość i zdolność do rozkładu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Szybko ulega degradacji (substancja łatwo biodegradowalna). Rozpuszczalność w wodzie: 1000 - 10000 mg/l.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 (2H-chromen-2-on) (CAS: 91-64-5):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Szybko ulega degradacji (substancja łatwo biodegradowalna). Rozpuszczalność w wodzie: 100 - 1000 mg/l.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trwałości i rozkładu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12.3. Zdolność do bioakumulacji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współczynnik podziału n-oktanol/woda (log Kow): -0,35.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n-oktanol/woda (log Kow): 5,1, współczynnik biokoncentracji BCF = 598,4.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n-oktanol/woda (log Kow): 2,73, współczynnik biokoncentracji BCF = 90.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bioakumulacji dla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12.4. Mobilność w glebie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współczynnik podziału gleba/woda (Koc): 1.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gleba/woda (Koc): 4,2.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gleba/woda (Koc): 2,31.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mobilności mieszaniny w glebie.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12.5. Wyniki oceny właściwości PBT i vPvB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spełniających kryteria PBT lub vPvB zgodnie z załącznikiem XIII do rozporządzenia REACH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12.6. Właściwości zaburzające funkcjonowanie układu hormonalnego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o właściwościach zaburzających funkcjonowanie układu hormonalnego w odniesieniu do środowiska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12.7. Inne szkodliwe skutki działania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są znane żadne inne szkodliwe skutki działania na środowisko (brak potencjału niszczenia warstwy ozonowej, tworzenia ozonu fotochemicznego ani wpływu na globalne ocieplenie).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produktu i pozostałości: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Odzyskać, jeśli to możliwe. Nie wprowadzać do kanalizacji, wód powierzchniowych, gruntowych ani gleby. Pozostałości produktu oraz odpady należy poddać odzyskowi lub unieszkodliwianiu w uprawnionych instalacjach (np. spalarniach termicznych lub wyspecjalizowanych zakładach utylizacji odpadów) posiadających stosowne zezwolenia na prowadzenie gospodarki odpadami zgodnie z obowiązującymi przepisami.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odpadów opakowaniowych: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Całkowicie opróżnione opakowania poddać procesowi odzysku lub recyklingu materiałowego w ramach selektywnej zbiórki odpadów. Opakowania zanieczyszczone pozostałościami produktu traktować zgodnie z ich stopniem skażenia – w przypadku substancji niebezpiecznych likwidować jak sam produkt u uprawnionego odbiorcy odpadów.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Klasyfikacja i kody odpadów (Katalog Odpadów Dz.U. 2020 poz. 10):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zastosowań profesjonalnych / przemysłowych): 16 03 05* (Organiczne odpady zawierające substancje niebezpieczne) lub 16 05 08* (Zużyte chemikalia zawierające substancje niebezpieczne).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konsumentów / odpady komunalne): 20 01 29* (Detergenty zawierające substancje niebezpieczne) lub 20 01 27*.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opakowaniowe: 15 01 02 (Opakowania z tworzyw sztucznych) [w przypadku opakowań zanieczyszczonych substancjami niebezpiecznymi: 15 01 10*].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Uwaga:</w:t>
      </w:r>
      <w:r>
        <w:rPr>
          <w:rFonts w:ascii="Arial" w:cs="Arial" w:eastAsia="Arial" w:hAnsi="Arial"/>
          <w:sz w:val="20"/>
          <w:szCs w:val="20"/>
        </w:rPr>
        <w:t xml:space="preserve"> Podane kody odpadów mają charakter zalecany. Szczegółowy i ostateczny kod odpadu musi zostać nadany bezpośrednio przez wytwórcę odpadu, w oparciu o miejsce, branżę i specyfikę jego powstawania (BDO).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i unijne akty prawne dotyczące gospodarki odpadami: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2008/98/WE z dnia 19 listopada 2008 r. w sprawie odpadów oraz uchylająca niektóre dyrektywy.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podlega przepisom dotyczącym międzynarodowego przewozu towarów niebezpiecznych (ADR/RID, IMDG, ICAO/IATA).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14.1. Numer UN lub numer identyfikacyjny 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 1170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14.2. Prawidłowa nazwa przewozowa UN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(ALKOHOL ETYLOWY) lub ETANOL W ROZTWORZE (ALKOHOL ETYLOWY W ROZTWORZE)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14.3. Klasa(-y) zagrożenia w transporcie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 / RID, IMDG, IATA: Klasa 3 (Materiały ciekłe zapalne)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Nalepka ostrzegawcza:</w:t>
      </w:r>
      <w:r>
        <w:rPr>
          <w:rFonts w:ascii="Arial" w:cs="Arial" w:eastAsia="Arial" w:hAnsi="Arial"/>
          <w:sz w:val="20"/>
          <w:szCs w:val="20"/>
        </w:rPr>
        <w:t xml:space="preserve"> Nr 3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14.4. Grupa pakowania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Grupa pakowania ADR / RID, IMDG, IATA:II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14.5. Zagrożenia dla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(produkt nie jest zaklasyfikowany jako stwarzający zagrożenie dla środowiska w transporcie).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14.6. Szczególne środki ostrożności dla użytkowników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Ilości ograniczone (LQ):</w:t>
      </w:r>
      <w:r>
        <w:rPr>
          <w:rFonts w:ascii="Arial" w:cs="Arial" w:eastAsia="Arial" w:hAnsi="Arial"/>
          <w:sz w:val="20"/>
          <w:szCs w:val="20"/>
        </w:rPr>
        <w:t xml:space="preserve"> 1 L</w:t>
      </w:r>
    </w:p>
    <w:p>
      <w:pPr>
        <w:spacing w:after="80" w:before="40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i/>
          <w:iCs/>
          <w:sz w:val="16"/>
          <w:szCs w:val="16"/>
        </w:rPr>
        <w:t xml:space="preserve">  Znak dla towarów pakowanych w ilościach ograniczonych (LQ) zgodnie z działem 3.4 Umowy ADR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ograniczeń przewozu przez tunele:</w:t>
      </w:r>
      <w:r>
        <w:rPr>
          <w:rFonts w:ascii="Arial" w:cs="Arial" w:eastAsia="Arial" w:hAnsi="Arial"/>
          <w:sz w:val="20"/>
          <w:szCs w:val="20"/>
        </w:rPr>
        <w:t xml:space="preserve"> (D/E)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Transportować w szczelnie zamkniętych, certyfikowanych opakowaniach, zabezpieczonych przed przemieszczaniem i uszkodzeniami mechanicznymi.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Kierowca powinien posiadać stosowne uprawnienia ADR oraz wymagane wyposażenie ochronne pojazdu.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14.7. Transport morski luzem zgodnie z instrumentami IMO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dotyczy (produkt nie jest przewożony luzem w chemikaliowcach morskich).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(WE) nr 1272/2008 z dnia 16 grudnia 2008 r. w sprawie klasyfikacji, oznakowania i pakowania substancji i mieszanin (CLP) z późniejszymi zmianami (kolejne 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Substancje wzbudzające szczególnie duże obawy (SVHC – REACH załącznik XIV): Mieszanina nie zawiera substancji z listy kandydackiej SVHC podlegających procedurze udzielania zezwoleń (REACH załącznik XIV) w stężeniu ≥ 0,1% wag.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Ograniczenia dotyczące produkcji, wprowadzania do obrotu i stosowania niektórych niebezpiecznych substancji (REACH załącznik XVII): Mieszanina nie podlega ograniczeniom na mocy załącznika XVII do rozporządzenia REACH.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2012/18/UE (Seveso III): Z uwagi na właściwości cieczy łatwopalnych produkt może kwalifikować się do przepisów dyrektywy po przekroczeniu ilości progowych [Kategoria P5a/P5b/P5c: 10 t / 50 t lub 5 000 t / 50 000 t w zależności od warunków magazynowania]. Kwalifikacja zakładu (ZZR/ZDR) należy do prowadzącego zakład.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(UE) nr 649/2012 z dnia 4 lipca 2012 r. dotyczące wywozu i przywozu niebezpiecznych chemikaliów (PIC): Nie dotyczy.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25 lutego 2011 r. o substancjach chemicznych i ich mieszaninach (t.j. Dz.U. 2022 poz. 1816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19 sierpnia 2011 r. o przewozie towarów niebezpiecznych (t.j. Dz.U. 2024 poz. 643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30 grudnia 2004 r. w sprawie bezpieczeństwa i higieny pracy związanej z występowaniem w miejscu pracy czynników chemicznych (t.j. Dz.U. 2016 poz. 1488).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2 lutego 2011 r. w sprawie badań i pomiarów czynników szkodliwych dla zdrowia w środowisku pracy (t.j. Dz.U. 2023 poz. 419).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26 czerwca 1974 r. – Kodeks pracy (t.j. Dz.U. 2023 poz. 1465 z późn. zm.).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15.2. Ocena bezpieczeństwa chemicznego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mieszaniny nie dokonano oceny bezpieczeństwa chemicznego (dla mieszanin nie jest ona wymagana zgodnie z art. 14 rozporządzenia REACH).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16: INNE INFORMACJE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Pełne brzmienie zwrotów H i EUH przytoczonych w sekcjach 2 i 3 karty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H225:</w:t>
      </w:r>
      <w:r>
        <w:rPr>
          <w:rFonts w:ascii="Arial" w:cs="Arial" w:eastAsia="Arial" w:hAnsi="Arial"/>
          <w:sz w:val="20"/>
          <w:szCs w:val="20"/>
        </w:rPr>
        <w:t xml:space="preserve"> Wysoce łatwopalna ciecz i pary.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H302:</w:t>
      </w:r>
      <w:r>
        <w:rPr>
          <w:rFonts w:ascii="Arial" w:cs="Arial" w:eastAsia="Arial" w:hAnsi="Arial"/>
          <w:sz w:val="20"/>
          <w:szCs w:val="20"/>
        </w:rPr>
        <w:t xml:space="preserve"> Działa szkodliwie po połknięciu.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H304:</w:t>
      </w:r>
      <w:r>
        <w:rPr>
          <w:rFonts w:ascii="Arial" w:cs="Arial" w:eastAsia="Arial" w:hAnsi="Arial"/>
          <w:sz w:val="20"/>
          <w:szCs w:val="20"/>
        </w:rPr>
        <w:t xml:space="preserve"> Połknięcie i dostanie się przez drogi oddechowe może grozić śmiercią.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H315:</w:t>
      </w:r>
      <w:r>
        <w:rPr>
          <w:rFonts w:ascii="Arial" w:cs="Arial" w:eastAsia="Arial" w:hAnsi="Arial"/>
          <w:sz w:val="20"/>
          <w:szCs w:val="20"/>
        </w:rPr>
        <w:t xml:space="preserve"> Działa drażniąco na skórę.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H317:</w:t>
      </w:r>
      <w:r>
        <w:rPr>
          <w:rFonts w:ascii="Arial" w:cs="Arial" w:eastAsia="Arial" w:hAnsi="Arial"/>
          <w:sz w:val="20"/>
          <w:szCs w:val="20"/>
        </w:rPr>
        <w:t xml:space="preserve"> Może powodować reakcję alergiczną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H319:</w:t>
      </w:r>
      <w:r>
        <w:rPr>
          <w:rFonts w:ascii="Arial" w:cs="Arial" w:eastAsia="Arial" w:hAnsi="Arial"/>
          <w:sz w:val="20"/>
          <w:szCs w:val="20"/>
        </w:rPr>
        <w:t xml:space="preserve"> Działa drażniąco na oczy.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H336:</w:t>
      </w:r>
      <w:r>
        <w:rPr>
          <w:rFonts w:ascii="Arial" w:cs="Arial" w:eastAsia="Arial" w:hAnsi="Arial"/>
          <w:sz w:val="20"/>
          <w:szCs w:val="20"/>
        </w:rPr>
        <w:t xml:space="preserve"> Może wywoływać uczucie senności lub zawroty głowy.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H361d:</w:t>
      </w:r>
      <w:r>
        <w:rPr>
          <w:rFonts w:ascii="Arial" w:cs="Arial" w:eastAsia="Arial" w:hAnsi="Arial"/>
          <w:sz w:val="20"/>
          <w:szCs w:val="20"/>
        </w:rPr>
        <w:t xml:space="preserve"> Podejrzewa się, że działa szkodliwie na dziecko w łonie matki.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H361fd: Podejrzewa się, że działa szkodliwie na płodność. Podejrzewa się, że działa szkodliwie na dziecko w łonie matki.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H373:</w:t>
      </w:r>
      <w:r>
        <w:rPr>
          <w:rFonts w:ascii="Arial" w:cs="Arial" w:eastAsia="Arial" w:hAnsi="Arial"/>
          <w:sz w:val="20"/>
          <w:szCs w:val="20"/>
        </w:rPr>
        <w:t xml:space="preserve"> Może powodować uszkodzenie narządów poprzez długotrwałe lub narażenie powtarzane.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H410:</w:t>
      </w:r>
      <w:r>
        <w:rPr>
          <w:rFonts w:ascii="Arial" w:cs="Arial" w:eastAsia="Arial" w:hAnsi="Arial"/>
          <w:sz w:val="20"/>
          <w:szCs w:val="20"/>
        </w:rPr>
        <w:t xml:space="preserve"> Działa bardzo toksycznie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H412:</w:t>
      </w:r>
      <w:r>
        <w:rPr>
          <w:rFonts w:ascii="Arial" w:cs="Arial" w:eastAsia="Arial" w:hAnsi="Arial"/>
          <w:sz w:val="20"/>
          <w:szCs w:val="20"/>
        </w:rPr>
        <w:t xml:space="preserve"> Działa szkodliwie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EUH208:</w:t>
      </w:r>
      <w:r>
        <w:rPr>
          <w:rFonts w:ascii="Arial" w:cs="Arial" w:eastAsia="Arial" w:hAnsi="Arial"/>
          <w:sz w:val="20"/>
          <w:szCs w:val="20"/>
        </w:rPr>
        <w:t xml:space="preserve"> Zawiera kumarynę (2H-chromen-2-on). Może powodować wystąpienie reakcji alergicznej.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Wykaz klas i kategorii zagrożenia przytoczonych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Acute Tox. 4:</w:t>
      </w:r>
      <w:r>
        <w:rPr>
          <w:rFonts w:ascii="Arial" w:cs="Arial" w:eastAsia="Arial" w:hAnsi="Arial"/>
          <w:sz w:val="20"/>
          <w:szCs w:val="20"/>
        </w:rPr>
        <w:t xml:space="preserve"> Toksyczność ostra, kategoria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1: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3: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Asp. Tox. 1:</w:t>
      </w:r>
      <w:r>
        <w:rPr>
          <w:rFonts w:ascii="Arial" w:cs="Arial" w:eastAsia="Arial" w:hAnsi="Arial"/>
          <w:sz w:val="20"/>
          <w:szCs w:val="20"/>
        </w:rPr>
        <w:t xml:space="preserve"> Zagrożenie spowodowane aspiracją,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Eye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oczy,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Flam. Liq. 2:</w:t>
      </w:r>
      <w:r>
        <w:rPr>
          <w:rFonts w:ascii="Arial" w:cs="Arial" w:eastAsia="Arial" w:hAnsi="Arial"/>
          <w:sz w:val="20"/>
          <w:szCs w:val="20"/>
        </w:rPr>
        <w:t xml:space="preserve"> Substancja ciekła łatwopalna, kategoria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Repr. 2: Działanie szkodliwe na rozrodczość,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RE 2: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powtarzane,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SE 3: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jednorazowe,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skórę,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Sens. 1:</w:t>
      </w:r>
      <w:r>
        <w:rPr>
          <w:rFonts w:ascii="Arial" w:cs="Arial" w:eastAsia="Arial" w:hAnsi="Arial"/>
          <w:sz w:val="20"/>
          <w:szCs w:val="20"/>
        </w:rPr>
        <w:t xml:space="preserve"> Działanie uczulające na skórę, kategoria 1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Objaśnienie skrótów i akronimów stosowanych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ADR:</w:t>
      </w:r>
      <w:r>
        <w:rPr>
          <w:rFonts w:ascii="Arial" w:cs="Arial" w:eastAsia="Arial" w:hAnsi="Arial"/>
          <w:sz w:val="20"/>
          <w:szCs w:val="20"/>
        </w:rPr>
        <w:t xml:space="preserve"> Umowa europejska dotycząca międzynarodowego przewozu drogowego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RID:</w:t>
      </w:r>
      <w:r>
        <w:rPr>
          <w:rFonts w:ascii="Arial" w:cs="Arial" w:eastAsia="Arial" w:hAnsi="Arial"/>
          <w:sz w:val="20"/>
          <w:szCs w:val="20"/>
        </w:rPr>
        <w:t xml:space="preserve"> Regulamin międzynarodowego przewozu kolejami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IMDG:</w:t>
      </w:r>
      <w:r>
        <w:rPr>
          <w:rFonts w:ascii="Arial" w:cs="Arial" w:eastAsia="Arial" w:hAnsi="Arial"/>
          <w:sz w:val="20"/>
          <w:szCs w:val="20"/>
        </w:rPr>
        <w:t xml:space="preserve"> Międzynarodowy morski kodeks towarów niebezpiecznych (International Maritime Dangerous Goods Code)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IATA:</w:t>
      </w:r>
      <w:r>
        <w:rPr>
          <w:rFonts w:ascii="Arial" w:cs="Arial" w:eastAsia="Arial" w:hAnsi="Arial"/>
          <w:sz w:val="20"/>
          <w:szCs w:val="20"/>
        </w:rPr>
        <w:t xml:space="preserve"> Międzynarodowe Zrzeszenie Przewoźników Powietrznych (International Air Transport Association)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ICAO:</w:t>
      </w:r>
      <w:r>
        <w:rPr>
          <w:rFonts w:ascii="Arial" w:cs="Arial" w:eastAsia="Arial" w:hAnsi="Arial"/>
          <w:sz w:val="20"/>
          <w:szCs w:val="20"/>
        </w:rPr>
        <w:t xml:space="preserve"> Organizacja Międzynarodowego Lotnictwa Cywilnego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CLP:</w:t>
      </w:r>
      <w:r>
        <w:rPr>
          <w:rFonts w:ascii="Arial" w:cs="Arial" w:eastAsia="Arial" w:hAnsi="Arial"/>
          <w:sz w:val="20"/>
          <w:szCs w:val="20"/>
        </w:rPr>
        <w:t xml:space="preserve"> Rozporządzenie (WE) nr 1272/2008 w sprawie klasyfikacji, oznakowania i pakowania substancji i mieszanin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REACH:</w:t>
      </w:r>
      <w:r>
        <w:rPr>
          <w:rFonts w:ascii="Arial" w:cs="Arial" w:eastAsia="Arial" w:hAnsi="Arial"/>
          <w:sz w:val="20"/>
          <w:szCs w:val="20"/>
        </w:rPr>
        <w:t xml:space="preserve"> Rozporządzenie (WE) nr 1907/2006 w sprawie rejestracji, oceny, udzielania zezwoleń i stosowanych ograniczeń w zakresie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GHS:</w:t>
      </w:r>
      <w:r>
        <w:rPr>
          <w:rFonts w:ascii="Arial" w:cs="Arial" w:eastAsia="Arial" w:hAnsi="Arial"/>
          <w:sz w:val="20"/>
          <w:szCs w:val="20"/>
        </w:rPr>
        <w:t xml:space="preserve"> Globalnie Zharmonizowany System Klasyfikacji i Oznakowania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CAS:</w:t>
      </w:r>
      <w:r>
        <w:rPr>
          <w:rFonts w:ascii="Arial" w:cs="Arial" w:eastAsia="Arial" w:hAnsi="Arial"/>
          <w:sz w:val="20"/>
          <w:szCs w:val="20"/>
        </w:rPr>
        <w:t xml:space="preserve"> Chemical Abstracts Service (unikalny numeryczny identyfikator substancji chemicznej)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WE:</w:t>
      </w:r>
      <w:r>
        <w:rPr>
          <w:rFonts w:ascii="Arial" w:cs="Arial" w:eastAsia="Arial" w:hAnsi="Arial"/>
          <w:sz w:val="20"/>
          <w:szCs w:val="20"/>
        </w:rPr>
        <w:t xml:space="preserve"> Numer Wspólnoty Europejskiej (oficjalny numer rejestracyjny substancji w UE: EINECS, ELINCS lub NLP)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na stanowisku pracy w ciągu 8-godzinnego dnia pracy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NDSCh: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chwilowe (czas ekspozycji do 15 minut)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NDSP: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pułapowe (wartość, która nie może być przekroczona w żadnym momencie)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Pochodny poziom niepowodujący zmian (Derived No-Effect Level)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Przewidywane stężenie niepowodujące zmian w środowisku (Predicted No-Effect Concentration)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Substancja trwała, wykazująca zdolność do bioakumulacji i toksyczna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vPvB:</w:t>
      </w:r>
      <w:r>
        <w:rPr>
          <w:rFonts w:ascii="Arial" w:cs="Arial" w:eastAsia="Arial" w:hAnsi="Arial"/>
          <w:sz w:val="20"/>
          <w:szCs w:val="20"/>
        </w:rPr>
        <w:t xml:space="preserve"> Substancja bardzo trwała i wykazująca bardzo dużą zdolność do bioakumulacji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SVHC:</w:t>
      </w:r>
      <w:r>
        <w:rPr>
          <w:rFonts w:ascii="Arial" w:cs="Arial" w:eastAsia="Arial" w:hAnsi="Arial"/>
          <w:sz w:val="20"/>
          <w:szCs w:val="20"/>
        </w:rPr>
        <w:t xml:space="preserve"> Substancje wzbudzające szczególnie duże obawy (Substances of Very High Concern)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Współczynnik biokoncentracji (Bioconcentration Factor)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 Kow:</w:t>
      </w:r>
      <w:r>
        <w:rPr>
          <w:rFonts w:ascii="Arial" w:cs="Arial" w:eastAsia="Arial" w:hAnsi="Arial"/>
          <w:sz w:val="20"/>
          <w:szCs w:val="20"/>
        </w:rPr>
        <w:t xml:space="preserve"> Współczynnik podziału n-oktanol/woda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LD50:</w:t>
      </w:r>
      <w:r>
        <w:rPr>
          <w:rFonts w:ascii="Arial" w:cs="Arial" w:eastAsia="Arial" w:hAnsi="Arial"/>
          <w:sz w:val="20"/>
          <w:szCs w:val="20"/>
        </w:rPr>
        <w:t xml:space="preserve"> Dawka śmiertelna dla 50% badanej populacji zwierząt laboratoryjnych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LC50:</w:t>
      </w:r>
      <w:r>
        <w:rPr>
          <w:rFonts w:ascii="Arial" w:cs="Arial" w:eastAsia="Arial" w:hAnsi="Arial"/>
          <w:sz w:val="20"/>
          <w:szCs w:val="20"/>
        </w:rPr>
        <w:t xml:space="preserve"> Stężenie śmiertelne dla 50% badanej populacji organizmów testowych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EC50:</w:t>
      </w:r>
      <w:r>
        <w:rPr>
          <w:rFonts w:ascii="Arial" w:cs="Arial" w:eastAsia="Arial" w:hAnsi="Arial"/>
          <w:sz w:val="20"/>
          <w:szCs w:val="20"/>
        </w:rPr>
        <w:t xml:space="preserve"> Stężenie wywołujące efekt u 50% badanej populacji testowej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NOEC:</w:t>
      </w:r>
      <w:r>
        <w:rPr>
          <w:rFonts w:ascii="Arial" w:cs="Arial" w:eastAsia="Arial" w:hAnsi="Arial"/>
          <w:sz w:val="20"/>
          <w:szCs w:val="20"/>
        </w:rPr>
        <w:t xml:space="preserve"> Najwyższe stężenie, przy którym nie obserwuje się statystycznie istotnych skutków (No Observed Effect Concentration)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SCL:</w:t>
      </w:r>
      <w:r>
        <w:rPr>
          <w:rFonts w:ascii="Arial" w:cs="Arial" w:eastAsia="Arial" w:hAnsi="Arial"/>
          <w:sz w:val="20"/>
          <w:szCs w:val="20"/>
        </w:rPr>
        <w:t xml:space="preserve"> Specyficzne stężenie graniczne (Specific Concentration Limit)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BDO:</w:t>
      </w:r>
      <w:r>
        <w:rPr>
          <w:rFonts w:ascii="Arial" w:cs="Arial" w:eastAsia="Arial" w:hAnsi="Arial"/>
          <w:sz w:val="20"/>
          <w:szCs w:val="20"/>
        </w:rPr>
        <w:t xml:space="preserve"> Baza danych o produktach i opakowaniach oraz o gospodarce odpadami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ECHA:</w:t>
      </w:r>
      <w:r>
        <w:rPr>
          <w:rFonts w:ascii="Arial" w:cs="Arial" w:eastAsia="Arial" w:hAnsi="Arial"/>
          <w:sz w:val="20"/>
          <w:szCs w:val="20"/>
        </w:rPr>
        <w:t xml:space="preserve"> Europejska Agencja Chemikaliów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Główne źródła literatury i danych: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Karty charakterystyki substancji składowych udostępnione przez producentów i dostawców surowców.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Europejskiej Agencji Chemikaliów (ECHA): https://echa.europa.eu/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PubChem National Library of Medicine: https://pubchem.ncbi.nlm.nih.gov/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Obowiązujące unijne i krajowe akty prawne (REACH, CLP, Dz.U. 2018 poz. 1286, Dz.U. 2023 poz. 1587).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i wskazówki szkoleniowe dla pracowników: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Przed przystąpieniem do pracy z produktem należy zapoznać się z treścią niniejszej karty charakterystyki oraz przepisami BHP obowiązującymi na stanowisku pracy. Pracownicy mający kontakt z produktem powinni zostać przeszkoleni w zakresie prawidłowego i bezpiecznego obchodzenia się z chemikaliami oraz postępowania w sytuacjach awaryjnych.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o zmianach i aktualizacji: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Niniejsza karta charakterystyki została opracowana i zaktualizowana zgodnie z wymogami Rozporządzenia Komisji (UE) 2020/878 z dnia 18 czerwca 2020 r. zmieniającego załącznik II do rozporządzenia (WE) nr 1907/2006 (REACH).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zawarte w niniejszej karcie wynikają z aktualnego stanu wiedzy producenta i dystrybutora i odnoszą się wyłącznie do opisanego produktu. Użytkownik ponosi odpowiedzialność za stworzenie bezpiecznych warunków pracy oraz spełnienie wymagań prawnych związanych z jego zastosowaniem.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- PROFUMATORE AMBIENTE ORCHIDEA E VANIGLIA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df4620fc619cfcec683facca7e88bc7fd37dd8.undefined"/><Relationship Id="rId10" Type="http://schemas.openxmlformats.org/officeDocument/2006/relationships/image" Target="media/ab3b38ff5aec5db8cf291d921b1836a765ff072f.undefined"/><Relationship Id="rId11" Type="http://schemas.openxmlformats.org/officeDocument/2006/relationships/image" Target="media/bb4e46ba2799965d0181b8cc93349251770e4a8c.undefined"/><Relationship Id="rId12" Type="http://schemas.openxmlformats.org/officeDocument/2006/relationships/image" Target="media/40ebfa5564939c27d85f5e4019dc884a31c847f6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2026-09-15T05:14:38.342Z</dcterms:created>
  <dcterms:modified xsi:type="dcterms:W3CDTF">2026-09-15T05:14:38.344Z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