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11.09.2026</w:t>
      </w:r>
      <w:r>
        <w:rPr>
          <w:sz w:val="16"/>
          <w:szCs w:val="16"/>
        </w:rPr>
        <w:t xml:space="preserve">
Wersja: 1.0 PL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produktu: SWEET HOME LAYALI - PROFUMA TESSUTI E AMBIENTE NAJMA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UFI: AJAD-RP52-PA98-ME4H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112 (ogólny telefon alarmowy w Polsce), 998 (straż pożarna), 999 (pogotowie ratunkowe)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Firma: MITRANS Weronika Grzesiak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Adres: ul. Wesoła 16, 63-600 Kępno, woj. wielkopolskie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E-mail: kontakt@prostozwloch.com.pl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Telefon: +48 663116607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zgodnie z rozporządzeniem (WE) nr 1272/2008 [CLP].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ma.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octan 4-tert-butylocykloheksylu, masa poreakcyjna 5-chloro-2-metylo-2H-izotiazol-3-onu i 2-metylo-2H-izotiazol-3-onu (3:1), aldehyd cynamonowy.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[ORYGINALNE STĘŻENIA I KLASYFIKACJE ZACHOWANE ZGODNIE Z REGULĄ EXTRACT_RAW]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[POLSKIE NAZWY SUBSTANCJI ZMAPOWANE PO CAS]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3: Composition/information on ingredients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Mixtures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Mixture identification:SWEET HOME LAYALI - PROFUMA TESSUTI E AMBIENTE NAJMA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Hazardous components within the meaning of the CLP regulation and related classification: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QtyNameIdent. Numb.ClassificationRegistration Number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n.of19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QtyNameIdent. Numb.ClassificationRegistration Number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≥0.1-&lt;0.25 %4-tert-butylcyclohexyl acetateCAS:32210-23-4 ((4-tert-butylcyclohexyl) acetate)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EC:250-954-9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 Sens. 1B, H31701-2119976286-24-XXXX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≥0.001-&lt;0.01%cinnamaldehydeCAS:104-55-2 ((E)-3-phenylprop-2-enal)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EC:203-213-9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Index:606-155-00-6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 Sens. 1A, H317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Specific Concentration Limits: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 ≥ 0.01%: Skin Sens. 1A H317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01-2119935242-45-XXXX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&lt; 0.00093%reaction mass of 5-chloro-2-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methyl-2H-isothiazol-3-one and 2-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methyl-2H-isothiazol-3-one (3:1)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CAS:55965-84-9 (5-chloro-2-methyl-1,2-thiazol-3-one;2-methyl-1,2-thiazol-3-one)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EC:911-418-6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Index:613-167-00-5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Acute Tox. 2, H330; Acute Tox. 2,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H310; Acute Tox. 3, H301; Skin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Corr. 1C, H314; Eye Dam. 1,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H318; Skin Sens. 1A, H317;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Stwarzające zagrożenie dla środowiska wodnego - kategoria ostra 1, H400; Aquatic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Chronic 1, H410, M-Chronic:100,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M-Acute:100, EUH071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Specific Concentration Limits: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 ≥ 0.6%: Skin Corr. 1C H314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0.06% ≤ C &lt; 0.6%: Skin Irrit.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 ≥ 0.6%: Eye Dam. 1 H318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0.06% ≤ C &lt; 0.6%: Eye Irrit.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 ≥ 0.0015%: Skin Sens. 1A H317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01-2120764691-48-XXXX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Sekcja zablokowana przez system (Zagrożenie Toksykologiczne).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Wymagana weryfikacja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ORYGINAŁ DO WERYFIKACJI: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4: First aid measures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Description of first aid measures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skin contact: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contact with skin, wash immediately with soap and plenty of water.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eyes contact: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contact with the eyes, rinse with water with the eyelids open for a sufficient length of time, then consult an opthalmologist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immediately. Remove any contact lenses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Ingestion: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 not induce vomiting, get medical attention showing the SDS and label hazardous.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Inhalation: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inhalation, consult a doctor immediately and show him packing or label. Remove casualty to fresh air and keep warm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 rest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Most important symptoms and effects, both acute and delayed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 specific information is available on the symptoms and effects caused by the product.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Indication of any immediate medical attention and special treatment needed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Treatment:Data not available.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5: POSTĘPOWANIE W PRZYPADKU POŻARU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Sekcja zablokowana przez system (Ryzyko Niewłaściwego Środka Gaśniczego).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Wymagana weryfikacja procedur gaśniczych.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ORYGINAŁ DO WERYFIKACJI: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5: Firefighting measures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Extinguishing media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Suitable extinguishing media: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CO2 or Dry chemical fire extinguisher. foam; Water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Extinguishing media which must not be used for safety reasons: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None in particular.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Special hazards arising from the substance or mixture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Avoid breathing combustion products.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Advice for firefighters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Collect contaminated fire extinguishing water separately. This must not be discharged into drains. Use fire fighter's clothing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conforming to European standard EN469. Use Self-Contained Breathing Apparatus (SCBA) with chemical resistant gloves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6: POSTĘPOWANIE W PRZYPADKU NIEZAMIERZONEGO UWOLNIENIA DO ŚRODOWISKA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Zapewnić odpowiednią wentylację.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7: POSTĘPOWANIE Z SUBSTANCJAMI I MIESZANINAMI ORAZ ICH MAGAZYNOWANIE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ostrożności: Unikać kontaktu ze skórą i oczami.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Algorytm zablokował zagraniczne limity OEL/MAK/TLV.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KRYTYCZNE: Safety Assessor ma obowiązek uzupełnić poniższe wartości o polskie limity NDS, NDSCh, NDSP zgodnie z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32210-23-4]: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104-55-2]: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55965-84-9]: NDS: ______ | NDSCh: ______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Ochrona rąk: Rękawice ochronne zgodne z normą EN 374. Ochrona oczu: Okulary ochronne (EN 166).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Stan skupienia: Ciecz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Barwa: Charakterystyczna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Zapach: Zgodny ze wzorcem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10: STABILNOŚĆ I REAKTYWNOŚĆ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zagrożenia: Nie sklasyfikowano.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Toksyczność: Brak danych.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Wymagane nadanie 6-cyfrowego kodu odpadu według katalogu BDO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Odpadowy produkt należy poddać odzyskowi lub likwidować w uprawnionych spalarniach lub zakładach utylizacji/unieszkodliwiania odpadów, zgodnie z obowiązującymi przepisami. Nie wprowadzać do kanalizacji.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akty prawne: ustawa o odpadach (t.j. Dz. U. 2023, poz. 1587 wraz z późn. zm.), ustawa o gospodarce opakowaniami i odpadami opakowaniowymi (tj. Dz. U. 2023, poz. 1658 wraz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Towar nie jest niebezpieczny w rozumieniu przepisów transportowych (ADR, RID, IMDG, IATA).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Parlamentu Europejskiego i Rady (WE) nr 1272/2008 z dnia 16 grudnia 2008 r. w sprawie klasyfikacji, oznakowania i pakowania substancji i mieszanin (CLP) z późniejszymi zmianami (ATP).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648/2004 Parlamentu Europejskiego i Rady z dnia 31 marca 2004 r. w sprawie detergentów z późniejszymi zmianami (Uwaga dla algorytmu: pozostawić, jeśli produkt jest detergentem/środkiem czystości).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Kandydacka lista substancji wzbudzających szczególnie duże obawy (SVHC) podlegających procedurze udzielania zezwoleń (REACH załącznik XIV): Mieszanina nie zawiera substancji z listy SVHC w stężeniu &gt;= 0,1%.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Ograniczenia dotyczące produkcji, wprowadzania do obrotu i stosowania niektórych niebezpiecznych substancji, preparatów i wyrobów (REACH załącznik XVII): Nie dotyczy (chyba że w sekcji 3 zidentyfikowano składniki podlegające restrykcjom).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Dyrektywa Parlamentu Europejskiego i Rady 2012/18/UE (Seveso III): Mieszanina nie podlega.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25 lutego 2011 r. o substancjach chemicznych i ich mieszaninach (Dz.U. 2011 nr 63 poz. 322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14 grudnia 2012 r. o odpadach (Dz.U. 2013 poz. 21 z późn. zm.) oraz przepisy wykonawcze do ustawy.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13 czerwca 2013 r. o gospodarce opakowaniami i odpadach opakowaniowych (Dz.U. 2013 poz. 888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2 lutego 2011 r. w sprawie badań i pomiarów czynników szkodliwych dla zdrowia w środowisku pracy (Dz.U. 2011 nr 33 poz. 166).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19 sierpnia 2011 r. o przewozie towarów niebezpiecznych (Dz.U. 2011 nr 227 poz. 1367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30 grudnia 2004 r. w sprawie bezpieczeństwa i higieny pracy związanej z występowaniem w miejscu pracy czynników chemicznych (Dz.U. 2005 nr 11 poz. 86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16: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document was prepared by a competent person who has received appropriate training.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EUH071Corrosive to the respiratory tract.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H301Toxic if swallowed.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H310Fatal in contact with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H314Causes severe skin burns and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H315Causes skin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H317May cause an allergic skin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H318Causes serious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H319Causes serious eye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H330Fatal if inhaled.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H400Very toxic to aquatic life.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H410Very toxic to aquatic life with long lasting effects.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CodeHazard class and hazard categoryDescription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3.1/2/DermalAcute Tox. 2Acute toxicity (dermal),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3.1/2/InhalAcute Tox. 2Acute toxicity (inhalation),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3.1/3/OralAcute Tox. 3Acute toxicity (oral), Category 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3.2/1CSkin Corr. 1CSkin corrosion, Category 1C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3.2/2Skin Irrit. 2Skin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3.3/1Eye Dam. 1Serious eye damage,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3.3/2Eye Irrit. 2Eye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3.4.2/1ASkin Sens. 1ASkin Sensitisation, Category 1A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3.4.2/1BSkin Sens. 1BSkin Sensitisation, Category 1B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4.1/A1Aquatic Acute 1Acute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4.1/C1Aquatic Chronic 1Chronic (long term)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n.of79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ECDIN - Environmental Chemicals Data and Information Network - Joint Research Centre, Commission of the European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Communities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SAX's DANGEROUS PROPERTIES OF INDUSTRIAL MATERIALS - Eight Edition - Van Nostrand Reinold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information contained herein is based on our state of knowledge at the above-specified date. It refers solely to the product indicated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constitutes no guarantee of particular quality.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 duty of the user to ensure that this information is appropriate and complete with respect to the specific use intended.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MSDS cancels and replaces any preceding release.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Legend to abbreviations and acronyms used in the safety data sheet: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ACGIH: American Conference of Governmental Industrial Hygienists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ADR: European Agreement concerning the International Carriage of Dangerous Goods by Road.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AND: European Agreement concerning the International Carriage of Dangerous Goods by Inland Waterways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ATE: Acute Toxicity Estimate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ATEmix: Acute toxicity Estimate (Mixtures)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Biological Concentration Factor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BEI: Biological Exposure 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BOD: Biochemical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 Chemical Abstracts Service (division of the American Chemical Society).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CAV: Poison Center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CE: European Community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CLP: Classification, Labeling, Packaging.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CMR: Carcinogenic, Mutagenic and Reprotoxic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COD: 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COV: Volatile Organic Compound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CSA: Chemical Safety Assessment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CSR: Chemical Safety Report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DMEL: Derived Minimal Effect Level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Derived No Effect Level.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DPD: Dangerous Preparations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DSD: Dangerous Substances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EC50: Half Maximal Effective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ECHA: European Chemicals Agency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EINECS: European Inventory of Existing Commercial Chemical Substances.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ES: Exposure Scenario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GefStoffVO: Ordinance on Hazardous Substances, Germany.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GHS: Globally Harmonized System of Classification and Labeling of Chemicals.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IARC: International Agency for Research on Cancer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IATA: International Air Transport Association.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IATA-DGR: Dangerous Goods Regulation by the "International Air Transport Association" (IATA).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IC50: half maximal inhibitory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ICAO: International Civil Aviation Organization.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ICAO-TI: Technical Instructions by the "International Civil Aviation Organization" (ICAO).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IMDG: International Maritime Code for Dangerous Goods.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INCI: International Nomenclature of Cosmetic Ingredients.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IRCCS: Scientific Institute for Research, Hospitalization and Health Care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KAFH: Keep Away From Heat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KSt: Explosion coefficient.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LC50: Lethal concentration,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LD50: Lethal dose,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LDLo: Leathal Dose Low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N/A: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N/D: Not defined/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NA: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NIOSH: National Institute for Occupational Safety and Health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NOAEL: No Observed Adverse Effect Level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OSHA: Occupational Safety and Health Administration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Persistent, Bioaccumulative and 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PGK: Packaging Instruction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Predicted No Effect Concentration.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PSG: Passengers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RID: Regulation Concerning the International Transport of Dangerous Goods by Rail.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n.of89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STEL: Short Term Exposure limit.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STOT: Specific Target Organ Toxicity.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TLV: Threshold Limiting Value.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TWATLV: Threshold Limit Value for the Time Weighted Average 8 hour day. (ACGIH Standard).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vPvB: Very Persistent, Very Bioaccumulative.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WGK: German Water Hazard Class.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n.of99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LAYALI - PROFUMA TESSUTI E AMBIENTE NAJMA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2026-09-11T10:11:13.588Z</dcterms:created>
  <dcterms:modified xsi:type="dcterms:W3CDTF">2026-09-11T10:11:13.590Z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