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KARTA CHARAKTERYSTYKI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444444"/>
          <w:sz w:val="16"/>
          <w:szCs w:val="16"/>
        </w:rPr>
        <w:t xml:space="preserve">[Sporządzona zgodnie z Rozporządzeniem (WE) nr 1907/2006 (REACH), zmienionym Rozporządzeniem Komisji (UE) 2020/878]</w:t>
      </w:r>
    </w:p>
    <w:tbl>
      <w:tblPr>
        <w:tblW w:type="pct" w:w="100%"/>
        <w:tblBorders>
          <w:top w:val="single" w:color="00A651" w:sz="6"/>
          <w:left w:val="single" w:color="D0D5DD" w:sz="4"/>
          <w:bottom w:val="single" w:color="00A651" w:sz="6"/>
          <w:right w:val="single" w:color="D0D5DD" w:sz="4"/>
          <w:insideH w:val="none"/>
          <w:insideV w:val="single" w:color="E5E7EB" w:sz="4"/>
        </w:tblBorders>
      </w:tblPr>
      <w:tblGrid>
        <w:gridCol w:w="100"/>
        <w:gridCol w:w="100"/>
      </w:tblGrid>
      <w:tr>
        <w:tc>
          <w:tcPr>
            <w:tcW w:type="pct" w:w="50%"/>
            <w:shd w:fill="F9FAFB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sporządzenia: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15.09.2026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Aktualizacja: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15.09.2026</w:t>
            </w:r>
          </w:p>
        </w:tc>
        <w:tc>
          <w:tcPr>
            <w:tcW w:type="pct" w:w="50%"/>
            <w:shd w:fill="F9FAFB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Wersja: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1.0 PL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Zastępuje wersję: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1.0</w:t>
            </w:r>
          </w:p>
        </w:tc>
      </w:tr>
    </w:tbl>
    <w:p>
      <w:pPr>
        <w:spacing w:after="200"/>
      </w:pP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1: IDENTYFIKACJA SUBSTANCJI/MIESZANINY I IDENTYFIKACJA PRZEDSIĘBIORSTWA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 Identyfikator produktu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Nazwa handlowa:</w:t>
      </w:r>
      <w:r>
        <w:rPr>
          <w:rFonts w:ascii="Arial" w:cs="Arial" w:eastAsia="Arial" w:hAnsi="Arial"/>
          <w:sz w:val="20"/>
          <w:szCs w:val="20"/>
        </w:rPr>
        <w:t xml:space="preserve"> SWEET HOME - PROFUMATORE AMBIENTE ORCHIDEA E VANIGLIA V2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Kod produktu:</w:t>
      </w:r>
      <w:r>
        <w:rPr>
          <w:rFonts w:ascii="Arial" w:cs="Arial" w:eastAsia="Arial" w:hAnsi="Arial"/>
          <w:sz w:val="20"/>
          <w:szCs w:val="20"/>
        </w:rPr>
        <w:t xml:space="preserve"> BLK0033-2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UFI:</w:t>
      </w:r>
      <w:r>
        <w:rPr>
          <w:rFonts w:ascii="Arial" w:cs="Arial" w:eastAsia="Arial" w:hAnsi="Arial"/>
          <w:sz w:val="20"/>
          <w:szCs w:val="20"/>
        </w:rPr>
        <w:t xml:space="preserve"> 1JUA-J3HY-KX04-SM29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 Istotne zidentyfikowane zastosowania substancji lub mieszaniny oraz zastosowania odradzane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Zastosowanie: Odświeżacz powietrza (dyfuzor zapachowy).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Zastosowania odradzane:</w:t>
      </w:r>
      <w:r>
        <w:rPr>
          <w:rFonts w:ascii="Arial" w:cs="Arial" w:eastAsia="Arial" w:hAnsi="Arial"/>
          <w:sz w:val="20"/>
          <w:szCs w:val="20"/>
        </w:rPr>
        <w:t xml:space="preserve"> Brak.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 Dane dotyczące dostawcy karty charakterystyki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Firma:</w:t>
      </w:r>
      <w:r>
        <w:rPr>
          <w:rFonts w:ascii="Arial" w:cs="Arial" w:eastAsia="Arial" w:hAnsi="Arial"/>
          <w:sz w:val="20"/>
          <w:szCs w:val="20"/>
        </w:rPr>
        <w:t xml:space="preserve"> ITALLUX Sp. z o.o.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Adres:</w:t>
      </w:r>
      <w:r>
        <w:rPr>
          <w:rFonts w:ascii="Arial" w:cs="Arial" w:eastAsia="Arial" w:hAnsi="Arial"/>
          <w:sz w:val="20"/>
          <w:szCs w:val="20"/>
        </w:rPr>
        <w:t xml:space="preserve"> ul. Wesoła 16, 63-600 Kępno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Strona www:</w:t>
      </w:r>
      <w:r>
        <w:rPr>
          <w:rFonts w:ascii="Arial" w:cs="Arial" w:eastAsia="Arial" w:hAnsi="Arial"/>
          <w:sz w:val="20"/>
          <w:szCs w:val="20"/>
        </w:rPr>
        <w:t xml:space="preserve"> www.prostozwloch.pl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E-mail:</w:t>
      </w:r>
      <w:r>
        <w:rPr>
          <w:rFonts w:ascii="Arial" w:cs="Arial" w:eastAsia="Arial" w:hAnsi="Arial"/>
          <w:sz w:val="20"/>
          <w:szCs w:val="20"/>
        </w:rPr>
        <w:t xml:space="preserve"> kontakt@prostozwloch.pl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Telefon:</w:t>
      </w:r>
      <w:r>
        <w:rPr>
          <w:rFonts w:ascii="Arial" w:cs="Arial" w:eastAsia="Arial" w:hAnsi="Arial"/>
          <w:sz w:val="20"/>
          <w:szCs w:val="20"/>
        </w:rPr>
        <w:t xml:space="preserve"> +48 663116607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 Numer telefonu alarmowego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 alarmowy przedsiębiorstwa:</w:t>
      </w:r>
      <w:r>
        <w:rPr>
          <w:rFonts w:ascii="Arial" w:cs="Arial" w:eastAsia="Arial" w:hAnsi="Arial"/>
          <w:sz w:val="20"/>
          <w:szCs w:val="20"/>
        </w:rPr>
        <w:t xml:space="preserve"> +48 663116607 (czynny od poniedziałku do piątku w godzinach 8:00 – 16:00, informacja udzielana w języku polskim)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Informacja toksykologiczna w Polsce (organ doradczy):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Krajowe Centrum Informacji Toksykologicznej (Instytut Medycyny Pracy im. prof. J. Nofera w Łodzi):</w:t>
      </w:r>
      <w:r>
        <w:rPr>
          <w:rFonts w:ascii="Arial" w:cs="Arial" w:eastAsia="Arial" w:hAnsi="Arial"/>
          <w:sz w:val="20"/>
          <w:szCs w:val="20"/>
        </w:rPr>
        <w:t xml:space="preserve"> tel. +48 42 631 47 24, +48 42 631 47 25 (czynne w dni robocze w godz. 7:00 – 15:00)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Ośrodek Informacji Toksykologicznej w Warszawie (całodobowa informacja toksykologiczna 24/7):</w:t>
      </w:r>
      <w:r>
        <w:rPr>
          <w:rFonts w:ascii="Arial" w:cs="Arial" w:eastAsia="Arial" w:hAnsi="Arial"/>
          <w:sz w:val="20"/>
          <w:szCs w:val="20"/>
        </w:rPr>
        <w:t xml:space="preserve"> tel. +48 22 619 66 54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Ogólne telefony ratunkowe w nagłych wypadkach:</w:t>
      </w:r>
      <w:r>
        <w:rPr>
          <w:rFonts w:ascii="Arial" w:cs="Arial" w:eastAsia="Arial" w:hAnsi="Arial"/>
          <w:sz w:val="20"/>
          <w:szCs w:val="20"/>
        </w:rPr>
        <w:t xml:space="preserve"> 112 (ogólnoeuropejski numer alarmowy), 998 (straż pożarna), 999 (pogotowie ratunkowe)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2: IDENTYFIKACJA ZAGROŻEŃ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 Klasyfikacja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Flam. Liq. 2 (Substancja ciekła łatwopalna, kategoria 2)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H225 Wysoce łatwopalna ciecz i pary.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Eye Irrit. 2 (Działanie drażniące na oczy, kategoria 2)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 Działa drażniąco na oczy.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 Elementy oznakowania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Piktogramy określające rodzaj zagrożenia:</w:t>
      </w:r>
    </w:p>
    <w:p>
      <w:pPr>
        <w:spacing w:after="100" w:before="60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GHS02, GHS07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Hasło ostrzegawcze: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Niebezpieczeństwo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Nazwy niebezpiecznych substancji wymienione na etykiecie: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Zwroty wskazujące rodzaj zagrożenia: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H225 Wysoce łatwopalna ciecz i pary.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 Działa drażniąco na oczy.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Zwroty wskazujące środki ostrożności: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P101 W razie konieczności zasięgnięcia porady lekarza należy pokazać pojemnik lub etykietę.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P102 Chronić przed dziećmi.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P210 Przechowywać z dala od źródeł ciepła, gorących powierzchni, źródeł iskrzenia, otwartego ognia i innych źródeł zapłonu. Nie palić.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P305+P351+P338 W PRZYPADKU DOSTANIA SIĘ DO OCZU: Ostrożnie płukać wodą przez kilka minut. Wyjąć soczewki kontaktowe, jeżeli są i można je łatwo usunąć. Nadal płukać.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P337+P313 W przypadku utrzymywania się działania drażniącego na oczy: Zasięgnąć porady/zgłosić się pod opiekę lekarza.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P501 Zawartość/pojemnik usuwać do odpowiednio oznakowanych pojemników na odpady zgodnie z krajowymi przepisami.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uzupełniające: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EUH208 Zawiera kumarynę (2H-chromen-2-on). Może powodować wystąpienie reakcji alergicznej.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 Inne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nie zawiera składników wpisanych do wykazu ustanowionego zgodnie z art. 59 ust. 1 jako posiadające właściwości zaburzające funkcjonowanie układu hormonalnego ani składników o właściwościach zaburzających funkcjonowanie układu hormonalnego zgodnie z kryteriami określonymi w rozporządzeniu 2017/2100/UE lub rozporządzeniu 2018/605/UE w stężeniu równym lub większym od 0,1 %.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Komponenty mieszaniny nie spełniają kryteriów PBT lub vPvB zgodnie z załącznikiem XIII rozporządzenia REACH.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3: SKŁAD / INFORMACJA O SKŁADNIKACH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 Substancje: Nie dotyczy.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 Mieszaniny</w:t>
      </w:r>
    </w:p>
    <w:p>
      <w:pPr>
        <w:spacing w:after="150"/>
      </w:pPr>
      <w:r>
        <w:rPr>
          <w:rFonts w:ascii="Arial" w:cs="Arial" w:eastAsia="Arial" w:hAnsi="Arial"/>
          <w:sz w:val="20"/>
          <w:szCs w:val="20"/>
        </w:rPr>
        <w:t xml:space="preserve">Opis chemiczny: Mieszanina substancji stwarzających zagrożenie wraz z dodatkami niesklasyfikowanymi.</w:t>
      </w:r>
    </w:p>
    <w:tbl>
      <w:tblPr>
        <w:tblW w:type="dxa" w:w="96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Nazwa substancji</w:t>
            </w:r>
          </w:p>
        </w:tc>
        <w:tc>
          <w:tcPr>
            <w:tcW w:type="dxa" w:w="26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Identyfikatory</w:t>
            </w:r>
          </w:p>
        </w:tc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Klasyfikacja CLP</w:t>
            </w:r>
          </w:p>
        </w:tc>
        <w:tc>
          <w:tcPr>
            <w:tcW w:type="dxa" w:w="14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Stężenie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etanol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ETHANOL)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64-17-5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200-578-6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603-002-00-5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01-2119457610-43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Flam. Liq. 2 H225, Eye Irrit. 2 H319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Eye Irrit. 2 H319: ≥ 50%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74 ≤ x &lt; 78 %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aldehyd anyżowy (4-metoksybenzaldehyd)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ANISALDEHYDE)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123-11-5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204-602-6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01-2119977101-43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Repr. 2 H361fd, Stwarzające zagrożenie dla środowiska wodnego - kategoria przewlekła 3 H412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0,7 ≤ x &lt; 0,8 %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kumaryna (2H-chromen-2-on)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2H-CHROMEN-2-ONE)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91-64-5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202-086-7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01-2119943756-26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Acute Tox. 4 H302, Skin Sens. 1 H317, Stwarzające zagrożenie dla środowiska wodnego - kategoria przewlekła 3 H412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 (droga pokarmowa) = 500 mg/kg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0,4 ≤ x &lt; 0,45 %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2,6-di-tert-butylo-4-metylofenol (BHT)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2,6-di-tert-butyl-p-cresol)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128-37-0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204-881-4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01-2119565113-46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Stwarzające zagrożenie dla środowiska wodnego - kategoria przewlekła 1 H410 M = 1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0,1 ≤ x &lt; 0,15 %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toluen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toluene)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108-88-3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203-625-9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601-021-00-3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01-2119471310-51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Flam. Liq. 2 H225, Repr. 2 H361d, Asp. Tox. 1 H304, Działanie toksyczne na narządy docelowe – narażenie powtarzane 2 H373, Skin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Irrit. 2 H315, Działanie toksyczne na narządy docelowe – narażenie jednorazowe 3 H336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x &lt; 0,05 %</w:t>
            </w:r>
          </w:p>
        </w:tc>
      </w:tr>
    </w:tbl>
    <w:p>
      <w:pPr>
        <w:spacing w:after="150" w:before="1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Pełne brzmienie zwrotów H i EUH znajduje się w sekcji 16 karty charakterystyki.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4: ŚRODKI PIERWSZEJ POMOCY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 Opis środków pierwszej pomocy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ze skórą:</w:t>
      </w:r>
      <w:r>
        <w:rPr>
          <w:rFonts w:ascii="Arial" w:cs="Arial" w:eastAsia="Arial" w:hAnsi="Arial"/>
          <w:sz w:val="20"/>
          <w:szCs w:val="20"/>
        </w:rPr>
        <w:t xml:space="preserve"> Zmyć natychmiast dużą ilością wody z mydłem.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 oczami:</w:t>
      </w:r>
      <w:r>
        <w:rPr>
          <w:rFonts w:ascii="Arial" w:cs="Arial" w:eastAsia="Arial" w:hAnsi="Arial"/>
          <w:sz w:val="20"/>
          <w:szCs w:val="20"/>
        </w:rPr>
        <w:t xml:space="preserve"> Płukać wodą przy otwartych powiekach przez wystarczająco długi czas, następnie natychmiast skonsultować się z lekarzem okulistą. Usunąć soczewki kontaktowe, jeżeli są i można je łatwo usunąć.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przypadku spożycia:</w:t>
      </w:r>
      <w:r>
        <w:rPr>
          <w:rFonts w:ascii="Arial" w:cs="Arial" w:eastAsia="Arial" w:hAnsi="Arial"/>
          <w:sz w:val="20"/>
          <w:szCs w:val="20"/>
        </w:rPr>
        <w:t xml:space="preserve"> Nie wywoływać wymiotów. Niezwłocznie zasięgnąć porady lekarza, pokazując kartę charakterystyki lub etykietę produktu.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 narażeniu drogą oddechową:</w:t>
      </w:r>
      <w:r>
        <w:rPr>
          <w:rFonts w:ascii="Arial" w:cs="Arial" w:eastAsia="Arial" w:hAnsi="Arial"/>
          <w:sz w:val="20"/>
          <w:szCs w:val="20"/>
        </w:rPr>
        <w:t xml:space="preserve"> Wyprowadzić poszkodowanego na świeże powietrze, zapewnić ciepło i spokój. W przypadku wystąpienia objawów skonsultować się z lekarzem i pokazać opakowanie lub etykietę.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 Najważniejsze ostre i opóźnione objawy oraz skutki narażenia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 oczami:</w:t>
      </w:r>
      <w:r>
        <w:rPr>
          <w:rFonts w:ascii="Arial" w:cs="Arial" w:eastAsia="Arial" w:hAnsi="Arial"/>
          <w:sz w:val="20"/>
          <w:szCs w:val="20"/>
        </w:rPr>
        <w:t xml:space="preserve"> Działa drażniąco na oczy. Może powodować zaczerwienienie spojówek, pieczenie, łzawienie i ból.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ze skórą:</w:t>
      </w:r>
      <w:r>
        <w:rPr>
          <w:rFonts w:ascii="Arial" w:cs="Arial" w:eastAsia="Arial" w:hAnsi="Arial"/>
          <w:sz w:val="20"/>
          <w:szCs w:val="20"/>
        </w:rPr>
        <w:t xml:space="preserve"> U osób szczególnie wrażliwych może wywołać reakcję alergiczną skóry (zawiera kumaryna (2H-chromen-2-on)). Przy długotrwałym kontakcie może powodować wysuszenie lub pękanie skóry.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 narażeniu drogą oddechową:</w:t>
      </w:r>
      <w:r>
        <w:rPr>
          <w:rFonts w:ascii="Arial" w:cs="Arial" w:eastAsia="Arial" w:hAnsi="Arial"/>
          <w:sz w:val="20"/>
          <w:szCs w:val="20"/>
        </w:rPr>
        <w:t xml:space="preserve"> Wdychanie wysokich stężeń par może wywoływać podrażnienie błon śluzowych dróg oddechowych, bóle i zawroty głowy oraz uczucie senności.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przypadku spożycia:</w:t>
      </w:r>
      <w:r>
        <w:rPr>
          <w:rFonts w:ascii="Arial" w:cs="Arial" w:eastAsia="Arial" w:hAnsi="Arial"/>
          <w:sz w:val="20"/>
          <w:szCs w:val="20"/>
        </w:rPr>
        <w:t xml:space="preserve"> Może wywołać podrażnienie układu pokarmowego, nudności, wymioty oraz objawy intoksykacji alkoholowej.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SKUTKI OPÓŹNIONE: W oparciu o dostępne dane, w warunkach prawidłowego stosowania nie są znane przypadki wystąpienia opóźnionych powikłań zdrowotnych.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 Wskazania dotyczące wszelkiej natychmiastowej pomocy lekarskiej i szczególnego postępowania z poszkodowanym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Leczenie:</w:t>
      </w:r>
      <w:r>
        <w:rPr>
          <w:rFonts w:ascii="Arial" w:cs="Arial" w:eastAsia="Arial" w:hAnsi="Arial"/>
          <w:sz w:val="20"/>
          <w:szCs w:val="20"/>
        </w:rPr>
        <w:t xml:space="preserve"> W przypadku wystąpienia objawów (ostrych lub opóźnionych) skonsultować się z lekarzem. W miejscu pracy powinna być dostępna bieżąca woda do przemywania oczu i zmywania skóry.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5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 Środki gaśnicze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Odpowiednie środki gaśnicze:</w:t>
      </w:r>
      <w:r>
        <w:rPr>
          <w:rFonts w:ascii="Arial" w:cs="Arial" w:eastAsia="Arial" w:hAnsi="Arial"/>
          <w:sz w:val="20"/>
          <w:szCs w:val="20"/>
        </w:rPr>
        <w:t xml:space="preserve"> piana gaśnicza, proszek gaśniczy, dwutlenek węgla.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6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Indywidualne środki ostrożności: usunąć wszelkie źródła zapłonu.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 Środki ostrożności dotyczące bezpiecznego postępowania: unikać kontaktu z oczami i skórą.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8: KONTROLA NARAŻENIA/ŚRODKI OCHRONY INDYWIDUALNEJ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 Parametry dotyczące kontroli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Krajowe wartości najwyższych dopuszczalnych stężeń w środowisku pracy (Polska – Dz.U. 2018 poz. 1286 z późn. zm., w tym Dz.U. 2024 poz. 1017):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[CAS: 64-17-5]: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NDS:</w:t>
      </w:r>
      <w:r>
        <w:rPr>
          <w:rFonts w:ascii="Arial" w:cs="Arial" w:eastAsia="Arial" w:hAnsi="Arial"/>
          <w:sz w:val="20"/>
          <w:szCs w:val="20"/>
        </w:rPr>
        <w:t xml:space="preserve"> 1900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[CAS: 128-37-0]: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NDS:</w:t>
      </w:r>
      <w:r>
        <w:rPr>
          <w:rFonts w:ascii="Arial" w:cs="Arial" w:eastAsia="Arial" w:hAnsi="Arial"/>
          <w:sz w:val="20"/>
          <w:szCs w:val="20"/>
        </w:rPr>
        <w:t xml:space="preserve"> 10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[CAS: 108-88-3]: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NDS:</w:t>
      </w:r>
      <w:r>
        <w:rPr>
          <w:rFonts w:ascii="Arial" w:cs="Arial" w:eastAsia="Arial" w:hAnsi="Arial"/>
          <w:sz w:val="20"/>
          <w:szCs w:val="20"/>
        </w:rPr>
        <w:t xml:space="preserve"> 100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NDSCh:</w:t>
      </w:r>
      <w:r>
        <w:rPr>
          <w:rFonts w:ascii="Arial" w:cs="Arial" w:eastAsia="Arial" w:hAnsi="Arial"/>
          <w:sz w:val="20"/>
          <w:szCs w:val="20"/>
        </w:rPr>
        <w:t xml:space="preserve"> 200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Uwagi:</w:t>
      </w:r>
      <w:r>
        <w:rPr>
          <w:rFonts w:ascii="Arial" w:cs="Arial" w:eastAsia="Arial" w:hAnsi="Arial"/>
          <w:sz w:val="20"/>
          <w:szCs w:val="20"/>
        </w:rPr>
        <w:t xml:space="preserve"> oznakowanie substancji notacją „skóra”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Wspólnotowe i zagraniczne dopuszczalne wartości narażenia zawodowego (OEL):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Niemcy (AGW) / Austria (MAK): 380 mg/m³ (200 ppm) / 960 mg/m³ (500 ppm).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 oraz 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etanol [CAS: 64-17-5]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Droga pokarmowa (doustnie):</w:t>
      </w:r>
      <w:r>
        <w:rPr>
          <w:rFonts w:ascii="Arial" w:cs="Arial" w:eastAsia="Arial" w:hAnsi="Arial"/>
          <w:sz w:val="20"/>
          <w:szCs w:val="20"/>
        </w:rPr>
        <w:t xml:space="preserve"> Konsumenci (skutki przewlekłe układowe): 87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Drogi oddechowe (inhalacyjnie):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114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950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Na skórę: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206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343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słodka:</w:t>
      </w:r>
      <w:r>
        <w:rPr>
          <w:rFonts w:ascii="Arial" w:cs="Arial" w:eastAsia="Arial" w:hAnsi="Arial"/>
          <w:sz w:val="20"/>
          <w:szCs w:val="20"/>
        </w:rPr>
        <w:t xml:space="preserve">0,96mg/l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morska:</w:t>
      </w:r>
      <w:r>
        <w:rPr>
          <w:rFonts w:ascii="Arial" w:cs="Arial" w:eastAsia="Arial" w:hAnsi="Arial"/>
          <w:sz w:val="20"/>
          <w:szCs w:val="20"/>
        </w:rPr>
        <w:t xml:space="preserve">0,79mg/l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słodkowodne:</w:t>
      </w:r>
      <w:r>
        <w:rPr>
          <w:rFonts w:ascii="Arial" w:cs="Arial" w:eastAsia="Arial" w:hAnsi="Arial"/>
          <w:sz w:val="20"/>
          <w:szCs w:val="20"/>
        </w:rPr>
        <w:t xml:space="preserve">3,6mg/kg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morskie:</w:t>
      </w:r>
      <w:r>
        <w:rPr>
          <w:rFonts w:ascii="Arial" w:cs="Arial" w:eastAsia="Arial" w:hAnsi="Arial"/>
          <w:sz w:val="20"/>
          <w:szCs w:val="20"/>
        </w:rPr>
        <w:t xml:space="preserve">2,9mg/kg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(uwalnianie okresowe):</w:t>
      </w:r>
      <w:r>
        <w:rPr>
          <w:rFonts w:ascii="Arial" w:cs="Arial" w:eastAsia="Arial" w:hAnsi="Arial"/>
          <w:sz w:val="20"/>
          <w:szCs w:val="20"/>
        </w:rPr>
        <w:t xml:space="preserve">2,75mg/l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mikroorganizmy w oczyszczalni ścieków (STP):</w:t>
      </w:r>
      <w:r>
        <w:rPr>
          <w:rFonts w:ascii="Arial" w:cs="Arial" w:eastAsia="Arial" w:hAnsi="Arial"/>
          <w:sz w:val="20"/>
          <w:szCs w:val="20"/>
        </w:rPr>
        <w:t xml:space="preserve">580mg/l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łańcuch pokarmowy (zatrucie wtórne):</w:t>
      </w:r>
      <w:r>
        <w:rPr>
          <w:rFonts w:ascii="Arial" w:cs="Arial" w:eastAsia="Arial" w:hAnsi="Arial"/>
          <w:sz w:val="20"/>
          <w:szCs w:val="20"/>
        </w:rPr>
        <w:t xml:space="preserve">0,38mg/kg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środowisko glebowe (gleba):</w:t>
      </w:r>
      <w:r>
        <w:rPr>
          <w:rFonts w:ascii="Arial" w:cs="Arial" w:eastAsia="Arial" w:hAnsi="Arial"/>
          <w:sz w:val="20"/>
          <w:szCs w:val="20"/>
        </w:rPr>
        <w:t xml:space="preserve">0,63mg/kg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aldehyd anyżowy (4-metoksybenzaldehyd) [CAS: 123-11-5]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Droga pokarmowa (doustnie):</w:t>
      </w:r>
      <w:r>
        <w:rPr>
          <w:rFonts w:ascii="Arial" w:cs="Arial" w:eastAsia="Arial" w:hAnsi="Arial"/>
          <w:sz w:val="20"/>
          <w:szCs w:val="20"/>
        </w:rPr>
        <w:t xml:space="preserve"> Konsumenci (skutki przewlekłe układowe): 2,5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Drogi oddechowe (inhalacyjnie):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4,35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14,7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Na skórę: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4,2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6,9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słodka:</w:t>
      </w:r>
      <w:r>
        <w:rPr>
          <w:rFonts w:ascii="Arial" w:cs="Arial" w:eastAsia="Arial" w:hAnsi="Arial"/>
          <w:sz w:val="20"/>
          <w:szCs w:val="20"/>
        </w:rPr>
        <w:t xml:space="preserve">0,081mg/l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morska:</w:t>
      </w:r>
      <w:r>
        <w:rPr>
          <w:rFonts w:ascii="Arial" w:cs="Arial" w:eastAsia="Arial" w:hAnsi="Arial"/>
          <w:sz w:val="20"/>
          <w:szCs w:val="20"/>
        </w:rPr>
        <w:t xml:space="preserve">0,008111mg/l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słodkowodne:</w:t>
      </w:r>
      <w:r>
        <w:rPr>
          <w:rFonts w:ascii="Arial" w:cs="Arial" w:eastAsia="Arial" w:hAnsi="Arial"/>
          <w:sz w:val="20"/>
          <w:szCs w:val="20"/>
        </w:rPr>
        <w:t xml:space="preserve">0,409mg/kg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morskie:</w:t>
      </w:r>
      <w:r>
        <w:rPr>
          <w:rFonts w:ascii="Arial" w:cs="Arial" w:eastAsia="Arial" w:hAnsi="Arial"/>
          <w:sz w:val="20"/>
          <w:szCs w:val="20"/>
        </w:rPr>
        <w:t xml:space="preserve">0,0409mg/kg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(uwalnianie okresowe):</w:t>
      </w:r>
      <w:r>
        <w:rPr>
          <w:rFonts w:ascii="Arial" w:cs="Arial" w:eastAsia="Arial" w:hAnsi="Arial"/>
          <w:sz w:val="20"/>
          <w:szCs w:val="20"/>
        </w:rPr>
        <w:t xml:space="preserve">0,8111mg/l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mikroorganizmy w oczyszczalni ścieków (STP):</w:t>
      </w:r>
      <w:r>
        <w:rPr>
          <w:rFonts w:ascii="Arial" w:cs="Arial" w:eastAsia="Arial" w:hAnsi="Arial"/>
          <w:sz w:val="20"/>
          <w:szCs w:val="20"/>
        </w:rPr>
        <w:t xml:space="preserve">4,5mg/l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środowisko glebowe (gleba):</w:t>
      </w:r>
      <w:r>
        <w:rPr>
          <w:rFonts w:ascii="Arial" w:cs="Arial" w:eastAsia="Arial" w:hAnsi="Arial"/>
          <w:sz w:val="20"/>
          <w:szCs w:val="20"/>
        </w:rPr>
        <w:t xml:space="preserve">0,0967mg/kg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kumaryna (2H-chromen-2-on) [CAS: 91-64-5]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Droga pokarmowa (doustnie):</w:t>
      </w:r>
      <w:r>
        <w:rPr>
          <w:rFonts w:ascii="Arial" w:cs="Arial" w:eastAsia="Arial" w:hAnsi="Arial"/>
          <w:sz w:val="20"/>
          <w:szCs w:val="20"/>
        </w:rPr>
        <w:t xml:space="preserve"> Konsumenci (skutki przewlekłe układowe): 0,39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Drogi oddechowe (inhalacyjnie):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1,69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6,78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Na skórę: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0,39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0,79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słodka:</w:t>
      </w:r>
      <w:r>
        <w:rPr>
          <w:rFonts w:ascii="Arial" w:cs="Arial" w:eastAsia="Arial" w:hAnsi="Arial"/>
          <w:sz w:val="20"/>
          <w:szCs w:val="20"/>
        </w:rPr>
        <w:t xml:space="preserve">0,019mg/l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morska:</w:t>
      </w:r>
      <w:r>
        <w:rPr>
          <w:rFonts w:ascii="Arial" w:cs="Arial" w:eastAsia="Arial" w:hAnsi="Arial"/>
          <w:sz w:val="20"/>
          <w:szCs w:val="20"/>
        </w:rPr>
        <w:t xml:space="preserve">0,0019mg/l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słodkowodne:</w:t>
      </w:r>
      <w:r>
        <w:rPr>
          <w:rFonts w:ascii="Arial" w:cs="Arial" w:eastAsia="Arial" w:hAnsi="Arial"/>
          <w:sz w:val="20"/>
          <w:szCs w:val="20"/>
        </w:rPr>
        <w:t xml:space="preserve">0,15mg/kg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morskie:</w:t>
      </w:r>
      <w:r>
        <w:rPr>
          <w:rFonts w:ascii="Arial" w:cs="Arial" w:eastAsia="Arial" w:hAnsi="Arial"/>
          <w:sz w:val="20"/>
          <w:szCs w:val="20"/>
        </w:rPr>
        <w:t xml:space="preserve">0,015mg/kg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(uwalnianie okresowe):</w:t>
      </w:r>
      <w:r>
        <w:rPr>
          <w:rFonts w:ascii="Arial" w:cs="Arial" w:eastAsia="Arial" w:hAnsi="Arial"/>
          <w:sz w:val="20"/>
          <w:szCs w:val="20"/>
        </w:rPr>
        <w:t xml:space="preserve">0,0142mg/l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mikroorganizmy w oczyszczalni ścieków (STP):</w:t>
      </w:r>
      <w:r>
        <w:rPr>
          <w:rFonts w:ascii="Arial" w:cs="Arial" w:eastAsia="Arial" w:hAnsi="Arial"/>
          <w:sz w:val="20"/>
          <w:szCs w:val="20"/>
        </w:rPr>
        <w:t xml:space="preserve">6,4mg/l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łańcuch pokarmowy (zatrucie wtórne):</w:t>
      </w:r>
      <w:r>
        <w:rPr>
          <w:rFonts w:ascii="Arial" w:cs="Arial" w:eastAsia="Arial" w:hAnsi="Arial"/>
          <w:sz w:val="20"/>
          <w:szCs w:val="20"/>
        </w:rPr>
        <w:t xml:space="preserve">30,7mg/kg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środowisko glebowe (gleba):</w:t>
      </w:r>
      <w:r>
        <w:rPr>
          <w:rFonts w:ascii="Arial" w:cs="Arial" w:eastAsia="Arial" w:hAnsi="Arial"/>
          <w:sz w:val="20"/>
          <w:szCs w:val="20"/>
        </w:rPr>
        <w:t xml:space="preserve">0,018mg/kg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2,6-di-tert-butylo-4-metylofenol (BHT) [CAS: 128-37-0]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Droga pokarmowa (doustnie):</w:t>
      </w:r>
      <w:r>
        <w:rPr>
          <w:rFonts w:ascii="Arial" w:cs="Arial" w:eastAsia="Arial" w:hAnsi="Arial"/>
          <w:sz w:val="20"/>
          <w:szCs w:val="20"/>
        </w:rPr>
        <w:t xml:space="preserve"> Konsumenci (skutki przewlekłe układowe): 0,25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Drogi oddechowe (inhalacyjnie):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0,86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3,5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Na skórę: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0,25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0,5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słodka:</w:t>
      </w:r>
      <w:r>
        <w:rPr>
          <w:rFonts w:ascii="Arial" w:cs="Arial" w:eastAsia="Arial" w:hAnsi="Arial"/>
          <w:sz w:val="20"/>
          <w:szCs w:val="20"/>
        </w:rPr>
        <w:t xml:space="preserve">0,000199mg/l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morska:</w:t>
      </w:r>
      <w:r>
        <w:rPr>
          <w:rFonts w:ascii="Arial" w:cs="Arial" w:eastAsia="Arial" w:hAnsi="Arial"/>
          <w:sz w:val="20"/>
          <w:szCs w:val="20"/>
        </w:rPr>
        <w:t xml:space="preserve">0,02 μg/l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słodkowodne:</w:t>
      </w:r>
      <w:r>
        <w:rPr>
          <w:rFonts w:ascii="Arial" w:cs="Arial" w:eastAsia="Arial" w:hAnsi="Arial"/>
          <w:sz w:val="20"/>
          <w:szCs w:val="20"/>
        </w:rPr>
        <w:t xml:space="preserve">0,0996mg/kg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morskie:</w:t>
      </w:r>
      <w:r>
        <w:rPr>
          <w:rFonts w:ascii="Arial" w:cs="Arial" w:eastAsia="Arial" w:hAnsi="Arial"/>
          <w:sz w:val="20"/>
          <w:szCs w:val="20"/>
        </w:rPr>
        <w:t xml:space="preserve">0,00996mg/kg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(uwalnianie okresowe):</w:t>
      </w:r>
      <w:r>
        <w:rPr>
          <w:rFonts w:ascii="Arial" w:cs="Arial" w:eastAsia="Arial" w:hAnsi="Arial"/>
          <w:sz w:val="20"/>
          <w:szCs w:val="20"/>
        </w:rPr>
        <w:t xml:space="preserve">0,00199mg/l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mikroorganizmy w oczyszczalni ścieków (STP):</w:t>
      </w:r>
      <w:r>
        <w:rPr>
          <w:rFonts w:ascii="Arial" w:cs="Arial" w:eastAsia="Arial" w:hAnsi="Arial"/>
          <w:sz w:val="20"/>
          <w:szCs w:val="20"/>
        </w:rPr>
        <w:t xml:space="preserve">0,17mg/l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łańcuch pokarmowy (zatrucie wtórne):</w:t>
      </w:r>
      <w:r>
        <w:rPr>
          <w:rFonts w:ascii="Arial" w:cs="Arial" w:eastAsia="Arial" w:hAnsi="Arial"/>
          <w:sz w:val="20"/>
          <w:szCs w:val="20"/>
        </w:rPr>
        <w:t xml:space="preserve">8,33mg/kg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środowisko glebowe (gleba):</w:t>
      </w:r>
      <w:r>
        <w:rPr>
          <w:rFonts w:ascii="Arial" w:cs="Arial" w:eastAsia="Arial" w:hAnsi="Arial"/>
          <w:sz w:val="20"/>
          <w:szCs w:val="20"/>
        </w:rPr>
        <w:t xml:space="preserve">0,04769mg/kg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toluen [CAS: 108-88-3]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Droga pokarmowa (doustnie):</w:t>
      </w:r>
      <w:r>
        <w:rPr>
          <w:rFonts w:ascii="Arial" w:cs="Arial" w:eastAsia="Arial" w:hAnsi="Arial"/>
          <w:sz w:val="20"/>
          <w:szCs w:val="20"/>
        </w:rPr>
        <w:t xml:space="preserve"> Konsumenci (skutki przewlekłe układowe): 8,13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Drogi oddechowe (inhalacyjnie):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Konsumenci:</w:t>
      </w:r>
      <w:r>
        <w:rPr>
          <w:rFonts w:ascii="Arial" w:cs="Arial" w:eastAsia="Arial" w:hAnsi="Arial"/>
          <w:sz w:val="20"/>
          <w:szCs w:val="20"/>
        </w:rPr>
        <w:t xml:space="preserve"> ostre miejscowe: 226 mg/m³, ostre układowe: 226 mg/m³, przewlekłe miejscowe: 56,5 mg/m³, przewlekłe układowe: 56,5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Pracownicy:</w:t>
      </w:r>
      <w:r>
        <w:rPr>
          <w:rFonts w:ascii="Arial" w:cs="Arial" w:eastAsia="Arial" w:hAnsi="Arial"/>
          <w:sz w:val="20"/>
          <w:szCs w:val="20"/>
        </w:rPr>
        <w:t xml:space="preserve"> ostre miejscowe: 384 mg/m³, ostre układowe: 384 mg/m³, przewlekłe miejscowe: 192 mg/m³, przewlekłe układowe: 192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Na skórę: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226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384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słodka:</w:t>
      </w:r>
      <w:r>
        <w:rPr>
          <w:rFonts w:ascii="Arial" w:cs="Arial" w:eastAsia="Arial" w:hAnsi="Arial"/>
          <w:sz w:val="20"/>
          <w:szCs w:val="20"/>
        </w:rPr>
        <w:t xml:space="preserve">0,68mg/l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morska:</w:t>
      </w:r>
      <w:r>
        <w:rPr>
          <w:rFonts w:ascii="Arial" w:cs="Arial" w:eastAsia="Arial" w:hAnsi="Arial"/>
          <w:sz w:val="20"/>
          <w:szCs w:val="20"/>
        </w:rPr>
        <w:t xml:space="preserve">0,68mg/l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słodkowodne:</w:t>
      </w:r>
      <w:r>
        <w:rPr>
          <w:rFonts w:ascii="Arial" w:cs="Arial" w:eastAsia="Arial" w:hAnsi="Arial"/>
          <w:sz w:val="20"/>
          <w:szCs w:val="20"/>
        </w:rPr>
        <w:t xml:space="preserve">16,39mg/kg/d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morskie:</w:t>
      </w:r>
      <w:r>
        <w:rPr>
          <w:rFonts w:ascii="Arial" w:cs="Arial" w:eastAsia="Arial" w:hAnsi="Arial"/>
          <w:sz w:val="20"/>
          <w:szCs w:val="20"/>
        </w:rPr>
        <w:t xml:space="preserve">16,39mg/kg/d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(uwalnianie okresowe):</w:t>
      </w:r>
      <w:r>
        <w:rPr>
          <w:rFonts w:ascii="Arial" w:cs="Arial" w:eastAsia="Arial" w:hAnsi="Arial"/>
          <w:sz w:val="20"/>
          <w:szCs w:val="20"/>
        </w:rPr>
        <w:t xml:space="preserve">0,68mg/l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mikroorganizmy w oczyszczalni ścieków (STP):</w:t>
      </w:r>
      <w:r>
        <w:rPr>
          <w:rFonts w:ascii="Arial" w:cs="Arial" w:eastAsia="Arial" w:hAnsi="Arial"/>
          <w:sz w:val="20"/>
          <w:szCs w:val="20"/>
        </w:rPr>
        <w:t xml:space="preserve">13,61mg/l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łańcuch pokarmowy (zatrucie wtórne):</w:t>
      </w:r>
      <w:r>
        <w:rPr>
          <w:rFonts w:ascii="Arial" w:cs="Arial" w:eastAsia="Arial" w:hAnsi="Arial"/>
          <w:sz w:val="20"/>
          <w:szCs w:val="20"/>
        </w:rPr>
        <w:t xml:space="preserve">2,89mg/kg soil dw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Zalecane procedury monitorowania:</w:t>
      </w:r>
      <w:r>
        <w:rPr>
          <w:rFonts w:ascii="Arial" w:cs="Arial" w:eastAsia="Arial" w:hAnsi="Arial"/>
          <w:sz w:val="20"/>
          <w:szCs w:val="20"/>
        </w:rPr>
        <w:t xml:space="preserve"> Należy stosować procedury monitorowania stężeń niebezpiecznych substancji w powietrzu na stanowiskach pracy oraz procedury kontroli wentylacji zgodnie z odpowiednimi Polskimi Normami.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 Kontrola narażenia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oczu:</w:t>
      </w:r>
      <w:r>
        <w:rPr>
          <w:rFonts w:ascii="Arial" w:cs="Arial" w:eastAsia="Arial" w:hAnsi="Arial"/>
          <w:sz w:val="20"/>
          <w:szCs w:val="20"/>
        </w:rPr>
        <w:t xml:space="preserve"> Nosić okulary ochronne w szczelnej obudowie lub gogle ochronne zgodne z normą PN-EN 166.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skóry:</w:t>
      </w:r>
      <w:r>
        <w:rPr>
          <w:rFonts w:ascii="Arial" w:cs="Arial" w:eastAsia="Arial" w:hAnsi="Arial"/>
          <w:sz w:val="20"/>
          <w:szCs w:val="20"/>
        </w:rPr>
        <w:t xml:space="preserve"> Stosować odpowiednią odzież roboczą chroniącą przed kontaktem z chemikaliami.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rąk:</w:t>
      </w:r>
      <w:r>
        <w:rPr>
          <w:rFonts w:ascii="Arial" w:cs="Arial" w:eastAsia="Arial" w:hAnsi="Arial"/>
          <w:sz w:val="20"/>
          <w:szCs w:val="20"/>
        </w:rPr>
        <w:t xml:space="preserve"> Stosować rękawice ochronne odporne na działanie chemikaliów (np. z kauczuku nitrylowego lub neoprenu) zgodne z normą PN-EN ISO 374-1. Czas przebicia i grubość materiału należy skonsultować z dostawcą rękawic.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dróg oddechowych:</w:t>
      </w:r>
      <w:r>
        <w:rPr>
          <w:rFonts w:ascii="Arial" w:cs="Arial" w:eastAsia="Arial" w:hAnsi="Arial"/>
          <w:sz w:val="20"/>
          <w:szCs w:val="20"/>
        </w:rPr>
        <w:t xml:space="preserve"> W normalnych warunkach stosowania przy właściwej wentylacji nie jest wymagana. W przypadku niedostatecznej wentylacji lub przekroczenia dopuszczalnych stężeń NDS stosować odpowiedni sprzęt ochrony dróg oddechowych z pochłaniaczem par typu A (norma PN-EN 14387).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Zagrożenia termiczne:</w:t>
      </w:r>
      <w:r>
        <w:rPr>
          <w:rFonts w:ascii="Arial" w:cs="Arial" w:eastAsia="Arial" w:hAnsi="Arial"/>
          <w:sz w:val="20"/>
          <w:szCs w:val="20"/>
        </w:rPr>
        <w:t xml:space="preserve"> Nie dotyczy.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Kontrola narażenia środowiska:</w:t>
      </w:r>
      <w:r>
        <w:rPr>
          <w:rFonts w:ascii="Arial" w:cs="Arial" w:eastAsia="Arial" w:hAnsi="Arial"/>
          <w:sz w:val="20"/>
          <w:szCs w:val="20"/>
        </w:rPr>
        <w:t xml:space="preserve"> Nie dopuścić do przedostania się dużych ilości produktu do kanalizacji, wód powierzchniowych ani gruntowych.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higieniczne i techniczne:</w:t>
      </w:r>
      <w:r>
        <w:rPr>
          <w:rFonts w:ascii="Arial" w:cs="Arial" w:eastAsia="Arial" w:hAnsi="Arial"/>
          <w:sz w:val="20"/>
          <w:szCs w:val="20"/>
        </w:rPr>
        <w:t xml:space="preserve"> Zapewnić odpowiednią wentylację ogólną i miejscową na stanowiskach pracy. Myć ręce po zakończeniu pracy z produktem. Nie jeść i nie pić podczas stosowania.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9: WŁAŚCIWOŚCI FIZYCZNE I CHEMICZNE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9.1. Informacje na temat podstawowych właściwości fizycznych i chemicznych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 skupienia:</w:t>
      </w:r>
      <w:r>
        <w:rPr>
          <w:rFonts w:ascii="Arial" w:cs="Arial" w:eastAsia="Arial" w:hAnsi="Arial"/>
          <w:sz w:val="20"/>
          <w:szCs w:val="20"/>
        </w:rPr>
        <w:t xml:space="preserve"> ciecz (temperatura: 20 °C)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Kolor:</w:t>
      </w:r>
      <w:r>
        <w:rPr>
          <w:rFonts w:ascii="Arial" w:cs="Arial" w:eastAsia="Arial" w:hAnsi="Arial"/>
          <w:sz w:val="20"/>
          <w:szCs w:val="20"/>
        </w:rPr>
        <w:t xml:space="preserve"> różowy (temperatura: 20 °C)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Zapach:</w:t>
      </w:r>
      <w:r>
        <w:rPr>
          <w:rFonts w:ascii="Arial" w:cs="Arial" w:eastAsia="Arial" w:hAnsi="Arial"/>
          <w:sz w:val="20"/>
          <w:szCs w:val="20"/>
        </w:rPr>
        <w:t xml:space="preserve"> charakterystyczny (metoda wewnętrzna)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topnienia/krzepnięcia:</w:t>
      </w:r>
      <w:r>
        <w:rPr>
          <w:rFonts w:ascii="Arial" w:cs="Arial" w:eastAsia="Arial" w:hAnsi="Arial"/>
          <w:sz w:val="20"/>
          <w:szCs w:val="20"/>
        </w:rPr>
        <w:t xml:space="preserve"> -114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wrzenia lub początkowa temperatura wrzenia i zakres temperatur wrzenia:</w:t>
      </w:r>
      <w:r>
        <w:rPr>
          <w:rFonts w:ascii="Arial" w:cs="Arial" w:eastAsia="Arial" w:hAnsi="Arial"/>
          <w:sz w:val="20"/>
          <w:szCs w:val="20"/>
        </w:rPr>
        <w:t xml:space="preserve"> 78,5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Palność materiałów:</w:t>
      </w:r>
      <w:r>
        <w:rPr>
          <w:rFonts w:ascii="Arial" w:cs="Arial" w:eastAsia="Arial" w:hAnsi="Arial"/>
          <w:sz w:val="20"/>
          <w:szCs w:val="20"/>
        </w:rPr>
        <w:t xml:space="preserve"> ciecz łatwopalna (metoda: ISO 3679:2015)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Dolna i górna granica wybuchowości:</w:t>
      </w:r>
      <w:r>
        <w:rPr>
          <w:rFonts w:ascii="Arial" w:cs="Arial" w:eastAsia="Arial" w:hAnsi="Arial"/>
          <w:sz w:val="20"/>
          <w:szCs w:val="20"/>
        </w:rPr>
        <w:t xml:space="preserve"> Dolna granica wybuchowości (DGW): 3,3 % (v/v); Górna granica wybuchowości (GGW): 19 % (v/v)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zapłonu:</w:t>
      </w:r>
      <w:r>
        <w:rPr>
          <w:rFonts w:ascii="Arial" w:cs="Arial" w:eastAsia="Arial" w:hAnsi="Arial"/>
          <w:sz w:val="20"/>
          <w:szCs w:val="20"/>
        </w:rPr>
        <w:t xml:space="preserve"> 18,7 °C (metoda: ISO 3679:2015)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samozapłonu:</w:t>
      </w:r>
      <w:r>
        <w:rPr>
          <w:rFonts w:ascii="Arial" w:cs="Arial" w:eastAsia="Arial" w:hAnsi="Arial"/>
          <w:sz w:val="20"/>
          <w:szCs w:val="20"/>
        </w:rPr>
        <w:t xml:space="preserve"> 363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rozkładu:</w:t>
      </w:r>
      <w:r>
        <w:rPr>
          <w:rFonts w:ascii="Arial" w:cs="Arial" w:eastAsia="Arial" w:hAnsi="Arial"/>
          <w:sz w:val="20"/>
          <w:szCs w:val="20"/>
        </w:rPr>
        <w:t xml:space="preserve"> nie określono (substancje mogą ulegać rozkładowi)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pH:</w:t>
      </w:r>
      <w:r>
        <w:rPr>
          <w:rFonts w:ascii="Arial" w:cs="Arial" w:eastAsia="Arial" w:hAnsi="Arial"/>
          <w:sz w:val="20"/>
          <w:szCs w:val="20"/>
        </w:rPr>
        <w:t xml:space="preserve"> 5 - 8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Lepkość kinematyczna:</w:t>
      </w:r>
      <w:r>
        <w:rPr>
          <w:rFonts w:ascii="Arial" w:cs="Arial" w:eastAsia="Arial" w:hAnsi="Arial"/>
          <w:sz w:val="20"/>
          <w:szCs w:val="20"/>
        </w:rPr>
        <w:t xml:space="preserve"> 1,5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Rozpuszczalność w wodzie:</w:t>
      </w:r>
      <w:r>
        <w:rPr>
          <w:rFonts w:ascii="Arial" w:cs="Arial" w:eastAsia="Arial" w:hAnsi="Arial"/>
          <w:sz w:val="20"/>
          <w:szCs w:val="20"/>
        </w:rPr>
        <w:t xml:space="preserve"> rozpuszczalny w wodzie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Rozpuszczalność w innych rozpuszczalnikach:</w:t>
      </w:r>
      <w:r>
        <w:rPr>
          <w:rFonts w:ascii="Arial" w:cs="Arial" w:eastAsia="Arial" w:hAnsi="Arial"/>
          <w:sz w:val="20"/>
          <w:szCs w:val="20"/>
        </w:rPr>
        <w:t xml:space="preserve"> Nie dotyczy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Współczynnik podziału n-oktanol/woda (wartość współczynnika log):</w:t>
      </w:r>
      <w:r>
        <w:rPr>
          <w:rFonts w:ascii="Arial" w:cs="Arial" w:eastAsia="Arial" w:hAnsi="Arial"/>
          <w:sz w:val="20"/>
          <w:szCs w:val="20"/>
        </w:rPr>
        <w:t xml:space="preserve"> -0,35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Prężność pary:</w:t>
      </w:r>
      <w:r>
        <w:rPr>
          <w:rFonts w:ascii="Arial" w:cs="Arial" w:eastAsia="Arial" w:hAnsi="Arial"/>
          <w:sz w:val="20"/>
          <w:szCs w:val="20"/>
        </w:rPr>
        <w:t xml:space="preserve"> 5,9 kPa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Gęstość lub gęstość względna:</w:t>
      </w:r>
      <w:r>
        <w:rPr>
          <w:rFonts w:ascii="Arial" w:cs="Arial" w:eastAsia="Arial" w:hAnsi="Arial"/>
          <w:sz w:val="20"/>
          <w:szCs w:val="20"/>
        </w:rPr>
        <w:t xml:space="preserve"> 0,855 g/cm³ (metoda wewnętrzna)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Względna gęstość pary:</w:t>
      </w:r>
      <w:r>
        <w:rPr>
          <w:rFonts w:ascii="Arial" w:cs="Arial" w:eastAsia="Arial" w:hAnsi="Arial"/>
          <w:sz w:val="20"/>
          <w:szCs w:val="20"/>
        </w:rPr>
        <w:t xml:space="preserve"> 1,6 (metoda: HSDB, 2015; INRS, 2011)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Charakterystyka cząsteczek:</w:t>
      </w:r>
      <w:r>
        <w:rPr>
          <w:rFonts w:ascii="Arial" w:cs="Arial" w:eastAsia="Arial" w:hAnsi="Arial"/>
          <w:sz w:val="20"/>
          <w:szCs w:val="20"/>
        </w:rPr>
        <w:t xml:space="preserve"> Nie dotyczy (produkt płynny)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 Inne informacje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Lotne Związki Organiczne (LZO / VOC):</w:t>
      </w:r>
      <w:r>
        <w:rPr>
          <w:rFonts w:ascii="Arial" w:cs="Arial" w:eastAsia="Arial" w:hAnsi="Arial"/>
          <w:sz w:val="20"/>
          <w:szCs w:val="20"/>
        </w:rPr>
        <w:t xml:space="preserve"> ok. 76–78% (ok. 663 g/l)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9.2.1. Informacje dotyczące klas zagrożenia fizycznego: Brak dodatkowych danych badawczych.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9.2.2. Inne właściwości bezpieczeństwa: Zawartość LZO (VOC): ok. 76–78% (ok. 663 g/l).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10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 Reaktywność: brak szczególnych zagrożeń.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11: INFORMACJE TOKSYKOLOGICZNE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 Informacje na temat klas zagrożenia zdefiniowanych w rozporządzeniu (WE) nr 1272/2008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przypadku braku danych doświadczalnych dla samego produktu, zagrożenia dla zdrowia ocenia się zgodnie z właściwościami zawartych w nim substancji, stosując kryteria określone w odpowiednich przepisach dotyczących klasyfikacji.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związku z tym należy wziąć pod uwagę stężenia poszczególnych substancji niebezpiecznych wskazanych w sekcji 3, aby ocenić skutki toksykologiczne narażenia na produkt.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Metabolizm, toksykokinetyka, mechanizm działania i inne informacje: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dostępnych informacji.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dotyczące prawdopodobnych dróg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PRACOWNICY: przez drogi oddechowe (inhalacyjnie); kontakt ze skórą.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KONSUMENCI: spożycie skażonej żywności lub wody; przez drogi oddechowe (inhalacyjnie) z powietrza otoczenia; kontakt ze skórą z produktami zawierającymi substancję.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Opóźnione, bezpośrednie oraz przewlekłe skutki krótko- i długotrwałego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ośrodkowy i obwodowy układ nerwowy z encefalopatią i polineuropatią; działa drażniąco na skórę, spojówki, rogówkę i układ oddechowy.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Skutki wzajemnego oddziaływania: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Niektóre leki i inne produkty przemysłowe mogą zakłócać metabolizm toluenu.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Toksyczność ostra: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(przez drogi oddechowe - inhalacyjnie) mieszaniny: Nie sklasyfikowano (brak istotnych składników)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(droga pokarmowa - doustnie) mieszaniny: Nie sklasyfikowano (brak istotnych składników)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(na skórę) mieszaniny: Nie sklasyfikowano (brak istotnych składników)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pokarmowa): &gt; 5000 mg/kg (szczur)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(przez drogi oddechowe, pary): &gt; 50 mg/l/4h (szczur)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skórę): &gt; 5000 mg/kg (królik)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pokarmowa): 3210 mg/kg (szczur)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(przez drogi oddechowe, pary): 0,32 mg/l/7h (szczur)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Kumaryna: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skórę): 293 mg/kg mc (szczur)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pokarmowa): 290 mg/kg mc (szczur)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(przez drogi oddechowe, pyły/mgły): 293 mg/m³ (szczur)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skórę): &gt; 2000 mg/kg (szczur)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pokarmowa): 2930 mg/kg (szczur)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skórę): &gt; 5000 mg/kg mc (królik)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pokarmowa): &gt; 5000 mg/kg mc (szczur)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(przez drogi oddechowe, pary): 100 ppm (człowiek)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żrące/drażniące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 nie spełnia kryteriów klasyfikacji.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Poważne uszkodzenie oczu/działanie drażniące na oczy: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 drażniąco na oczy.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uczulające na drogi oddechowe lub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Może powodować wystąpienie reakcji alergicznej skóry.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Zawiera: kumarynę.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mutagenne na komórki rozrodcze: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 nie spełnia kryteriów klasyfikacji.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Rakotwórczość: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 nie spełnia kryteriów klasyfikacji.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 Sklasyfikowany w grupie 3 (nie można zaklasyfikować jako rakotwórczy dla ludzi) przez Międzynarodową Agencję Badań nad Rakiem (IARC) – (IARC, 1999). Agencja Ochrony Środowiska USA (EPA) wskazuje, że dane są niewystarczające do oceny potencjału rakotwórczego.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Szkodliwe działanie na rozrodczość: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 nie spełnia kryteriów klasyfikacji.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narządy docelowe – narażenie jednorazowe: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 nie spełnia kryteriów klasyfikacji.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narządy docelowe – narażenie powtarzane: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 nie spełnia kryteriów klasyfikacji.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Zagrożenie spowodowane aspiracją: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 nie spełnia kryteriów klasyfikacji.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 Informacje o innych zagrożeniach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11.2.1. Właściwości zaburzające funkcjonowanie układu hormonalnego: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 produkt nie zawiera substancji wymienionych w głównych europejskich wykazach potencjalnych lub podejrzewanych substancji zaburzających funkcjonowanie układu hormonalnego o wpływie na zdrowie człowieka w stężeniu ≥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11.2.2. Inne informacje: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dalszych istotnych informacji.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12: INFORMACJE EKOLOGICZNE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12.1. Toksyczność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Stosować dobrą praktykę zawodową, unikając przedostawania się produktu do środowiska.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Właściwości ekotoksykologiczne mieszaniny: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została zaklasyfikowana jako stwarzająca zagrożenie dla środowiska.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danych doświadczalnych dla mieszaniny.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ekotoksykologiczne o składnikach: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LC50 (ryby):</w:t>
      </w:r>
      <w:r>
        <w:rPr>
          <w:rFonts w:ascii="Arial" w:cs="Arial" w:eastAsia="Arial" w:hAnsi="Arial"/>
          <w:sz w:val="20"/>
          <w:szCs w:val="20"/>
        </w:rPr>
        <w:t xml:space="preserve">14200 mg/l/(96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(skorupiaki):</w:t>
      </w:r>
      <w:r>
        <w:rPr>
          <w:rFonts w:ascii="Arial" w:cs="Arial" w:eastAsia="Arial" w:hAnsi="Arial"/>
          <w:sz w:val="20"/>
          <w:szCs w:val="20"/>
        </w:rPr>
        <w:t xml:space="preserve">454 mg/l/(48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(glony / rośliny wodne):</w:t>
      </w:r>
      <w:r>
        <w:rPr>
          <w:rFonts w:ascii="Arial" w:cs="Arial" w:eastAsia="Arial" w:hAnsi="Arial"/>
          <w:sz w:val="20"/>
          <w:szCs w:val="20"/>
        </w:rPr>
        <w:t xml:space="preserve">275 mg/l/(72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ryby):</w:t>
      </w:r>
      <w:r>
        <w:rPr>
          <w:rFonts w:ascii="Arial" w:cs="Arial" w:eastAsia="Arial" w:hAnsi="Arial"/>
          <w:sz w:val="20"/>
          <w:szCs w:val="20"/>
        </w:rPr>
        <w:t xml:space="preserve">250 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skorupiaki):</w:t>
      </w:r>
      <w:r>
        <w:rPr>
          <w:rFonts w:ascii="Arial" w:cs="Arial" w:eastAsia="Arial" w:hAnsi="Arial"/>
          <w:sz w:val="20"/>
          <w:szCs w:val="20"/>
        </w:rPr>
        <w:t xml:space="preserve">96 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glony):</w:t>
      </w:r>
      <w:r>
        <w:rPr>
          <w:rFonts w:ascii="Arial" w:cs="Arial" w:eastAsia="Arial" w:hAnsi="Arial"/>
          <w:sz w:val="20"/>
          <w:szCs w:val="20"/>
        </w:rPr>
        <w:t xml:space="preserve">11,5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aldehyd anyżowy (4-metoksybenzaldehyd) (CAS: 123-11-5):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LC50 (ryby):</w:t>
      </w:r>
      <w:r>
        <w:rPr>
          <w:rFonts w:ascii="Arial" w:cs="Arial" w:eastAsia="Arial" w:hAnsi="Arial"/>
          <w:sz w:val="20"/>
          <w:szCs w:val="20"/>
        </w:rPr>
        <w:t xml:space="preserve">148,32 mg/l/(96 h) Leuciscus idus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(skorupiaki):</w:t>
      </w:r>
      <w:r>
        <w:rPr>
          <w:rFonts w:ascii="Arial" w:cs="Arial" w:eastAsia="Arial" w:hAnsi="Arial"/>
          <w:sz w:val="20"/>
          <w:szCs w:val="20"/>
        </w:rPr>
        <w:t xml:space="preserve">82,8 mg/l/(48 h) Daphnia magna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(glony / rośliny wodne):</w:t>
      </w:r>
      <w:r>
        <w:rPr>
          <w:rFonts w:ascii="Arial" w:cs="Arial" w:eastAsia="Arial" w:hAnsi="Arial"/>
          <w:sz w:val="20"/>
          <w:szCs w:val="20"/>
        </w:rPr>
        <w:t xml:space="preserve">81,11 mg/l/(72 h) Desmodesmus subspicatus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ryby):</w:t>
      </w:r>
      <w:r>
        <w:rPr>
          <w:rFonts w:ascii="Arial" w:cs="Arial" w:eastAsia="Arial" w:hAnsi="Arial"/>
          <w:sz w:val="20"/>
          <w:szCs w:val="20"/>
        </w:rPr>
        <w:t xml:space="preserve">100 mg/l/(96 h) Leuciscus idus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kumaryna (2H-chromen-2-on) (CAS: 91-64-5):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LC50 (ryby):</w:t>
      </w:r>
      <w:r>
        <w:rPr>
          <w:rFonts w:ascii="Arial" w:cs="Arial" w:eastAsia="Arial" w:hAnsi="Arial"/>
          <w:sz w:val="20"/>
          <w:szCs w:val="20"/>
        </w:rPr>
        <w:t xml:space="preserve">1,324 mg/l/(96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(skorupiaki):</w:t>
      </w:r>
      <w:r>
        <w:rPr>
          <w:rFonts w:ascii="Arial" w:cs="Arial" w:eastAsia="Arial" w:hAnsi="Arial"/>
          <w:sz w:val="20"/>
          <w:szCs w:val="20"/>
        </w:rPr>
        <w:t xml:space="preserve">8,012 mg/l/(48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(glony / rośliny wodne):</w:t>
      </w:r>
      <w:r>
        <w:rPr>
          <w:rFonts w:ascii="Arial" w:cs="Arial" w:eastAsia="Arial" w:hAnsi="Arial"/>
          <w:sz w:val="20"/>
          <w:szCs w:val="20"/>
        </w:rPr>
        <w:t xml:space="preserve">1,452 mg/l/(72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ryby):</w:t>
      </w:r>
      <w:r>
        <w:rPr>
          <w:rFonts w:ascii="Arial" w:cs="Arial" w:eastAsia="Arial" w:hAnsi="Arial"/>
          <w:sz w:val="20"/>
          <w:szCs w:val="20"/>
        </w:rPr>
        <w:t xml:space="preserve">0,119 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skorupiaki):</w:t>
      </w:r>
      <w:r>
        <w:rPr>
          <w:rFonts w:ascii="Arial" w:cs="Arial" w:eastAsia="Arial" w:hAnsi="Arial"/>
          <w:sz w:val="20"/>
          <w:szCs w:val="20"/>
        </w:rPr>
        <w:t xml:space="preserve">0,448 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glony):</w:t>
      </w:r>
      <w:r>
        <w:rPr>
          <w:rFonts w:ascii="Arial" w:cs="Arial" w:eastAsia="Arial" w:hAnsi="Arial"/>
          <w:sz w:val="20"/>
          <w:szCs w:val="20"/>
        </w:rPr>
        <w:t xml:space="preserve">0,408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2,6-di-tert-butylo-4-metylofenol (BHT) (CAS: 128-37-0):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LC50 (ryby):</w:t>
      </w:r>
      <w:r>
        <w:rPr>
          <w:rFonts w:ascii="Arial" w:cs="Arial" w:eastAsia="Arial" w:hAnsi="Arial"/>
          <w:sz w:val="20"/>
          <w:szCs w:val="20"/>
        </w:rPr>
        <w:t xml:space="preserve">0,199 mg/l/(96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(skorupiaki):</w:t>
      </w:r>
      <w:r>
        <w:rPr>
          <w:rFonts w:ascii="Arial" w:cs="Arial" w:eastAsia="Arial" w:hAnsi="Arial"/>
          <w:sz w:val="20"/>
          <w:szCs w:val="20"/>
        </w:rPr>
        <w:t xml:space="preserve">0,48 mg/l/(48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(glony / rośliny wodne):</w:t>
      </w:r>
      <w:r>
        <w:rPr>
          <w:rFonts w:ascii="Arial" w:cs="Arial" w:eastAsia="Arial" w:hAnsi="Arial"/>
          <w:sz w:val="20"/>
          <w:szCs w:val="20"/>
        </w:rPr>
        <w:t xml:space="preserve">&gt; 0,4 mg/l/(72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ryby):</w:t>
      </w:r>
      <w:r>
        <w:rPr>
          <w:rFonts w:ascii="Arial" w:cs="Arial" w:eastAsia="Arial" w:hAnsi="Arial"/>
          <w:sz w:val="20"/>
          <w:szCs w:val="20"/>
        </w:rPr>
        <w:t xml:space="preserve">0,053 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skorupiaki):</w:t>
      </w:r>
      <w:r>
        <w:rPr>
          <w:rFonts w:ascii="Arial" w:cs="Arial" w:eastAsia="Arial" w:hAnsi="Arial"/>
          <w:sz w:val="20"/>
          <w:szCs w:val="20"/>
        </w:rPr>
        <w:t xml:space="preserve">0,15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toluen (CAS: 108-88-3):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LC50 (ryby):</w:t>
      </w:r>
      <w:r>
        <w:rPr>
          <w:rFonts w:ascii="Arial" w:cs="Arial" w:eastAsia="Arial" w:hAnsi="Arial"/>
          <w:sz w:val="20"/>
          <w:szCs w:val="20"/>
        </w:rPr>
        <w:t xml:space="preserve">5,5 mg/l/(96 h) Oncorhynchus kisutch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(skorupiaki):</w:t>
      </w:r>
      <w:r>
        <w:rPr>
          <w:rFonts w:ascii="Arial" w:cs="Arial" w:eastAsia="Arial" w:hAnsi="Arial"/>
          <w:sz w:val="20"/>
          <w:szCs w:val="20"/>
        </w:rPr>
        <w:t xml:space="preserve">3,78 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(glony / rośliny wodne):</w:t>
      </w:r>
      <w:r>
        <w:rPr>
          <w:rFonts w:ascii="Arial" w:cs="Arial" w:eastAsia="Arial" w:hAnsi="Arial"/>
          <w:sz w:val="20"/>
          <w:szCs w:val="20"/>
        </w:rPr>
        <w:t xml:space="preserve">134 mg/l/(3 h) Chlorella vulgaris and Chlamydomonas angulosa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glony):</w:t>
      </w:r>
      <w:r>
        <w:rPr>
          <w:rFonts w:ascii="Arial" w:cs="Arial" w:eastAsia="Arial" w:hAnsi="Arial"/>
          <w:sz w:val="20"/>
          <w:szCs w:val="20"/>
        </w:rPr>
        <w:t xml:space="preserve">10 mg/l/(72 h) Skeletonema costatum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12.2. Trwałość i zdolność do rozkładu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(CAS: 64-17-5): Szybko ulega degradacji (substancja łatwo biodegradowalna). Rozpuszczalność w wodzie: 1000 - 10000 mg/l.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 (4-metoksybenzaldehyd) (CAS: 123-11-5):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kumaryna (2H-chromen-2-on) (CAS: 91-64-5):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Szybko ulega degradacji (substancja łatwo biodegradowalna). Rozpuszczalność w wodzie: 100 - 1000 mg/l.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trwałości i rozkładu mieszaniny.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12.3. Zdolność do bioakumulacji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(CAS: 64-17-5): współczynnik podziału n-oktanol/woda (log Kow): -0,35.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współczynnik podziału n-oktanol/woda (log Kow): 5,1, współczynnik biokoncentracji BCF = 598,4.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współczynnik podziału n-oktanol/woda (log Kow): 2,73, współczynnik biokoncentracji BCF = 90.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bioakumulacji dla mieszaniny.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12.4. Mobilność w glebie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 (4-metoksybenzaldehyd) (CAS: 123-11-5): współczynnik podziału gleba/woda (Koc): 1.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współczynnik podziału gleba/woda (Koc): 4,2.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współczynnik podziału gleba/woda (Koc): 2,31.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mobilności mieszaniny w glebie.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12.5. Wyniki oceny właściwości PBT i vPvB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zawiera substancji spełniających kryteria PBT lub vPvB zgodnie z załącznikiem XIII do rozporządzenia REACH w stężeniu ≥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12.6. Właściwości zaburzające funkcjonowanie układu hormonalnego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zawiera substancji o właściwościach zaburzających funkcjonowanie układu hormonalnego w odniesieniu do środowiska w stężeniu ≥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12.7. Inne szkodliwe skutki działania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są znane żadne inne szkodliwe skutki działania na środowisko (brak potencjału niszczenia warstwy ozonowej, tworzenia ozonu fotochemicznego ani wpływu na globalne ocieplenie).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13: POSTĘPOWANIE Z ODPADAMI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13.1. Metody unieszkodliwiania odpadów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produktu i pozostałości: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Odzyskać, jeśli to możliwe. Nie wprowadzać do kanalizacji, wód powierzchniowych, gruntowych ani gleby. Pozostałości produktu oraz odpady należy poddać odzyskowi lub unieszkodliwianiu w uprawnionych instalacjach (np. spalarniach termicznych lub wyspecjalizowanych zakładach utylizacji odpadów) posiadających stosowne zezwolenia na prowadzenie gospodarki odpadami zgodnie z obowiązującymi przepisami.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odpadów opakowaniowych: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Całkowicie opróżnione opakowania poddać procesowi odzysku lub recyklingu materiałowego w ramach selektywnej zbiórki odpadów. Opakowania zanieczyszczone pozostałościami produktu traktować zgodnie z ich stopniem skażenia – w przypadku substancji niebezpiecznych likwidować jak sam produkt u uprawnionego odbiorcy odpadów.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Klasyfikacja i kody odpadów (Katalog Odpadów Dz.U. 2020 poz. 10):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Odpady z produktu (dla zastosowań profesjonalnych / przemysłowych):</w:t>
      </w:r>
      <w:r>
        <w:rPr>
          <w:rFonts w:ascii="Arial" w:cs="Arial" w:eastAsia="Arial" w:hAnsi="Arial"/>
          <w:sz w:val="20"/>
          <w:szCs w:val="20"/>
        </w:rPr>
        <w:t xml:space="preserve"> 16 03 05* (Organiczne odpady zawierające substancje niebezpieczne) lub 16 05 08* (Zużyte chemikalia zawierające substancje niebezpieczne).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Odpady z produktu (dla konsumentów / odpady komunalne):</w:t>
      </w:r>
      <w:r>
        <w:rPr>
          <w:rFonts w:ascii="Arial" w:cs="Arial" w:eastAsia="Arial" w:hAnsi="Arial"/>
          <w:sz w:val="20"/>
          <w:szCs w:val="20"/>
        </w:rPr>
        <w:t xml:space="preserve"> 20 01 29* (Detergenty zawierające substancje niebezpieczne) lub 20 01 27*.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Odpady opakowaniowe:</w:t>
      </w:r>
      <w:r>
        <w:rPr>
          <w:rFonts w:ascii="Arial" w:cs="Arial" w:eastAsia="Arial" w:hAnsi="Arial"/>
          <w:sz w:val="20"/>
          <w:szCs w:val="20"/>
        </w:rPr>
        <w:t xml:space="preserve"> 15 01 02 (Opakowania z tworzyw sztucznych) [w przypadku opakowań zanieczyszczonych substancjami niebezpiecznymi: 15 01 10*].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Uwaga:</w:t>
      </w:r>
      <w:r>
        <w:rPr>
          <w:rFonts w:ascii="Arial" w:cs="Arial" w:eastAsia="Arial" w:hAnsi="Arial"/>
          <w:sz w:val="20"/>
          <w:szCs w:val="20"/>
        </w:rPr>
        <w:t xml:space="preserve"> Podane kody odpadów mają charakter zalecany. Szczegółowy i ostateczny kod odpadu musi zostać nadany bezpośrednio przez wytwórcę odpadu, w oparciu o miejsce, branżę i specyfikę jego powstawania (BDO).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Krajowe i unijne akty prawne dotyczące gospodarki odpadami: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14 grudnia 2012 r. o odpadach (t.j. Dz.U. 2023 poz. 1587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13 czerwca 2013 r. o gospodarce opakowaniami i odpadami opakowaniowymi (t.j. Dz.U. 2023 poz. 1658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Klimatu z dnia 2 stycznia 2020 r. w sprawie katalogu odpadów (Dz.U. 2020 poz. 10).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Dyrektywa Parlamentu Europejskiego i Rady 2008/98/WE z dnia 19 listopada 2008 r. w sprawie odpadów oraz uchylająca niektóre dyrektywy.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14: INFORMACJE DOTYCZĄCE TRANSPORTU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podlega przepisom dotyczącym międzynarodowego przewozu towarów niebezpiecznych (ADR/RID, IMDG, ICAO/IATA).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14.1. Numer UN lub numer identyfikacyjny ID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UN 1170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14.2. Prawidłowa nazwa przewozowa UN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(ALKOHOL ETYLOWY) lub ETANOL W ROZTWORZE (ALKOHOL ETYLOWY W ROZTWORZE)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14.3. Klasa(-y) zagrożenia w transporcie</w:t>
      </w:r>
    </w:p>
    <w:p>
      <w:pPr>
        <w:spacing w:after="100" w:before="60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 / RID, IMDG, IATA: Klasa 3 (Materiały ciekłe zapalne)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Nalepka ostrzegawcza:</w:t>
      </w:r>
      <w:r>
        <w:rPr>
          <w:rFonts w:ascii="Arial" w:cs="Arial" w:eastAsia="Arial" w:hAnsi="Arial"/>
          <w:sz w:val="20"/>
          <w:szCs w:val="20"/>
        </w:rPr>
        <w:t xml:space="preserve"> Nr 3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14.4. Grupa pakowania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Grupa pakowania ADR / RID, IMDG, IATA:II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14.5. Zagrożenia dla środowiska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(produkt nie jest zaklasyfikowany jako stwarzający zagrożenie dla środowiska w transporcie).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14.6. Szczególne środki ostrożności dla użytkowników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Ilości ograniczone (LQ):</w:t>
      </w:r>
      <w:r>
        <w:rPr>
          <w:rFonts w:ascii="Arial" w:cs="Arial" w:eastAsia="Arial" w:hAnsi="Arial"/>
          <w:sz w:val="20"/>
          <w:szCs w:val="20"/>
        </w:rPr>
        <w:t xml:space="preserve"> 1 L</w:t>
      </w:r>
    </w:p>
    <w:p>
      <w:pPr>
        <w:spacing w:after="80" w:before="40"/>
      </w:pPr>
      <w:r>
        <w:drawing>
          <wp:inline distT="0" distB="0" distL="0" distR="0">
            <wp:extent cx="666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i/>
          <w:iCs/>
          <w:sz w:val="16"/>
          <w:szCs w:val="16"/>
        </w:rPr>
        <w:t xml:space="preserve">  Znak dla towarów pakowanych w ilościach ograniczonych (LQ) zgodnie z działem 3.4 Umowy ADR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Kod ograniczeń przewozu przez tunele:</w:t>
      </w:r>
      <w:r>
        <w:rPr>
          <w:rFonts w:ascii="Arial" w:cs="Arial" w:eastAsia="Arial" w:hAnsi="Arial"/>
          <w:sz w:val="20"/>
          <w:szCs w:val="20"/>
        </w:rPr>
        <w:t xml:space="preserve"> (D/E)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Transportować w szczelnie zamkniętych, certyfikowanych opakowaniach, zabezpieczonych przed przemieszczaniem i uszkodzeniami mechanicznymi.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Kierowca powinien posiadać stosowne uprawnienia ADR oraz wymagane wyposażenie ochronne pojazdu.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14.7. Transport morski luzem zgodnie z instrumentami IMO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dotyczy (produkt nie jest przewożony luzem w chemikaliowcach morskich).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15: INFORMACJE DOTYCZĄCE PRZEPISÓW PRAWNYCH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15.1. Przepisy prawne dotyczące bezpieczeństwa, zdrowia i ochrony środowiska specyficzne dla substancji lub mieszaniny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Prawodawstwo Unii Europejskiej: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(WE) nr 1907/2006 Parlamentu Europejskiego i Rady z dnia 18 grudnia 2006 r. w sprawie rejestracji, oceny, udzielania zezwoleń i stosowanych ograniczeń w zakresie chemikaliów (REACH) z późniejszymi zmianami.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Komisji (UE) 2020/878 z dnia 18 czerwca 2020 r. zmieniające załącznik II do rozporządzenia (WE) nr 1907/2006 (wymogi dotyczące sporządzania kart charakterystyki).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Parlamentu Europejskiego i Rady (WE) nr 1272/2008 z dnia 16 grudnia 2008 r. w sprawie klasyfikacji, oznakowania i pakowania substancji i mieszanin (CLP) z późniejszymi zmianami (kolejne ATP).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Substancje wzbudzające szczególnie duże obawy (SVHC – REACH załącznik XIV):</w:t>
      </w:r>
      <w:r>
        <w:rPr>
          <w:rFonts w:ascii="Arial" w:cs="Arial" w:eastAsia="Arial" w:hAnsi="Arial"/>
          <w:sz w:val="20"/>
          <w:szCs w:val="20"/>
        </w:rPr>
        <w:t xml:space="preserve"> Mieszanina nie zawiera substancji z listy kandydackiej SVHC podlegających procedurze udzielania zezwoleń (REACH załącznik XIV) w stężeniu ≥ 0,1% wag.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Ograniczenia dotyczące produkcji, wprowadzania do obrotu i stosowania niektórych niebezpiecznych substancji (REACH załącznik XVII):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Produkt podlega ograniczeniom wynikającym z pozycji 3 (Ciekłe substancje lub mieszaniny stwarzające zagrożenie w rozumieniu rozporządzenia CLP) oraz pozycji 40 (Substancje zaklasyfikowane jako ciecze łatwopalne kategorii 1, 2 lub 3).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Substancje zawarte w mieszaninie podlegają ograniczeniom wynikającym z pozycji 75 (Substancje w tuszach do tatuażu i makijażu permanentnego).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Dyrektywa Seveso III (2012/18/UE) / Rozporządzenie Ministra Rozwoju z dnia 29 stycznia 2016 r. (Dz.U. 2016 poz. 138):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Kategoria zagrożenia:</w:t>
      </w:r>
      <w:r>
        <w:rPr>
          <w:rFonts w:ascii="Arial" w:cs="Arial" w:eastAsia="Arial" w:hAnsi="Arial"/>
          <w:sz w:val="20"/>
          <w:szCs w:val="20"/>
        </w:rPr>
        <w:t xml:space="preserve"> P5c CIECZE ŁATWOPALNE.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Ilości progowe substancji niebezpiecznych decydujące o zaliczeniu zakładu:</w:t>
      </w:r>
      <w:r>
        <w:rPr>
          <w:rFonts w:ascii="Arial" w:cs="Arial" w:eastAsia="Arial" w:hAnsi="Arial"/>
          <w:sz w:val="20"/>
          <w:szCs w:val="20"/>
        </w:rPr>
        <w:t xml:space="preserve"> Zakład o Zwiększonym Ryzyku (ZZR) – 5 000 t; Zakład o Dużym Ryzyku (ZDR) – 50 000 t.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Rozporządzenie Parlamentu Europejskiego i Rady (UE) nr 649/2012 z dnia 4 lipca 2012 r. dotyczące wywozu i przywozu niebezpiecznych chemikaliów (PIC):</w:t>
      </w:r>
      <w:r>
        <w:rPr>
          <w:rFonts w:ascii="Arial" w:cs="Arial" w:eastAsia="Arial" w:hAnsi="Arial"/>
          <w:sz w:val="20"/>
          <w:szCs w:val="20"/>
        </w:rPr>
        <w:t xml:space="preserve"> Nie dotyczy.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Prawodawstwo Rzeczypospolitej Polskiej: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25 lutego 2011 r. o substancjach chemicznych i ich mieszaninach (t.j. Dz.U. 2022 poz. 1816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14 grudnia 2012 r. o odpadach (t.j. Dz.U. 2023 poz. 1587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13 czerwca 2013 r. o gospodarce opakowaniami i odpadami opakowaniowymi (t.j. Dz.U. 2023 poz. 1658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Klimatu z dnia 2 stycznia 2020 r. w sprawie katalogu odpadów (Dz.U. 2020 poz. 10).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19 sierpnia 2011 r. o przewozie towarów niebezpiecznych (t.j. Dz.U. 2024 poz. 643 z późn. zm.) wraz z oświadczeniami rządowymi w sprawie Umowy europejskiej dotyczącej międzynarodowego przewozu drogowego towarów niebezpiecznych (ADR).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Zdrowia z dnia 30 grudnia 2004 r. w sprawie bezpieczeństwa i higieny pracy związanej z występowaniem w miejscu pracy czynników chemicznych (t.j. Dz.U. 2016 poz. 1488).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Zdrowia z dnia 2 lutego 2011 r. w sprawie badań i pomiarów czynników szkodliwych dla zdrowia w środowisku pracy (t.j. Dz.U. 2023 poz. 419).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26 czerwca 1974 r. – Kodeks pracy (t.j. Dz.U. 2023 poz. 1465 z późn. zm.).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15.2. Ocena bezpieczeństwa chemicznego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Dla mieszaniny nie dokonano oceny bezpieczeństwa chemicznego (dla mieszanin nie jest ona wymagana zgodnie z art. 14 rozporządzenia REACH).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16: INNE INFORMACJE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Pełne brzmienie zwrotów H i EUH przytoczonych w sekcjach 2 i 3 karty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H225:</w:t>
      </w:r>
      <w:r>
        <w:rPr>
          <w:rFonts w:ascii="Arial" w:cs="Arial" w:eastAsia="Arial" w:hAnsi="Arial"/>
          <w:sz w:val="20"/>
          <w:szCs w:val="20"/>
        </w:rPr>
        <w:t xml:space="preserve"> Wysoce łatwopalna ciecz i pary.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H302:</w:t>
      </w:r>
      <w:r>
        <w:rPr>
          <w:rFonts w:ascii="Arial" w:cs="Arial" w:eastAsia="Arial" w:hAnsi="Arial"/>
          <w:sz w:val="20"/>
          <w:szCs w:val="20"/>
        </w:rPr>
        <w:t xml:space="preserve"> Działa szkodliwie po połknięciu.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H304:</w:t>
      </w:r>
      <w:r>
        <w:rPr>
          <w:rFonts w:ascii="Arial" w:cs="Arial" w:eastAsia="Arial" w:hAnsi="Arial"/>
          <w:sz w:val="20"/>
          <w:szCs w:val="20"/>
        </w:rPr>
        <w:t xml:space="preserve"> Połknięcie i dostanie się przez drogi oddechowe może grozić śmiercią.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H315:</w:t>
      </w:r>
      <w:r>
        <w:rPr>
          <w:rFonts w:ascii="Arial" w:cs="Arial" w:eastAsia="Arial" w:hAnsi="Arial"/>
          <w:sz w:val="20"/>
          <w:szCs w:val="20"/>
        </w:rPr>
        <w:t xml:space="preserve"> Działa drażniąco na skórę.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H317:</w:t>
      </w:r>
      <w:r>
        <w:rPr>
          <w:rFonts w:ascii="Arial" w:cs="Arial" w:eastAsia="Arial" w:hAnsi="Arial"/>
          <w:sz w:val="20"/>
          <w:szCs w:val="20"/>
        </w:rPr>
        <w:t xml:space="preserve"> Może powodować reakcję alergiczną skóry.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H319:</w:t>
      </w:r>
      <w:r>
        <w:rPr>
          <w:rFonts w:ascii="Arial" w:cs="Arial" w:eastAsia="Arial" w:hAnsi="Arial"/>
          <w:sz w:val="20"/>
          <w:szCs w:val="20"/>
        </w:rPr>
        <w:t xml:space="preserve"> Działa drażniąco na oczy.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H336:</w:t>
      </w:r>
      <w:r>
        <w:rPr>
          <w:rFonts w:ascii="Arial" w:cs="Arial" w:eastAsia="Arial" w:hAnsi="Arial"/>
          <w:sz w:val="20"/>
          <w:szCs w:val="20"/>
        </w:rPr>
        <w:t xml:space="preserve"> Może wywoływać uczucie senności lub zawroty głowy.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H361d:</w:t>
      </w:r>
      <w:r>
        <w:rPr>
          <w:rFonts w:ascii="Arial" w:cs="Arial" w:eastAsia="Arial" w:hAnsi="Arial"/>
          <w:sz w:val="20"/>
          <w:szCs w:val="20"/>
        </w:rPr>
        <w:t xml:space="preserve"> Podejrzewa się, że działa szkodliwie na dziecko w łonie matki.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H361fd: Podejrzewa się, że działa szkodliwie na płodność. Podejrzewa się, że działa szkodliwie na dziecko w łonie matki.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H373:</w:t>
      </w:r>
      <w:r>
        <w:rPr>
          <w:rFonts w:ascii="Arial" w:cs="Arial" w:eastAsia="Arial" w:hAnsi="Arial"/>
          <w:sz w:val="20"/>
          <w:szCs w:val="20"/>
        </w:rPr>
        <w:t xml:space="preserve"> Może powodować uszkodzenie narządów poprzez długotrwałe lub narażenie powtarzane.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H410:</w:t>
      </w:r>
      <w:r>
        <w:rPr>
          <w:rFonts w:ascii="Arial" w:cs="Arial" w:eastAsia="Arial" w:hAnsi="Arial"/>
          <w:sz w:val="20"/>
          <w:szCs w:val="20"/>
        </w:rPr>
        <w:t xml:space="preserve"> Działa bardzo toksycznie na organizmy wodne, powodując długotrwałe skutki.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H412:</w:t>
      </w:r>
      <w:r>
        <w:rPr>
          <w:rFonts w:ascii="Arial" w:cs="Arial" w:eastAsia="Arial" w:hAnsi="Arial"/>
          <w:sz w:val="20"/>
          <w:szCs w:val="20"/>
        </w:rPr>
        <w:t xml:space="preserve"> Działa szkodliwie na organizmy wodne, powodując długotrwałe skutki.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EUH208:</w:t>
      </w:r>
      <w:r>
        <w:rPr>
          <w:rFonts w:ascii="Arial" w:cs="Arial" w:eastAsia="Arial" w:hAnsi="Arial"/>
          <w:sz w:val="20"/>
          <w:szCs w:val="20"/>
        </w:rPr>
        <w:t xml:space="preserve"> Zawiera kumarynę (2H-chromen-2-on). Może powodować wystąpienie reakcji alergicznej.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Wykaz klas i kategorii zagrożenia przytoczonych w karcie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Acute Tox. 4:</w:t>
      </w:r>
      <w:r>
        <w:rPr>
          <w:rFonts w:ascii="Arial" w:cs="Arial" w:eastAsia="Arial" w:hAnsi="Arial"/>
          <w:sz w:val="20"/>
          <w:szCs w:val="20"/>
        </w:rPr>
        <w:t xml:space="preserve"> Toksyczność ostra, kategoria 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Aquatic Chronic 1:</w:t>
      </w:r>
      <w:r>
        <w:rPr>
          <w:rFonts w:ascii="Arial" w:cs="Arial" w:eastAsia="Arial" w:hAnsi="Arial"/>
          <w:sz w:val="20"/>
          <w:szCs w:val="20"/>
        </w:rPr>
        <w:t xml:space="preserve"> Stwarzające zagrożenie dla środowiska wodnego – zagrożenie przewlekłe, kategoria 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Aquatic Chronic 3:</w:t>
      </w:r>
      <w:r>
        <w:rPr>
          <w:rFonts w:ascii="Arial" w:cs="Arial" w:eastAsia="Arial" w:hAnsi="Arial"/>
          <w:sz w:val="20"/>
          <w:szCs w:val="20"/>
        </w:rPr>
        <w:t xml:space="preserve"> Stwarzające zagrożenie dla środowiska wodnego – zagrożenie przewlekłe, kategoria 3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Asp. Tox. 1:</w:t>
      </w:r>
      <w:r>
        <w:rPr>
          <w:rFonts w:ascii="Arial" w:cs="Arial" w:eastAsia="Arial" w:hAnsi="Arial"/>
          <w:sz w:val="20"/>
          <w:szCs w:val="20"/>
        </w:rPr>
        <w:t xml:space="preserve"> Zagrożenie spowodowane aspiracją, kategoria 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Eye Irrit. 2:</w:t>
      </w:r>
      <w:r>
        <w:rPr>
          <w:rFonts w:ascii="Arial" w:cs="Arial" w:eastAsia="Arial" w:hAnsi="Arial"/>
          <w:sz w:val="20"/>
          <w:szCs w:val="20"/>
        </w:rPr>
        <w:t xml:space="preserve"> Działanie drażniące na oczy,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Flam. Liq. 2:</w:t>
      </w:r>
      <w:r>
        <w:rPr>
          <w:rFonts w:ascii="Arial" w:cs="Arial" w:eastAsia="Arial" w:hAnsi="Arial"/>
          <w:sz w:val="20"/>
          <w:szCs w:val="20"/>
        </w:rPr>
        <w:t xml:space="preserve"> Substancja ciekła łatwopalna, kategoria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Repr. 2: Działanie szkodliwe na rozrodczość,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STOT RE 2:</w:t>
      </w:r>
      <w:r>
        <w:rPr>
          <w:rFonts w:ascii="Arial" w:cs="Arial" w:eastAsia="Arial" w:hAnsi="Arial"/>
          <w:sz w:val="20"/>
          <w:szCs w:val="20"/>
        </w:rPr>
        <w:t xml:space="preserve"> Działanie toksyczne na narządy docelowe – narażenie powtarzane,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STOT SE 3:</w:t>
      </w:r>
      <w:r>
        <w:rPr>
          <w:rFonts w:ascii="Arial" w:cs="Arial" w:eastAsia="Arial" w:hAnsi="Arial"/>
          <w:sz w:val="20"/>
          <w:szCs w:val="20"/>
        </w:rPr>
        <w:t xml:space="preserve"> Działanie toksyczne na narządy docelowe – narażenie jednorazowe, kategoria 3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Skin Irrit. 2:</w:t>
      </w:r>
      <w:r>
        <w:rPr>
          <w:rFonts w:ascii="Arial" w:cs="Arial" w:eastAsia="Arial" w:hAnsi="Arial"/>
          <w:sz w:val="20"/>
          <w:szCs w:val="20"/>
        </w:rPr>
        <w:t xml:space="preserve"> Działanie drażniące na skórę,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Skin Sens. 1:</w:t>
      </w:r>
      <w:r>
        <w:rPr>
          <w:rFonts w:ascii="Arial" w:cs="Arial" w:eastAsia="Arial" w:hAnsi="Arial"/>
          <w:sz w:val="20"/>
          <w:szCs w:val="20"/>
        </w:rPr>
        <w:t xml:space="preserve"> Działanie uczulające na skórę, kategoria 1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Objaśnienie skrótów i akronimów stosowanych w karcie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ADR:</w:t>
      </w:r>
      <w:r>
        <w:rPr>
          <w:rFonts w:ascii="Arial" w:cs="Arial" w:eastAsia="Arial" w:hAnsi="Arial"/>
          <w:sz w:val="20"/>
          <w:szCs w:val="20"/>
        </w:rPr>
        <w:t xml:space="preserve"> Umowa europejska dotycząca międzynarodowego przewozu drogowego towarów niebezpiecznych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RID:</w:t>
      </w:r>
      <w:r>
        <w:rPr>
          <w:rFonts w:ascii="Arial" w:cs="Arial" w:eastAsia="Arial" w:hAnsi="Arial"/>
          <w:sz w:val="20"/>
          <w:szCs w:val="20"/>
        </w:rPr>
        <w:t xml:space="preserve"> Regulamin międzynarodowego przewozu kolejami towarów niebezpiecznych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IMDG:</w:t>
      </w:r>
      <w:r>
        <w:rPr>
          <w:rFonts w:ascii="Arial" w:cs="Arial" w:eastAsia="Arial" w:hAnsi="Arial"/>
          <w:sz w:val="20"/>
          <w:szCs w:val="20"/>
        </w:rPr>
        <w:t xml:space="preserve"> Międzynarodowy morski kodeks towarów niebezpiecznych (International Maritime Dangerous Goods Code)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IATA:</w:t>
      </w:r>
      <w:r>
        <w:rPr>
          <w:rFonts w:ascii="Arial" w:cs="Arial" w:eastAsia="Arial" w:hAnsi="Arial"/>
          <w:sz w:val="20"/>
          <w:szCs w:val="20"/>
        </w:rPr>
        <w:t xml:space="preserve"> Międzynarodowe Zrzeszenie Przewoźników Powietrznych (International Air Transport Association)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ICAO:</w:t>
      </w:r>
      <w:r>
        <w:rPr>
          <w:rFonts w:ascii="Arial" w:cs="Arial" w:eastAsia="Arial" w:hAnsi="Arial"/>
          <w:sz w:val="20"/>
          <w:szCs w:val="20"/>
        </w:rPr>
        <w:t xml:space="preserve"> Organizacja Międzynarodowego Lotnictwa Cywilnego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CLP:</w:t>
      </w:r>
      <w:r>
        <w:rPr>
          <w:rFonts w:ascii="Arial" w:cs="Arial" w:eastAsia="Arial" w:hAnsi="Arial"/>
          <w:sz w:val="20"/>
          <w:szCs w:val="20"/>
        </w:rPr>
        <w:t xml:space="preserve"> Rozporządzenie (WE) nr 1272/2008 w sprawie klasyfikacji, oznakowania i pakowania substancji i mieszanin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REACH:</w:t>
      </w:r>
      <w:r>
        <w:rPr>
          <w:rFonts w:ascii="Arial" w:cs="Arial" w:eastAsia="Arial" w:hAnsi="Arial"/>
          <w:sz w:val="20"/>
          <w:szCs w:val="20"/>
        </w:rPr>
        <w:t xml:space="preserve"> Rozporządzenie (WE) nr 1907/2006 w sprawie rejestracji, oceny, udzielania zezwoleń i stosowanych ograniczeń w zakresie chemikaliów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GHS:</w:t>
      </w:r>
      <w:r>
        <w:rPr>
          <w:rFonts w:ascii="Arial" w:cs="Arial" w:eastAsia="Arial" w:hAnsi="Arial"/>
          <w:sz w:val="20"/>
          <w:szCs w:val="20"/>
        </w:rPr>
        <w:t xml:space="preserve"> Globalnie Zharmonizowany System Klasyfikacji i Oznakowania Chemikaliów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CAS:</w:t>
      </w:r>
      <w:r>
        <w:rPr>
          <w:rFonts w:ascii="Arial" w:cs="Arial" w:eastAsia="Arial" w:hAnsi="Arial"/>
          <w:sz w:val="20"/>
          <w:szCs w:val="20"/>
        </w:rPr>
        <w:t xml:space="preserve"> Chemical Abstracts Service (unikalny numeryczny identyfikator substancji chemicznej)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WE:</w:t>
      </w:r>
      <w:r>
        <w:rPr>
          <w:rFonts w:ascii="Arial" w:cs="Arial" w:eastAsia="Arial" w:hAnsi="Arial"/>
          <w:sz w:val="20"/>
          <w:szCs w:val="20"/>
        </w:rPr>
        <w:t xml:space="preserve"> Numer Wspólnoty Europejskiej (oficjalny numer rejestracyjny substancji w UE: EINECS, ELINCS lub NLP)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na stanowisku pracy w ciągu 8-godzinnego dnia pracy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NDSCh: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chwilowe (czas ekspozycji do 15 minut)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NDSP: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pułapowe (wartość, która nie może być przekroczona w żadnym momencie)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DNEL:</w:t>
      </w:r>
      <w:r>
        <w:rPr>
          <w:rFonts w:ascii="Arial" w:cs="Arial" w:eastAsia="Arial" w:hAnsi="Arial"/>
          <w:sz w:val="20"/>
          <w:szCs w:val="20"/>
        </w:rPr>
        <w:t xml:space="preserve"> Pochodny poziom niepowodujący zmian (Derived No-Effect Level)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PNEC:</w:t>
      </w:r>
      <w:r>
        <w:rPr>
          <w:rFonts w:ascii="Arial" w:cs="Arial" w:eastAsia="Arial" w:hAnsi="Arial"/>
          <w:sz w:val="20"/>
          <w:szCs w:val="20"/>
        </w:rPr>
        <w:t xml:space="preserve"> Przewidywane stężenie niepowodujące zmian w środowisku (Predicted No-Effect Concentration)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PBT: Substancja trwała, wykazująca zdolność do bioakumulacji i toksyczna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vPvB:</w:t>
      </w:r>
      <w:r>
        <w:rPr>
          <w:rFonts w:ascii="Arial" w:cs="Arial" w:eastAsia="Arial" w:hAnsi="Arial"/>
          <w:sz w:val="20"/>
          <w:szCs w:val="20"/>
        </w:rPr>
        <w:t xml:space="preserve"> Substancja bardzo trwała i wykazująca bardzo dużą zdolność do bioakumulacji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SVHC:</w:t>
      </w:r>
      <w:r>
        <w:rPr>
          <w:rFonts w:ascii="Arial" w:cs="Arial" w:eastAsia="Arial" w:hAnsi="Arial"/>
          <w:sz w:val="20"/>
          <w:szCs w:val="20"/>
        </w:rPr>
        <w:t xml:space="preserve"> Substancje wzbudzające szczególnie duże obawy (Substances of Very High Concern)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BCF: Współczynnik biokoncentracji (Bioconcentration Factor)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 Kow:</w:t>
      </w:r>
      <w:r>
        <w:rPr>
          <w:rFonts w:ascii="Arial" w:cs="Arial" w:eastAsia="Arial" w:hAnsi="Arial"/>
          <w:sz w:val="20"/>
          <w:szCs w:val="20"/>
        </w:rPr>
        <w:t xml:space="preserve"> Współczynnik podziału n-oktanol/woda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LD50:</w:t>
      </w:r>
      <w:r>
        <w:rPr>
          <w:rFonts w:ascii="Arial" w:cs="Arial" w:eastAsia="Arial" w:hAnsi="Arial"/>
          <w:sz w:val="20"/>
          <w:szCs w:val="20"/>
        </w:rPr>
        <w:t xml:space="preserve"> Dawka śmiertelna dla 50% badanej populacji zwierząt laboratoryjnych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LC50:</w:t>
      </w:r>
      <w:r>
        <w:rPr>
          <w:rFonts w:ascii="Arial" w:cs="Arial" w:eastAsia="Arial" w:hAnsi="Arial"/>
          <w:sz w:val="20"/>
          <w:szCs w:val="20"/>
        </w:rPr>
        <w:t xml:space="preserve"> Stężenie śmiertelne dla 50% badanej populacji organizmów testowych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EC50:</w:t>
      </w:r>
      <w:r>
        <w:rPr>
          <w:rFonts w:ascii="Arial" w:cs="Arial" w:eastAsia="Arial" w:hAnsi="Arial"/>
          <w:sz w:val="20"/>
          <w:szCs w:val="20"/>
        </w:rPr>
        <w:t xml:space="preserve"> Stężenie wywołujące efekt u 50% badanej populacji testowej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NOEC:</w:t>
      </w:r>
      <w:r>
        <w:rPr>
          <w:rFonts w:ascii="Arial" w:cs="Arial" w:eastAsia="Arial" w:hAnsi="Arial"/>
          <w:sz w:val="20"/>
          <w:szCs w:val="20"/>
        </w:rPr>
        <w:t xml:space="preserve"> Najwyższe stężenie, przy którym nie obserwuje się statystycznie istotnych skutków (No Observed Effect Concentration)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SCL:</w:t>
      </w:r>
      <w:r>
        <w:rPr>
          <w:rFonts w:ascii="Arial" w:cs="Arial" w:eastAsia="Arial" w:hAnsi="Arial"/>
          <w:sz w:val="20"/>
          <w:szCs w:val="20"/>
        </w:rPr>
        <w:t xml:space="preserve"> Specyficzne stężenie graniczne (Specific Concentration Limit)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BDO:</w:t>
      </w:r>
      <w:r>
        <w:rPr>
          <w:rFonts w:ascii="Arial" w:cs="Arial" w:eastAsia="Arial" w:hAnsi="Arial"/>
          <w:sz w:val="20"/>
          <w:szCs w:val="20"/>
        </w:rPr>
        <w:t xml:space="preserve"> Baza danych o produktach i opakowaniach oraz o gospodarce odpadami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ECHA:</w:t>
      </w:r>
      <w:r>
        <w:rPr>
          <w:rFonts w:ascii="Arial" w:cs="Arial" w:eastAsia="Arial" w:hAnsi="Arial"/>
          <w:sz w:val="20"/>
          <w:szCs w:val="20"/>
        </w:rPr>
        <w:t xml:space="preserve"> Europejska Agencja Chemikaliów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Główne źródła literatury i danych: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Karty charakterystyki substancji składowych udostępnione przez producentów i dostawców surowców.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Baza danych Europejskiej Agencji Chemikaliów (ECHA):</w:t>
      </w:r>
      <w:r>
        <w:rPr>
          <w:rFonts w:ascii="Arial" w:cs="Arial" w:eastAsia="Arial" w:hAnsi="Arial"/>
          <w:sz w:val="20"/>
          <w:szCs w:val="20"/>
        </w:rPr>
        <w:t xml:space="preserve"> https://echa.europa.eu/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Baza danych PubChem National Library of Medicine:</w:t>
      </w:r>
      <w:r>
        <w:rPr>
          <w:rFonts w:ascii="Arial" w:cs="Arial" w:eastAsia="Arial" w:hAnsi="Arial"/>
          <w:sz w:val="20"/>
          <w:szCs w:val="20"/>
        </w:rPr>
        <w:t xml:space="preserve"> https://pubchem.ncbi.nlm.nih.gov/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Obowiązujące unijne i krajowe akty prawne (REACH, CLP, Dz.U. 2018 poz. 1286, Dz.U. 2023 poz. 1587).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i wskazówki szkoleniowe dla pracowników: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Przed przystąpieniem do pracy z produktem należy zapoznać się z treścią niniejszej karty charakterystyki oraz przepisami BHP obowiązującymi na stanowisku pracy. Pracownicy mający kontakt z produktem powinni zostać przeszkoleni w zakresie prawidłowego i bezpiecznego obchodzenia się z chemikaliami oraz postępowania w sytuacjach awaryjnych.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o zmianach i aktualizacji: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Niniejsza karta charakterystyki (wersja 1.0 PL) stanowi wydanie pierwsze w języku polskim, opracowane na podstawie karty charakterystyki SDS producenta.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Aktualizacja została sporządzona i dostosowana zgodnie z wymogami Rozporządzenia Komisji (UE) 2020/878 z dnia 18 czerwca 2020 r. zmieniającego załącznik II do rozporządzenia (WE) nr 1907/2006 (REACH) oraz przepisami prawa Rzeczypospolitej Polskiej.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Główne zmiany wprowadzone w bieżącej wersji obejmują: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Sekcja 1.3:</w:t>
      </w:r>
      <w:r>
        <w:rPr>
          <w:rFonts w:ascii="Arial" w:cs="Arial" w:eastAsia="Arial" w:hAnsi="Arial"/>
          <w:sz w:val="20"/>
          <w:szCs w:val="20"/>
        </w:rPr>
        <w:t xml:space="preserve"> Aktualizacja danych dostawcy karty w Rzeczypospolitej Polskiej na ITALLUX Sp. z o.o. (ul. Wesoła 16, 63-600 Kępno, www.prostozwloch.pl).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Sekcja 8.1:</w:t>
      </w:r>
      <w:r>
        <w:rPr>
          <w:rFonts w:ascii="Arial" w:cs="Arial" w:eastAsia="Arial" w:hAnsi="Arial"/>
          <w:sz w:val="20"/>
          <w:szCs w:val="20"/>
        </w:rPr>
        <w:t xml:space="preserve"> Weryfikacja i implementacja krajowych norm higienicznych w środowisku pracy (NDS, NDSCh) na podstawie Rozporządzenia MRPiPS (Dz.U. 2018 poz. 1286 z późn. zm.).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Sekcja 11.2 i 12.6:</w:t>
      </w:r>
      <w:r>
        <w:rPr>
          <w:rFonts w:ascii="Arial" w:cs="Arial" w:eastAsia="Arial" w:hAnsi="Arial"/>
          <w:sz w:val="20"/>
          <w:szCs w:val="20"/>
        </w:rPr>
        <w:t xml:space="preserve"> Wdrożenie obligatoryjnych podsekcji dotyczących właściwości zaburzających funkcjonowanie układu hormonalnego.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Sekcja 13:</w:t>
      </w:r>
      <w:r>
        <w:rPr>
          <w:rFonts w:ascii="Arial" w:cs="Arial" w:eastAsia="Arial" w:hAnsi="Arial"/>
          <w:sz w:val="20"/>
          <w:szCs w:val="20"/>
        </w:rPr>
        <w:t xml:space="preserve"> Aktualizacja klasyfikacji i 6-cyfrowych kodów odpadów zgodnie z ustawą o odpadach i Dz.U. 2020 poz. 10.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Sekcja 14:</w:t>
      </w:r>
      <w:r>
        <w:rPr>
          <w:rFonts w:ascii="Arial" w:cs="Arial" w:eastAsia="Arial" w:hAnsi="Arial"/>
          <w:sz w:val="20"/>
          <w:szCs w:val="20"/>
        </w:rPr>
        <w:t xml:space="preserve"> Weryfikacja i zharmonizowanie warunków przewozu zgodnie z Umową ADR.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Klauzula prawna i ochrona praw autorskich: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Niniejsze autorskie opracowanie tłumaczenia, formatowania oraz adaptacji regulacyjnej do prawa polskiego stanowi własność intelektualną firmy ITALLUX Sp. z o.o. Kopiowanie i wykorzystywanie całości lub fragmentów w celach komercyjnych przez podmioty trzecie bez uprzedniej zgody właściciela jest zabronione. Dozwolone jest wykorzystanie dokumentu przez odbiorców w łańcuchu dostaw do celów bezpieczeństwa pracy i ochrony zdrowia.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zawarte w niniejszej karcie wynikają z aktualnego stanu wiedzy producenta i dystrybutora i odnoszą się wyłącznie do opisanego produktu. Użytkownik ponosi odpowiedzialność za stworzenie bezpiecznych warunków pracy oraz spełnienie wymagań prawnych związanych z jego zastosowaniem.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color="E5E7EB" w:sz="4" w:space="4"/>
      </w:pBdr>
      <w:spacing w:before="120"/>
      <w:jc w:val="right"/>
    </w:pPr>
    <w:r>
      <w:rPr>
        <w:rFonts w:ascii="Arial" w:cs="Arial" w:eastAsia="Arial" w:hAnsi="Arial"/>
        <w:color w:val="555555"/>
        <w:sz w:val="16"/>
        <w:szCs w:val="16"/>
      </w:rPr>
      <w:t xml:space="preserve">Dystrybutor: ITALLUX Sp. z o.o. | </w:t>
    </w:r>
    <w:r>
      <w:rPr>
        <w:rFonts w:ascii="Arial" w:cs="Arial" w:eastAsia="Arial" w:hAnsi="Arial"/>
        <w:color w:val="555555"/>
        <w:sz w:val="16"/>
        <w:szCs w:val="16"/>
      </w:rPr>
      <w:t xml:space="preserve">Strona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z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color="E5E7EB" w:sz="4" w:space="4"/>
      </w:pBdr>
      <w:spacing w:after="120"/>
      <w:jc w:val="right"/>
    </w:pPr>
    <w:r>
      <w:rPr>
        <w:rFonts w:ascii="Arial" w:cs="Arial" w:eastAsia="Arial" w:hAnsi="Arial"/>
        <w:color w:val="555555"/>
        <w:sz w:val="16"/>
        <w:szCs w:val="16"/>
      </w:rPr>
      <w:t xml:space="preserve">KARTA CHARAKTERYSTYKI | SWEET HOME - PROFUMATORE AMBIENTE ORCHIDEA E VANIGLIA V2 | Wersja: 1.0 PL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df4620fc619cfcec683facca7e88bc7fd37dd8.undefined"/><Relationship Id="rId10" Type="http://schemas.openxmlformats.org/officeDocument/2006/relationships/image" Target="media/ab3b38ff5aec5db8cf291d921b1836a765ff072f.undefined"/><Relationship Id="rId11" Type="http://schemas.openxmlformats.org/officeDocument/2006/relationships/image" Target="media/bb4e46ba2799965d0181b8cc93349251770e4a8c.undefined"/><Relationship Id="rId12" Type="http://schemas.openxmlformats.org/officeDocument/2006/relationships/image" Target="media/40ebfa5564939c27d85f5e4019dc884a31c847f6.undefined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2026-09-15T08:16:46.493Z</dcterms:created>
  <dcterms:modified xsi:type="dcterms:W3CDTF">2026-09-15T08:16:46.494Z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