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00"/>
        <w:jc w:val="center"/>
      </w:pPr>
      <w:r>
        <w:rPr>
          <w:rFonts w:ascii="Arial" w:cs="Arial" w:eastAsia="Arial" w:hAnsi="Arial"/>
          <w:b/>
          <w:bCs/>
          <w:sz w:val="36"/>
          <w:szCs w:val="36"/>
        </w:rPr>
        <w:t xml:space="preserve">KARTA CHARAKTERYSTYKI</w:t>
      </w:r>
    </w:p>
    <w:p>
      <w:pPr>
        <w:spacing w:after="200"/>
        <w:jc w:val="center"/>
      </w:pPr>
      <w:r>
        <w:rPr>
          <w:rFonts w:ascii="Arial" w:cs="Arial" w:eastAsia="Arial" w:hAnsi="Arial"/>
          <w:i/>
          <w:iCs/>
          <w:color w:val="444444"/>
          <w:sz w:val="16"/>
          <w:szCs w:val="16"/>
        </w:rPr>
        <w:t xml:space="preserve">[Sporządzona zgodnie z Rozporządzeniem (WE) nr 1907/2006 (REACH), zmienionym Rozporządzeniem Komisji (UE) 2020/878]</w:t>
      </w:r>
    </w:p>
    <w:tbl>
      <w:tblPr>
        <w:tblW w:type="pct" w:w="100%"/>
        <w:tblBorders>
          <w:top w:val="single" w:color="00A651" w:sz="6"/>
          <w:left w:val="single" w:color="D0D5DD" w:sz="4"/>
          <w:bottom w:val="single" w:color="00A651" w:sz="6"/>
          <w:right w:val="single" w:color="D0D5DD" w:sz="4"/>
          <w:insideH w:val="none"/>
          <w:insideV w:val="single" w:color="E5E7EB" w:sz="4"/>
        </w:tblBorders>
      </w:tblPr>
      <w:tblGrid>
        <w:gridCol w:w="100"/>
        <w:gridCol w:w="100"/>
      </w:tblGrid>
      <w:tr>
        <w:tc>
          <w:tcPr>
            <w:tcW w:type="pct" w:w="50%"/>
            <w:shd w:fill="F9FAFB"/>
            <w:tcMar>
              <w:top w:type="dxa" w:w="100"/>
              <w:left w:type="dxa" w:w="150"/>
              <w:bottom w:type="dxa" w:w="100"/>
              <w:right w:type="dxa" w:w="150"/>
            </w:tcMar>
          </w:tcPr>
          <w:p>
            <w:pPr>
              <w:spacing w:after="60"/>
            </w:pPr>
            <w:r>
              <w:rPr>
                <w:rFonts w:ascii="Arial" w:cs="Arial" w:eastAsia="Arial" w:hAnsi="Arial"/>
                <w:b/>
                <w:bCs/>
                <w:sz w:val="18"/>
                <w:szCs w:val="18"/>
              </w:rPr>
              <w:t xml:space="preserve">Data sporządzenia: </w:t>
            </w:r>
            <w:r>
              <w:rPr>
                <w:rFonts w:ascii="Arial" w:cs="Arial" w:eastAsia="Arial" w:hAnsi="Arial"/>
                <w:sz w:val="18"/>
                <w:szCs w:val="18"/>
              </w:rPr>
              <w:t xml:space="preserve">16.09.2026</w:t>
            </w:r>
          </w:p>
          <w:p>
            <w:r>
              <w:rPr>
                <w:rFonts w:ascii="Arial" w:cs="Arial" w:eastAsia="Arial" w:hAnsi="Arial"/>
                <w:b/>
                <w:bCs/>
                <w:sz w:val="18"/>
                <w:szCs w:val="18"/>
              </w:rPr>
              <w:t xml:space="preserve">Aktualizacja: </w:t>
            </w:r>
            <w:r>
              <w:rPr>
                <w:rFonts w:ascii="Arial" w:cs="Arial" w:eastAsia="Arial" w:hAnsi="Arial"/>
                <w:sz w:val="18"/>
                <w:szCs w:val="18"/>
              </w:rPr>
              <w:t xml:space="preserve">Nie dotyczy</w:t>
            </w:r>
          </w:p>
        </w:tc>
        <w:tc>
          <w:tcPr>
            <w:tcW w:type="pct" w:w="50%"/>
            <w:shd w:fill="F9FAFB"/>
            <w:tcMar>
              <w:top w:type="dxa" w:w="100"/>
              <w:left w:type="dxa" w:w="150"/>
              <w:bottom w:type="dxa" w:w="100"/>
              <w:right w:type="dxa" w:w="150"/>
            </w:tcMar>
          </w:tcPr>
          <w:p>
            <w:pPr>
              <w:spacing w:after="60"/>
            </w:pPr>
            <w:r>
              <w:rPr>
                <w:rFonts w:ascii="Arial" w:cs="Arial" w:eastAsia="Arial" w:hAnsi="Arial"/>
                <w:b/>
                <w:bCs/>
                <w:sz w:val="18"/>
                <w:szCs w:val="18"/>
              </w:rPr>
              <w:t xml:space="preserve">Wersja: </w:t>
            </w:r>
            <w:r>
              <w:rPr>
                <w:rFonts w:ascii="Arial" w:cs="Arial" w:eastAsia="Arial" w:hAnsi="Arial"/>
                <w:sz w:val="18"/>
                <w:szCs w:val="18"/>
              </w:rPr>
              <w:t xml:space="preserve">1.0 PL</w:t>
            </w:r>
          </w:p>
          <w:p>
            <w:r>
              <w:rPr>
                <w:rFonts w:ascii="Arial" w:cs="Arial" w:eastAsia="Arial" w:hAnsi="Arial"/>
                <w:b/>
                <w:bCs/>
                <w:sz w:val="18"/>
                <w:szCs w:val="18"/>
              </w:rPr>
              <w:t xml:space="preserve">Zastępuje wersję: </w:t>
            </w:r>
            <w:r>
              <w:rPr>
                <w:rFonts w:ascii="Arial" w:cs="Arial" w:eastAsia="Arial" w:hAnsi="Arial"/>
                <w:sz w:val="18"/>
                <w:szCs w:val="18"/>
              </w:rPr>
              <w:t xml:space="preserve">Brak (wydanie pierwsze w języku polskim, opracowane na podstawie SDS producenta)</w:t>
            </w:r>
          </w:p>
        </w:tc>
      </w:tr>
    </w:tbl>
    <w:p>
      <w:pPr>
        <w:spacing w:after="200"/>
      </w:pPr>
    </w:p>
    <w:p>
      <w:pPr>
        <w:pBdr>
          <w:bottom w:color="00A651" w:sz="12" w:space="1"/>
        </w:pBdr>
        <w:spacing w:after="150" w:before="300"/>
      </w:pPr>
      <w:r>
        <w:rPr>
          <w:b/>
          <w:bCs/>
          <w:sz w:val="22"/>
          <w:szCs w:val="22"/>
        </w:rPr>
        <w:t xml:space="preserve">SEKCJA 1: IDENTYFIKACJA SUBSTANCJI/MIESZANINY I IDENTYFIKACJA PRZEDSIĘBIORSTWA</w:t>
      </w:r>
    </w:p>
    <w:p>
      <w:pPr>
        <w:spacing w:after="100" w:before="200"/>
      </w:pPr>
      <w:r>
        <w:rPr>
          <w:rFonts w:ascii="Arial" w:cs="Arial" w:eastAsia="Arial" w:hAnsi="Arial"/>
          <w:b/>
          <w:bCs/>
          <w:sz w:val="20"/>
          <w:szCs w:val="20"/>
        </w:rPr>
        <w:t xml:space="preserve">1.1. Identyfikator produktu</w:t>
      </w:r>
    </w:p>
    <w:p>
      <w:pPr>
        <w:spacing w:after="80" w:before="80"/>
      </w:pPr>
      <w:r>
        <w:rPr>
          <w:rFonts w:ascii="Arial" w:cs="Arial" w:eastAsia="Arial" w:hAnsi="Arial"/>
          <w:b/>
          <w:bCs/>
          <w:sz w:val="20"/>
          <w:szCs w:val="20"/>
        </w:rPr>
        <w:t xml:space="preserve">Nazwa handlowa:</w:t>
      </w:r>
      <w:r>
        <w:rPr>
          <w:rFonts w:ascii="Arial" w:cs="Arial" w:eastAsia="Arial" w:hAnsi="Arial"/>
          <w:sz w:val="20"/>
          <w:szCs w:val="20"/>
        </w:rPr>
        <w:t xml:space="preserve"> SWEET HOME - PROFUMATORE AMBIENTE SANDALO</w:t>
      </w:r>
    </w:p>
    <w:p>
      <w:pPr>
        <w:spacing w:after="80" w:before="80"/>
      </w:pPr>
      <w:r>
        <w:rPr>
          <w:rFonts w:ascii="Arial" w:cs="Arial" w:eastAsia="Arial" w:hAnsi="Arial"/>
          <w:b/>
          <w:bCs/>
          <w:sz w:val="20"/>
          <w:szCs w:val="20"/>
        </w:rPr>
        <w:t xml:space="preserve">Kod produktu:</w:t>
      </w:r>
      <w:r>
        <w:rPr>
          <w:rFonts w:ascii="Arial" w:cs="Arial" w:eastAsia="Arial" w:hAnsi="Arial"/>
          <w:sz w:val="20"/>
          <w:szCs w:val="20"/>
        </w:rPr>
        <w:t xml:space="preserve"> BLK0276-2</w:t>
      </w:r>
    </w:p>
    <w:p>
      <w:pPr>
        <w:spacing w:after="80" w:before="80"/>
      </w:pPr>
      <w:r>
        <w:rPr>
          <w:rFonts w:ascii="Arial" w:cs="Arial" w:eastAsia="Arial" w:hAnsi="Arial"/>
          <w:b/>
          <w:bCs/>
          <w:sz w:val="20"/>
          <w:szCs w:val="20"/>
        </w:rPr>
        <w:t xml:space="preserve">UFI:</w:t>
      </w:r>
      <w:r>
        <w:rPr>
          <w:rFonts w:ascii="Arial" w:cs="Arial" w:eastAsia="Arial" w:hAnsi="Arial"/>
          <w:sz w:val="20"/>
          <w:szCs w:val="20"/>
        </w:rPr>
        <w:t xml:space="preserve"> U6KJ-F3SM-UX0Q-6532</w:t>
      </w:r>
    </w:p>
    <w:p>
      <w:pPr>
        <w:spacing w:after="100" w:before="200"/>
      </w:pPr>
      <w:r>
        <w:rPr>
          <w:rFonts w:ascii="Arial" w:cs="Arial" w:eastAsia="Arial" w:hAnsi="Arial"/>
          <w:b/>
          <w:bCs/>
          <w:sz w:val="20"/>
          <w:szCs w:val="20"/>
        </w:rPr>
        <w:t xml:space="preserve">1.2. Istotne zidentyfikowane zastosowania substancji lub mieszaniny oraz zastosowania odradzane</w:t>
      </w:r>
    </w:p>
    <w:p>
      <w:pPr>
        <w:spacing w:after="80" w:before="80"/>
      </w:pPr>
      <w:r>
        <w:rPr>
          <w:rFonts w:ascii="Arial" w:cs="Arial" w:eastAsia="Arial" w:hAnsi="Arial"/>
          <w:b/>
          <w:bCs/>
          <w:sz w:val="20"/>
          <w:szCs w:val="20"/>
        </w:rPr>
        <w:t xml:space="preserve">Zastosowanie zidentyfikowane:</w:t>
      </w:r>
      <w:r>
        <w:rPr>
          <w:rFonts w:ascii="Arial" w:cs="Arial" w:eastAsia="Arial" w:hAnsi="Arial"/>
          <w:sz w:val="20"/>
          <w:szCs w:val="20"/>
        </w:rPr>
        <w:t xml:space="preserve"> Zastosowanie konsumenckie: odświeżacz powietrza / dezodorant do pomieszczeń (dyfuzor zapachowy do wnętrz).</w:t>
      </w:r>
    </w:p>
    <w:p>
      <w:pPr>
        <w:spacing w:after="80" w:before="80"/>
      </w:pPr>
      <w:r>
        <w:rPr>
          <w:rFonts w:ascii="Arial" w:cs="Arial" w:eastAsia="Arial" w:hAnsi="Arial"/>
          <w:b/>
          <w:bCs/>
          <w:sz w:val="20"/>
          <w:szCs w:val="20"/>
        </w:rPr>
        <w:t xml:space="preserve">Zastosowania odradzane:</w:t>
      </w:r>
      <w:r>
        <w:rPr>
          <w:rFonts w:ascii="Arial" w:cs="Arial" w:eastAsia="Arial" w:hAnsi="Arial"/>
          <w:sz w:val="20"/>
          <w:szCs w:val="20"/>
        </w:rPr>
        <w:t xml:space="preserve"> Nie stosować do celów innych niż wskazane.</w:t>
      </w:r>
    </w:p>
    <w:p>
      <w:pPr>
        <w:spacing w:after="100" w:before="200"/>
      </w:pPr>
      <w:r>
        <w:rPr>
          <w:rFonts w:ascii="Arial" w:cs="Arial" w:eastAsia="Arial" w:hAnsi="Arial"/>
          <w:b/>
          <w:bCs/>
          <w:sz w:val="20"/>
          <w:szCs w:val="20"/>
        </w:rPr>
        <w:t xml:space="preserve">1.3. Dane dotyczące dostawcy karty charakterystyki</w:t>
      </w:r>
    </w:p>
    <w:p>
      <w:pPr>
        <w:spacing w:after="80" w:before="80"/>
      </w:pPr>
      <w:r>
        <w:rPr>
          <w:rFonts w:ascii="Arial" w:cs="Arial" w:eastAsia="Arial" w:hAnsi="Arial"/>
          <w:b/>
          <w:bCs/>
          <w:sz w:val="20"/>
          <w:szCs w:val="20"/>
        </w:rPr>
        <w:t xml:space="preserve">Firma:</w:t>
      </w:r>
      <w:r>
        <w:rPr>
          <w:rFonts w:ascii="Arial" w:cs="Arial" w:eastAsia="Arial" w:hAnsi="Arial"/>
          <w:sz w:val="20"/>
          <w:szCs w:val="20"/>
        </w:rPr>
        <w:t xml:space="preserve"> ITALLUX Sp. z o.o.</w:t>
      </w:r>
    </w:p>
    <w:p>
      <w:pPr>
        <w:spacing w:after="80" w:before="80"/>
      </w:pPr>
      <w:r>
        <w:rPr>
          <w:rFonts w:ascii="Arial" w:cs="Arial" w:eastAsia="Arial" w:hAnsi="Arial"/>
          <w:b/>
          <w:bCs/>
          <w:sz w:val="20"/>
          <w:szCs w:val="20"/>
        </w:rPr>
        <w:t xml:space="preserve">Adres:</w:t>
      </w:r>
      <w:r>
        <w:rPr>
          <w:rFonts w:ascii="Arial" w:cs="Arial" w:eastAsia="Arial" w:hAnsi="Arial"/>
          <w:sz w:val="20"/>
          <w:szCs w:val="20"/>
        </w:rPr>
        <w:t xml:space="preserve"> ul. Wesoła 16, 63-600 Kępno</w:t>
      </w:r>
    </w:p>
    <w:p>
      <w:pPr>
        <w:spacing w:after="80" w:before="80"/>
      </w:pPr>
      <w:r>
        <w:rPr>
          <w:rFonts w:ascii="Arial" w:cs="Arial" w:eastAsia="Arial" w:hAnsi="Arial"/>
          <w:b/>
          <w:bCs/>
          <w:sz w:val="20"/>
          <w:szCs w:val="20"/>
        </w:rPr>
        <w:t xml:space="preserve">Strona www:</w:t>
      </w:r>
      <w:r>
        <w:rPr>
          <w:rFonts w:ascii="Arial" w:cs="Arial" w:eastAsia="Arial" w:hAnsi="Arial"/>
          <w:sz w:val="20"/>
          <w:szCs w:val="20"/>
        </w:rPr>
        <w:t xml:space="preserve"> www.prostozwloch.com.pl</w:t>
      </w:r>
    </w:p>
    <w:p>
      <w:pPr>
        <w:spacing w:after="80" w:before="80"/>
      </w:pPr>
      <w:r>
        <w:rPr>
          <w:rFonts w:ascii="Arial" w:cs="Arial" w:eastAsia="Arial" w:hAnsi="Arial"/>
          <w:b/>
          <w:bCs/>
          <w:sz w:val="20"/>
          <w:szCs w:val="20"/>
        </w:rPr>
        <w:t xml:space="preserve">E-mail:</w:t>
      </w:r>
      <w:r>
        <w:rPr>
          <w:rFonts w:ascii="Arial" w:cs="Arial" w:eastAsia="Arial" w:hAnsi="Arial"/>
          <w:sz w:val="20"/>
          <w:szCs w:val="20"/>
        </w:rPr>
        <w:t xml:space="preserve"> kontakt@prostozwloch.com.pl</w:t>
      </w:r>
    </w:p>
    <w:p>
      <w:pPr>
        <w:spacing w:after="80" w:before="80"/>
      </w:pPr>
      <w:r>
        <w:rPr>
          <w:rFonts w:ascii="Arial" w:cs="Arial" w:eastAsia="Arial" w:hAnsi="Arial"/>
          <w:b/>
          <w:bCs/>
          <w:sz w:val="20"/>
          <w:szCs w:val="20"/>
        </w:rPr>
        <w:t xml:space="preserve">Telefon:</w:t>
      </w:r>
      <w:r>
        <w:rPr>
          <w:rFonts w:ascii="Arial" w:cs="Arial" w:eastAsia="Arial" w:hAnsi="Arial"/>
          <w:sz w:val="20"/>
          <w:szCs w:val="20"/>
        </w:rPr>
        <w:t xml:space="preserve"> +48 663116607</w:t>
      </w:r>
    </w:p>
    <w:p>
      <w:pPr>
        <w:spacing w:after="100" w:before="200"/>
      </w:pPr>
      <w:r>
        <w:rPr>
          <w:rFonts w:ascii="Arial" w:cs="Arial" w:eastAsia="Arial" w:hAnsi="Arial"/>
          <w:b/>
          <w:bCs/>
          <w:sz w:val="20"/>
          <w:szCs w:val="20"/>
        </w:rPr>
        <w:t xml:space="preserve">1.4. Numer telefonu alarmowego</w:t>
      </w:r>
    </w:p>
    <w:p>
      <w:pPr>
        <w:spacing w:after="80" w:before="80"/>
      </w:pPr>
      <w:r>
        <w:rPr>
          <w:rFonts w:ascii="Arial" w:cs="Arial" w:eastAsia="Arial" w:hAnsi="Arial"/>
          <w:b/>
          <w:bCs/>
          <w:sz w:val="20"/>
          <w:szCs w:val="20"/>
        </w:rPr>
        <w:t xml:space="preserve">Telefon alarmowy przedsiębiorstwa:</w:t>
      </w:r>
      <w:r>
        <w:rPr>
          <w:rFonts w:ascii="Arial" w:cs="Arial" w:eastAsia="Arial" w:hAnsi="Arial"/>
          <w:sz w:val="20"/>
          <w:szCs w:val="20"/>
        </w:rPr>
        <w:t xml:space="preserve"> +48 663116607 (czynny od poniedziałku do piątku w godzinach 8:00 – 16:00, informacja udzielana w języku polskim)</w:t>
      </w:r>
    </w:p>
    <w:p>
      <w:pPr>
        <w:spacing w:after="80" w:before="150"/>
      </w:pPr>
      <w:r>
        <w:rPr>
          <w:rFonts w:ascii="Arial" w:cs="Arial" w:eastAsia="Arial" w:hAnsi="Arial"/>
          <w:b/>
          <w:bCs/>
          <w:sz w:val="20"/>
          <w:szCs w:val="20"/>
        </w:rPr>
        <w:t xml:space="preserve">Informacja toksykologiczna w Polsce (organ doradczy):</w:t>
      </w:r>
    </w:p>
    <w:p>
      <w:pPr>
        <w:spacing w:after="80" w:before="80"/>
      </w:pPr>
      <w:r>
        <w:rPr>
          <w:rFonts w:ascii="Arial" w:cs="Arial" w:eastAsia="Arial" w:hAnsi="Arial"/>
          <w:b/>
          <w:bCs/>
          <w:sz w:val="20"/>
          <w:szCs w:val="20"/>
        </w:rPr>
        <w:t xml:space="preserve">Krajowe Centrum Informacji Toksykologicznej (Instytut Medycyny Pracy im. prof. J. Nofera w Łodzi):</w:t>
      </w:r>
      <w:r>
        <w:rPr>
          <w:rFonts w:ascii="Arial" w:cs="Arial" w:eastAsia="Arial" w:hAnsi="Arial"/>
          <w:sz w:val="20"/>
          <w:szCs w:val="20"/>
        </w:rPr>
        <w:t xml:space="preserve"> tel. +48 42 631 47 24, +48 42 631 47 25 (czynne w dni robocze w godz. 7:00 – 15:00)</w:t>
      </w:r>
    </w:p>
    <w:p>
      <w:pPr>
        <w:spacing w:after="80" w:before="80"/>
      </w:pPr>
      <w:r>
        <w:rPr>
          <w:rFonts w:ascii="Arial" w:cs="Arial" w:eastAsia="Arial" w:hAnsi="Arial"/>
          <w:b/>
          <w:bCs/>
          <w:sz w:val="20"/>
          <w:szCs w:val="20"/>
        </w:rPr>
        <w:t xml:space="preserve">Ośrodek Informacji Toksykologicznej w Warszawie (całodobowa informacja toksykologiczna 24/7):</w:t>
      </w:r>
      <w:r>
        <w:rPr>
          <w:rFonts w:ascii="Arial" w:cs="Arial" w:eastAsia="Arial" w:hAnsi="Arial"/>
          <w:sz w:val="20"/>
          <w:szCs w:val="20"/>
        </w:rPr>
        <w:t xml:space="preserve"> tel. +48 22 619 66 54</w:t>
      </w:r>
    </w:p>
    <w:p>
      <w:pPr>
        <w:spacing w:after="80" w:before="80"/>
      </w:pPr>
      <w:r>
        <w:rPr>
          <w:rFonts w:ascii="Arial" w:cs="Arial" w:eastAsia="Arial" w:hAnsi="Arial"/>
          <w:b/>
          <w:bCs/>
          <w:sz w:val="20"/>
          <w:szCs w:val="20"/>
        </w:rPr>
        <w:t xml:space="preserve">Ogólne telefony ratunkowe w nagłych wypadkach:</w:t>
      </w:r>
      <w:r>
        <w:rPr>
          <w:rFonts w:ascii="Arial" w:cs="Arial" w:eastAsia="Arial" w:hAnsi="Arial"/>
          <w:sz w:val="20"/>
          <w:szCs w:val="20"/>
        </w:rPr>
        <w:t xml:space="preserve"> 112 (ogólnoeuropejski numer alarmowy), 998 (straż pożarna), 999 (pogotowie ratunkowe)</w:t>
      </w:r>
    </w:p>
    <w:p>
      <w:pPr>
        <w:pBdr>
          <w:bottom w:color="00A651" w:sz="12" w:space="1"/>
        </w:pBdr>
        <w:spacing w:after="150" w:before="300"/>
      </w:pPr>
      <w:r>
        <w:rPr>
          <w:b/>
          <w:bCs/>
          <w:sz w:val="22"/>
          <w:szCs w:val="22"/>
        </w:rPr>
        <w:t xml:space="preserve">SEKCJA 2: IDENTYFIKACJA ZAGROŻEŃ</w:t>
      </w:r>
    </w:p>
    <w:p>
      <w:pPr>
        <w:spacing w:after="100" w:before="200"/>
      </w:pPr>
      <w:r>
        <w:rPr>
          <w:rFonts w:ascii="Arial" w:cs="Arial" w:eastAsia="Arial" w:hAnsi="Arial"/>
          <w:b/>
          <w:bCs/>
          <w:sz w:val="20"/>
          <w:szCs w:val="20"/>
        </w:rPr>
        <w:t xml:space="preserve">2.1. Klasyfikacja substancji lub mieszaniny</w:t>
      </w:r>
    </w:p>
    <w:p>
      <w:pPr>
        <w:spacing w:after="80"/>
      </w:pPr>
      <w:r>
        <w:rPr>
          <w:rFonts w:ascii="Arial" w:cs="Arial" w:eastAsia="Arial" w:hAnsi="Arial"/>
          <w:sz w:val="20"/>
          <w:szCs w:val="20"/>
        </w:rPr>
        <w:t xml:space="preserve">Flam. Liq. 2 (Substancja ciekła łatwopalna, kategoria 2)</w:t>
      </w:r>
    </w:p>
    <w:p>
      <w:pPr>
        <w:spacing w:after="80"/>
      </w:pPr>
      <w:r>
        <w:rPr>
          <w:rFonts w:ascii="Arial" w:cs="Arial" w:eastAsia="Arial" w:hAnsi="Arial"/>
          <w:sz w:val="20"/>
          <w:szCs w:val="20"/>
        </w:rPr>
        <w:t xml:space="preserve">H225 Wysoce łatwopalna ciecz i pary.</w:t>
      </w:r>
    </w:p>
    <w:p>
      <w:pPr>
        <w:spacing w:after="80"/>
      </w:pPr>
      <w:r>
        <w:rPr>
          <w:rFonts w:ascii="Arial" w:cs="Arial" w:eastAsia="Arial" w:hAnsi="Arial"/>
          <w:sz w:val="20"/>
          <w:szCs w:val="20"/>
        </w:rPr>
        <w:t xml:space="preserve">Eye Irrit. 2 (Działanie drażniące na oczy, kategoria 2)</w:t>
      </w:r>
    </w:p>
    <w:p>
      <w:pPr>
        <w:spacing w:after="80"/>
      </w:pPr>
      <w:r>
        <w:rPr>
          <w:rFonts w:ascii="Arial" w:cs="Arial" w:eastAsia="Arial" w:hAnsi="Arial"/>
          <w:sz w:val="20"/>
          <w:szCs w:val="20"/>
        </w:rPr>
        <w:t xml:space="preserve">H319 Działa drażniąco na oczy.</w:t>
      </w:r>
    </w:p>
    <w:p>
      <w:pPr>
        <w:spacing w:after="80"/>
      </w:pPr>
      <w:r>
        <w:rPr>
          <w:rFonts w:ascii="Arial" w:cs="Arial" w:eastAsia="Arial" w:hAnsi="Arial"/>
          <w:sz w:val="20"/>
          <w:szCs w:val="20"/>
        </w:rPr>
        <w:t xml:space="preserve">Skin Sens. 1A (Działanie uczulające na skórę, kategoria 1A)</w:t>
      </w:r>
    </w:p>
    <w:p>
      <w:pPr>
        <w:spacing w:after="80"/>
      </w:pPr>
      <w:r>
        <w:rPr>
          <w:rFonts w:ascii="Arial" w:cs="Arial" w:eastAsia="Arial" w:hAnsi="Arial"/>
          <w:sz w:val="20"/>
          <w:szCs w:val="20"/>
        </w:rPr>
        <w:t xml:space="preserve">H317 Może powodować reakcję alergiczną skóry.</w:t>
      </w:r>
    </w:p>
    <w:p>
      <w:pPr>
        <w:spacing w:after="80"/>
      </w:pPr>
      <w:r>
        <w:rPr>
          <w:rFonts w:ascii="Arial" w:cs="Arial" w:eastAsia="Arial" w:hAnsi="Arial"/>
          <w:sz w:val="20"/>
          <w:szCs w:val="20"/>
        </w:rPr>
        <w:t xml:space="preserve">Aquatic Chronic 3 (Stwarzające zagrożenie dla środowiska wodnego – kategoria przewlekła 3)</w:t>
      </w:r>
    </w:p>
    <w:p>
      <w:pPr>
        <w:spacing w:after="80"/>
      </w:pPr>
      <w:r>
        <w:rPr>
          <w:rFonts w:ascii="Arial" w:cs="Arial" w:eastAsia="Arial" w:hAnsi="Arial"/>
          <w:sz w:val="20"/>
          <w:szCs w:val="20"/>
        </w:rPr>
        <w:t xml:space="preserve">H412 Działa szkodliwie na organizmy wodne, powodując długotrwałe skutki.</w:t>
      </w:r>
    </w:p>
    <w:p>
      <w:pPr>
        <w:spacing w:after="100" w:before="200"/>
      </w:pPr>
      <w:r>
        <w:rPr>
          <w:rFonts w:ascii="Arial" w:cs="Arial" w:eastAsia="Arial" w:hAnsi="Arial"/>
          <w:b/>
          <w:bCs/>
          <w:sz w:val="20"/>
          <w:szCs w:val="20"/>
        </w:rPr>
        <w:t xml:space="preserve">2.2. Elementy oznakowania</w:t>
      </w:r>
    </w:p>
    <w:p>
      <w:pPr>
        <w:spacing w:after="80" w:before="150"/>
      </w:pPr>
      <w:r>
        <w:rPr>
          <w:rFonts w:ascii="Arial" w:cs="Arial" w:eastAsia="Arial" w:hAnsi="Arial"/>
          <w:b/>
          <w:bCs/>
          <w:sz w:val="20"/>
          <w:szCs w:val="20"/>
        </w:rPr>
        <w:t xml:space="preserve">Piktogramy określające rodzaj zagrożenia i hasło ostrzegawcze:</w:t>
      </w:r>
    </w:p>
    <w:p>
      <w:pPr>
        <w:spacing w:after="100" w:before="60"/>
      </w:pPr>
      <w:r>
        <w:drawing>
          <wp:inline distT="0" distB="0" distL="0" distR="0">
            <wp:extent cx="714375"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14375" cy="714375"/>
                    </a:xfrm>
                    <a:prstGeom prst="rect">
                      <a:avLst/>
                    </a:prstGeom>
                  </pic:spPr>
                </pic:pic>
              </a:graphicData>
            </a:graphic>
          </wp:inline>
        </w:drawing>
      </w:r>
      <w:r>
        <w:drawing>
          <wp:inline distT="0" distB="0" distL="0" distR="0">
            <wp:extent cx="714375"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14375" cy="714375"/>
                    </a:xfrm>
                    <a:prstGeom prst="rect">
                      <a:avLst/>
                    </a:prstGeom>
                  </pic:spPr>
                </pic:pic>
              </a:graphicData>
            </a:graphic>
          </wp:inline>
        </w:drawing>
      </w:r>
    </w:p>
    <w:p>
      <w:pPr>
        <w:spacing w:after="80"/>
      </w:pPr>
      <w:r>
        <w:rPr>
          <w:rFonts w:ascii="Arial" w:cs="Arial" w:eastAsia="Arial" w:hAnsi="Arial"/>
          <w:sz w:val="20"/>
          <w:szCs w:val="20"/>
        </w:rPr>
        <w:t xml:space="preserve">Niebezpieczeństwo</w:t>
      </w:r>
    </w:p>
    <w:p>
      <w:pPr>
        <w:spacing w:after="80" w:before="150"/>
      </w:pPr>
      <w:r>
        <w:rPr>
          <w:rFonts w:ascii="Arial" w:cs="Arial" w:eastAsia="Arial" w:hAnsi="Arial"/>
          <w:b/>
          <w:bCs/>
          <w:sz w:val="20"/>
          <w:szCs w:val="20"/>
        </w:rPr>
        <w:t xml:space="preserve">Nazwy niebezpiecznych substancji wymienione na etykiecie</w:t>
      </w:r>
    </w:p>
    <w:p>
      <w:pPr>
        <w:spacing w:after="80"/>
      </w:pPr>
      <w:r>
        <w:rPr>
          <w:rFonts w:ascii="Arial" w:cs="Arial" w:eastAsia="Arial" w:hAnsi="Arial"/>
          <w:sz w:val="20"/>
          <w:szCs w:val="20"/>
        </w:rPr>
        <w:t xml:space="preserve">aldehyd cynamonowy, octan 4-tert-butylocykloheksylu, Masa poreakcyjna 1-[(1R*,6S*)-2,2,6-trimetylocykloheksylo]heksan-3-olu i 1-[(1S*,6S*)-2,2,6-trimetylocykloheksylo]heksan-3-olu, 1,8-cyneol (eukaliptol), salicylan benzylu, linalol, etanol</w:t>
      </w:r>
    </w:p>
    <w:p>
      <w:pPr>
        <w:spacing w:after="80" w:before="150"/>
      </w:pPr>
      <w:r>
        <w:rPr>
          <w:rFonts w:ascii="Arial" w:cs="Arial" w:eastAsia="Arial" w:hAnsi="Arial"/>
          <w:b/>
          <w:bCs/>
          <w:sz w:val="20"/>
          <w:szCs w:val="20"/>
        </w:rPr>
        <w:t xml:space="preserve">Zwroty wskazujące rodzaj zagrożenia</w:t>
      </w:r>
    </w:p>
    <w:p>
      <w:pPr>
        <w:spacing w:after="80"/>
      </w:pPr>
      <w:r>
        <w:rPr>
          <w:rFonts w:ascii="Arial" w:cs="Arial" w:eastAsia="Arial" w:hAnsi="Arial"/>
          <w:sz w:val="20"/>
          <w:szCs w:val="20"/>
        </w:rPr>
        <w:t xml:space="preserve">H225 Wysoce łatwopalna ciecz i pary.</w:t>
      </w:r>
    </w:p>
    <w:p>
      <w:pPr>
        <w:spacing w:after="80"/>
      </w:pPr>
      <w:r>
        <w:rPr>
          <w:rFonts w:ascii="Arial" w:cs="Arial" w:eastAsia="Arial" w:hAnsi="Arial"/>
          <w:sz w:val="20"/>
          <w:szCs w:val="20"/>
        </w:rPr>
        <w:t xml:space="preserve">H319 Działa drażniąco na oczy.</w:t>
      </w:r>
    </w:p>
    <w:p>
      <w:pPr>
        <w:spacing w:after="80"/>
      </w:pPr>
      <w:r>
        <w:rPr>
          <w:rFonts w:ascii="Arial" w:cs="Arial" w:eastAsia="Arial" w:hAnsi="Arial"/>
          <w:sz w:val="20"/>
          <w:szCs w:val="20"/>
        </w:rPr>
        <w:t xml:space="preserve">H317 Może powodować reakcję alergiczną skóry.</w:t>
      </w:r>
    </w:p>
    <w:p>
      <w:pPr>
        <w:spacing w:after="80"/>
      </w:pPr>
      <w:r>
        <w:rPr>
          <w:rFonts w:ascii="Arial" w:cs="Arial" w:eastAsia="Arial" w:hAnsi="Arial"/>
          <w:sz w:val="20"/>
          <w:szCs w:val="20"/>
        </w:rPr>
        <w:t xml:space="preserve">H412 Działa szkodliwie na organizmy wodne, powodując długotrwałe skutki.</w:t>
      </w:r>
    </w:p>
    <w:p>
      <w:pPr>
        <w:spacing w:after="80" w:before="150"/>
      </w:pPr>
      <w:r>
        <w:rPr>
          <w:rFonts w:ascii="Arial" w:cs="Arial" w:eastAsia="Arial" w:hAnsi="Arial"/>
          <w:b/>
          <w:bCs/>
          <w:sz w:val="20"/>
          <w:szCs w:val="20"/>
        </w:rPr>
        <w:t xml:space="preserve">Zwroty wskazujące środki ostrożności</w:t>
      </w:r>
    </w:p>
    <w:p>
      <w:pPr>
        <w:spacing w:after="80"/>
      </w:pPr>
      <w:r>
        <w:rPr>
          <w:rFonts w:ascii="Arial" w:cs="Arial" w:eastAsia="Arial" w:hAnsi="Arial"/>
          <w:sz w:val="20"/>
          <w:szCs w:val="20"/>
        </w:rPr>
        <w:t xml:space="preserve">P101 W razie konieczności zasięgnięcia porady lekarza należy pokazać pojemnik lub etykietę.</w:t>
      </w:r>
    </w:p>
    <w:p>
      <w:pPr>
        <w:spacing w:after="80"/>
      </w:pPr>
      <w:r>
        <w:rPr>
          <w:rFonts w:ascii="Arial" w:cs="Arial" w:eastAsia="Arial" w:hAnsi="Arial"/>
          <w:sz w:val="20"/>
          <w:szCs w:val="20"/>
        </w:rPr>
        <w:t xml:space="preserve">P102 Chronić przed dziećmi.</w:t>
      </w:r>
    </w:p>
    <w:p>
      <w:pPr>
        <w:spacing w:after="80"/>
      </w:pPr>
      <w:r>
        <w:rPr>
          <w:rFonts w:ascii="Arial" w:cs="Arial" w:eastAsia="Arial" w:hAnsi="Arial"/>
          <w:sz w:val="20"/>
          <w:szCs w:val="20"/>
        </w:rPr>
        <w:t xml:space="preserve">P210 Przechowywać z dala od źródeł ciepła, gorących powierzchni, źródeł iskrzenia, otwartego ognia i innych źródeł zapłonu. Nie palić.</w:t>
      </w:r>
    </w:p>
    <w:p>
      <w:pPr>
        <w:spacing w:after="80"/>
      </w:pPr>
      <w:r>
        <w:rPr>
          <w:rFonts w:ascii="Arial" w:cs="Arial" w:eastAsia="Arial" w:hAnsi="Arial"/>
          <w:sz w:val="20"/>
          <w:szCs w:val="20"/>
        </w:rPr>
        <w:t xml:space="preserve">P302+P352 W PRZYPADKU KONTAKTU ZE SKÓRĄ: Umyć dużą ilością wody z mydłem.</w:t>
      </w:r>
    </w:p>
    <w:p>
      <w:pPr>
        <w:spacing w:after="80"/>
      </w:pPr>
      <w:r>
        <w:rPr>
          <w:rFonts w:ascii="Arial" w:cs="Arial" w:eastAsia="Arial" w:hAnsi="Arial"/>
          <w:sz w:val="20"/>
          <w:szCs w:val="20"/>
        </w:rPr>
        <w:t xml:space="preserve">P305+P351+P338 W PRZYPADKU DOSTANIA SIĘ DO OCZU: Ostrożnie płukać wodą przez kilka minut. Wyjąć soczewki kontaktowe, jeżeli są i można je łatwo usunąć. Nadal płukać.</w:t>
      </w:r>
    </w:p>
    <w:p>
      <w:pPr>
        <w:spacing w:after="80"/>
      </w:pPr>
      <w:r>
        <w:rPr>
          <w:rFonts w:ascii="Arial" w:cs="Arial" w:eastAsia="Arial" w:hAnsi="Arial"/>
          <w:sz w:val="20"/>
          <w:szCs w:val="20"/>
        </w:rPr>
        <w:t xml:space="preserve">P333+P313 W przypadku wystąpienia podrażnienia skóry lub wysypki: Zasięgnąć porady/zgłosić się pod opiekę lekarza.</w:t>
      </w:r>
    </w:p>
    <w:p>
      <w:pPr>
        <w:spacing w:after="80"/>
      </w:pPr>
      <w:r>
        <w:rPr>
          <w:rFonts w:ascii="Arial" w:cs="Arial" w:eastAsia="Arial" w:hAnsi="Arial"/>
          <w:sz w:val="20"/>
          <w:szCs w:val="20"/>
        </w:rPr>
        <w:t xml:space="preserve">P337+P313 W przypadku utrzymywania się działania drażniącego na oczy: Zasięgnąć porady/zgłosić się pod opiekę lekarza.</w:t>
      </w:r>
    </w:p>
    <w:p>
      <w:pPr>
        <w:spacing w:after="80"/>
      </w:pPr>
      <w:r>
        <w:rPr>
          <w:rFonts w:ascii="Arial" w:cs="Arial" w:eastAsia="Arial" w:hAnsi="Arial"/>
          <w:sz w:val="20"/>
          <w:szCs w:val="20"/>
        </w:rPr>
        <w:t xml:space="preserve">P501 Zawartość/pojemnik usuwać do odpowiednio oznakowanych pojemników na odpady zgodnie z krajowymi przepisami.</w:t>
      </w:r>
    </w:p>
    <w:p>
      <w:pPr>
        <w:spacing w:after="80" w:before="150"/>
      </w:pPr>
      <w:r>
        <w:rPr>
          <w:rFonts w:ascii="Arial" w:cs="Arial" w:eastAsia="Arial" w:hAnsi="Arial"/>
          <w:b/>
          <w:bCs/>
          <w:sz w:val="20"/>
          <w:szCs w:val="20"/>
        </w:rPr>
        <w:t xml:space="preserve">Informacje uzupełniające</w:t>
      </w:r>
    </w:p>
    <w:p>
      <w:pPr>
        <w:spacing w:after="80"/>
      </w:pPr>
      <w:r>
        <w:rPr>
          <w:rFonts w:ascii="Arial" w:cs="Arial" w:eastAsia="Arial" w:hAnsi="Arial"/>
          <w:sz w:val="20"/>
          <w:szCs w:val="20"/>
        </w:rPr>
        <w:t xml:space="preserve">Brak.</w:t>
      </w:r>
    </w:p>
    <w:p>
      <w:pPr>
        <w:spacing w:after="100" w:before="200"/>
      </w:pPr>
      <w:r>
        <w:rPr>
          <w:rFonts w:ascii="Arial" w:cs="Arial" w:eastAsia="Arial" w:hAnsi="Arial"/>
          <w:b/>
          <w:bCs/>
          <w:sz w:val="20"/>
          <w:szCs w:val="20"/>
        </w:rPr>
        <w:t xml:space="preserve">2.3. Inne zagrożenia</w:t>
      </w:r>
    </w:p>
    <w:p>
      <w:pPr>
        <w:spacing w:after="80"/>
      </w:pPr>
      <w:r>
        <w:rPr>
          <w:rFonts w:ascii="Arial" w:cs="Arial" w:eastAsia="Arial" w:hAnsi="Arial"/>
          <w:sz w:val="20"/>
          <w:szCs w:val="20"/>
        </w:rPr>
        <w:t xml:space="preserve">Produkt nie zawiera składników wpisanych do wykazu ustanowionego zgodnie z art. 59 ust. 1 jako posiadające właściwości zaburzające funkcjonowanie układu hormonalnego ani składników o właściwościach zaburzających funkcjonowanie układu hormonalnego zgodnie z kryteriami określonymi w rozporządzeniu 2017/2100/UE lub rozporządzeniu 2018/605/UE w stężeniu równym lub większym od 0,1 %.</w:t>
      </w:r>
    </w:p>
    <w:p>
      <w:pPr>
        <w:spacing w:after="80"/>
      </w:pPr>
      <w:r>
        <w:rPr>
          <w:rFonts w:ascii="Arial" w:cs="Arial" w:eastAsia="Arial" w:hAnsi="Arial"/>
          <w:sz w:val="20"/>
          <w:szCs w:val="20"/>
        </w:rPr>
        <w:t xml:space="preserve">Komponenty mieszaniny nie spełniają kryteriów PBT lub vPvB zgodnie z załącznikiem XIII rozporządzenia REACH.</w:t>
      </w:r>
    </w:p>
    <w:p>
      <w:pPr>
        <w:pBdr>
          <w:bottom w:color="00A651" w:sz="12" w:space="1"/>
        </w:pBdr>
        <w:spacing w:after="150" w:before="300"/>
      </w:pPr>
      <w:r>
        <w:rPr>
          <w:b/>
          <w:bCs/>
          <w:sz w:val="22"/>
          <w:szCs w:val="22"/>
        </w:rPr>
        <w:t xml:space="preserve">SEKCJA 3: SKŁAD / INFORMACJA O SKŁADNIKACH</w:t>
      </w:r>
    </w:p>
    <w:p>
      <w:pPr>
        <w:spacing w:after="100" w:before="180"/>
      </w:pPr>
      <w:r>
        <w:rPr>
          <w:rFonts w:ascii="Arial" w:cs="Arial" w:eastAsia="Arial" w:hAnsi="Arial"/>
          <w:b/>
          <w:bCs/>
          <w:sz w:val="20"/>
          <w:szCs w:val="20"/>
        </w:rPr>
        <w:t xml:space="preserve">3.1. Substancje: Nie dotyczy.</w:t>
      </w:r>
    </w:p>
    <w:p>
      <w:pPr>
        <w:spacing w:after="80" w:before="180"/>
      </w:pPr>
      <w:r>
        <w:rPr>
          <w:rFonts w:ascii="Arial" w:cs="Arial" w:eastAsia="Arial" w:hAnsi="Arial"/>
          <w:b/>
          <w:bCs/>
          <w:sz w:val="20"/>
          <w:szCs w:val="20"/>
        </w:rPr>
        <w:t xml:space="preserve">3.2. Mieszaniny</w:t>
      </w:r>
    </w:p>
    <w:p>
      <w:pPr>
        <w:spacing w:after="150"/>
      </w:pPr>
      <w:r>
        <w:rPr>
          <w:rFonts w:ascii="Arial" w:cs="Arial" w:eastAsia="Arial" w:hAnsi="Arial"/>
          <w:sz w:val="20"/>
          <w:szCs w:val="20"/>
        </w:rPr>
        <w:t xml:space="preserve">Opis chemiczny: Mieszanina substancji stwarzających zagrożenie wraz z dodatkami niesklasyfikowanymi.</w:t>
      </w:r>
    </w:p>
    <w:tbl>
      <w:tblPr>
        <w:tblW w:type="dxa" w:w="9600"/>
        <w:tblBorders>
          <w:top w:val="single" w:color="CCCCCC" w:sz="4"/>
          <w:left w:val="single" w:color="CCCCCC" w:sz="4"/>
          <w:bottom w:val="single" w:color="CCCCCC" w:sz="4"/>
          <w:right w:val="single" w:color="CCCCCC" w:sz="4"/>
          <w:insideH w:val="single" w:color="E0E0E0" w:sz="4"/>
          <w:insideV w:val="single" w:color="E0E0E0" w:sz="4"/>
        </w:tblBorders>
      </w:tblPr>
      <w:tblGrid>
        <w:gridCol w:w="100"/>
        <w:gridCol w:w="100"/>
        <w:gridCol w:w="100"/>
        <w:gridCol w:w="100"/>
      </w:tblGrid>
      <w:tr>
        <w:trPr>
          <w:tblHeader/>
        </w:trPr>
        <w:tc>
          <w:tcPr>
            <w:tcW w:type="dxa" w:w="2800"/>
            <w:shd w:fill="F2F4F7"/>
          </w:tcPr>
          <w:p>
            <w:r>
              <w:rPr>
                <w:rFonts w:ascii="Arial" w:cs="Arial" w:eastAsia="Arial" w:hAnsi="Arial"/>
                <w:b/>
                <w:bCs/>
                <w:sz w:val="18"/>
                <w:szCs w:val="18"/>
              </w:rPr>
              <w:t xml:space="preserve">Nazwa substancji</w:t>
            </w:r>
          </w:p>
        </w:tc>
        <w:tc>
          <w:tcPr>
            <w:tcW w:type="dxa" w:w="2600"/>
            <w:shd w:fill="F2F4F7"/>
          </w:tcPr>
          <w:p>
            <w:r>
              <w:rPr>
                <w:rFonts w:ascii="Arial" w:cs="Arial" w:eastAsia="Arial" w:hAnsi="Arial"/>
                <w:b/>
                <w:bCs/>
                <w:sz w:val="18"/>
                <w:szCs w:val="18"/>
              </w:rPr>
              <w:t xml:space="preserve">Identyfikatory</w:t>
            </w:r>
          </w:p>
        </w:tc>
        <w:tc>
          <w:tcPr>
            <w:tcW w:type="dxa" w:w="2800"/>
            <w:shd w:fill="F2F4F7"/>
          </w:tcPr>
          <w:p>
            <w:r>
              <w:rPr>
                <w:rFonts w:ascii="Arial" w:cs="Arial" w:eastAsia="Arial" w:hAnsi="Arial"/>
                <w:b/>
                <w:bCs/>
                <w:sz w:val="18"/>
                <w:szCs w:val="18"/>
              </w:rPr>
              <w:t xml:space="preserve">Klasyfikacja CLP</w:t>
            </w:r>
          </w:p>
        </w:tc>
        <w:tc>
          <w:tcPr>
            <w:tcW w:type="dxa" w:w="1400"/>
            <w:shd w:fill="F2F4F7"/>
          </w:tcPr>
          <w:p>
            <w:r>
              <w:rPr>
                <w:rFonts w:ascii="Arial" w:cs="Arial" w:eastAsia="Arial" w:hAnsi="Arial"/>
                <w:b/>
                <w:bCs/>
                <w:sz w:val="18"/>
                <w:szCs w:val="18"/>
              </w:rPr>
              <w:t xml:space="preserve">Stężenie</w:t>
            </w:r>
          </w:p>
        </w:tc>
      </w:tr>
      <w:tr>
        <w:tc>
          <w:tcPr>
            <w:tcW w:type="dxa" w:w="2800"/>
          </w:tcPr>
          <w:p>
            <w:pPr>
              <w:spacing w:after="40"/>
            </w:pPr>
            <w:r>
              <w:rPr>
                <w:rFonts w:ascii="Arial" w:cs="Arial" w:eastAsia="Arial" w:hAnsi="Arial"/>
                <w:b/>
                <w:bCs/>
                <w:sz w:val="18"/>
                <w:szCs w:val="18"/>
              </w:rPr>
              <w:t xml:space="preserve">etanol</w:t>
            </w:r>
          </w:p>
          <w:p>
            <w:r>
              <w:rPr>
                <w:rFonts w:ascii="Arial" w:cs="Arial" w:eastAsia="Arial" w:hAnsi="Arial"/>
                <w:i/>
                <w:iCs/>
                <w:color w:val="666666"/>
                <w:sz w:val="16"/>
                <w:szCs w:val="16"/>
              </w:rPr>
              <w:t xml:space="preserve">(ang. ETHANOL)</w:t>
            </w:r>
          </w:p>
        </w:tc>
        <w:tc>
          <w:tcPr>
            <w:tcW w:type="dxa" w:w="2600"/>
          </w:tcPr>
          <w:p>
            <w:pPr>
              <w:spacing w:after="40"/>
            </w:pPr>
            <w:r>
              <w:rPr>
                <w:rFonts w:ascii="Arial" w:cs="Arial" w:eastAsia="Arial" w:hAnsi="Arial"/>
                <w:sz w:val="17"/>
                <w:szCs w:val="17"/>
              </w:rPr>
              <w:t xml:space="preserve">Numer CAS: 64-17-5</w:t>
            </w:r>
          </w:p>
          <w:p>
            <w:pPr>
              <w:spacing w:after="40"/>
            </w:pPr>
            <w:r>
              <w:rPr>
                <w:rFonts w:ascii="Arial" w:cs="Arial" w:eastAsia="Arial" w:hAnsi="Arial"/>
                <w:sz w:val="17"/>
                <w:szCs w:val="17"/>
              </w:rPr>
              <w:t xml:space="preserve">Numer WE: 200-578-6</w:t>
            </w:r>
          </w:p>
          <w:p>
            <w:pPr>
              <w:spacing w:after="40"/>
            </w:pPr>
            <w:r>
              <w:rPr>
                <w:rFonts w:ascii="Arial" w:cs="Arial" w:eastAsia="Arial" w:hAnsi="Arial"/>
                <w:sz w:val="17"/>
                <w:szCs w:val="17"/>
              </w:rPr>
              <w:t xml:space="preserve">Numer indeksowy: 603-002-00-5</w:t>
            </w:r>
          </w:p>
          <w:p>
            <w:pPr>
              <w:spacing w:after="40"/>
            </w:pPr>
            <w:r>
              <w:rPr>
                <w:rFonts w:ascii="Arial" w:cs="Arial" w:eastAsia="Arial" w:hAnsi="Arial"/>
                <w:sz w:val="17"/>
                <w:szCs w:val="17"/>
              </w:rPr>
              <w:t xml:space="preserve">Numer rejestracji REACH:</w:t>
            </w:r>
          </w:p>
          <w:p>
            <w:pPr>
              <w:spacing w:after="40"/>
            </w:pPr>
            <w:r>
              <w:rPr>
                <w:rFonts w:ascii="Arial" w:cs="Arial" w:eastAsia="Arial" w:hAnsi="Arial"/>
                <w:sz w:val="17"/>
                <w:szCs w:val="17"/>
              </w:rPr>
              <w:t xml:space="preserve">01-2119457610-43</w:t>
            </w:r>
          </w:p>
        </w:tc>
        <w:tc>
          <w:tcPr>
            <w:tcW w:type="dxa" w:w="2800"/>
          </w:tcPr>
          <w:p>
            <w:pPr>
              <w:spacing w:after="40"/>
            </w:pPr>
            <w:r>
              <w:rPr>
                <w:rFonts w:ascii="Arial" w:cs="Arial" w:eastAsia="Arial" w:hAnsi="Arial"/>
                <w:sz w:val="17"/>
                <w:szCs w:val="17"/>
              </w:rPr>
              <w:t xml:space="preserve">Flam. Liq. 2 H225, Eye Irrit. 2 H319, Eye Irrit. 2 H319: ≥ 50%</w:t>
            </w:r>
          </w:p>
        </w:tc>
        <w:tc>
          <w:tcPr>
            <w:tcW w:type="dxa" w:w="1400"/>
          </w:tcPr>
          <w:p>
            <w:r>
              <w:rPr>
                <w:rFonts w:ascii="Arial" w:cs="Arial" w:eastAsia="Arial" w:hAnsi="Arial"/>
                <w:sz w:val="18"/>
                <w:szCs w:val="18"/>
              </w:rPr>
              <w:t xml:space="preserve">74 ≤ x &lt; 78 %</w:t>
            </w:r>
          </w:p>
        </w:tc>
      </w:tr>
      <w:tr>
        <w:tc>
          <w:tcPr>
            <w:tcW w:type="dxa" w:w="2800"/>
          </w:tcPr>
          <w:p>
            <w:pPr>
              <w:spacing w:after="40"/>
            </w:pPr>
            <w:r>
              <w:rPr>
                <w:rFonts w:ascii="Arial" w:cs="Arial" w:eastAsia="Arial" w:hAnsi="Arial"/>
                <w:b/>
                <w:bCs/>
                <w:sz w:val="18"/>
                <w:szCs w:val="18"/>
              </w:rPr>
              <w:t xml:space="preserve">octan 4-tert-butylocykloheksylu</w:t>
            </w:r>
          </w:p>
          <w:p>
            <w:r>
              <w:rPr>
                <w:rFonts w:ascii="Arial" w:cs="Arial" w:eastAsia="Arial" w:hAnsi="Arial"/>
                <w:i/>
                <w:iCs/>
                <w:color w:val="666666"/>
                <w:sz w:val="16"/>
                <w:szCs w:val="16"/>
              </w:rPr>
              <w:t xml:space="preserve">(ang. (4-TERT-BUTYLCYCLOHEXYL) ACETATE)</w:t>
            </w:r>
          </w:p>
        </w:tc>
        <w:tc>
          <w:tcPr>
            <w:tcW w:type="dxa" w:w="2600"/>
          </w:tcPr>
          <w:p>
            <w:pPr>
              <w:spacing w:after="40"/>
            </w:pPr>
            <w:r>
              <w:rPr>
                <w:rFonts w:ascii="Arial" w:cs="Arial" w:eastAsia="Arial" w:hAnsi="Arial"/>
                <w:sz w:val="17"/>
                <w:szCs w:val="17"/>
              </w:rPr>
              <w:t xml:space="preserve">Numer CAS: 32210-23-4</w:t>
            </w:r>
          </w:p>
          <w:p>
            <w:pPr>
              <w:spacing w:after="40"/>
            </w:pPr>
            <w:r>
              <w:rPr>
                <w:rFonts w:ascii="Arial" w:cs="Arial" w:eastAsia="Arial" w:hAnsi="Arial"/>
                <w:sz w:val="17"/>
                <w:szCs w:val="17"/>
              </w:rPr>
              <w:t xml:space="preserve">Numer WE: 250-954-9</w:t>
            </w:r>
          </w:p>
          <w:p>
            <w:pPr>
              <w:spacing w:after="40"/>
            </w:pPr>
            <w:r>
              <w:rPr>
                <w:rFonts w:ascii="Arial" w:cs="Arial" w:eastAsia="Arial" w:hAnsi="Arial"/>
                <w:sz w:val="17"/>
                <w:szCs w:val="17"/>
              </w:rPr>
              <w:t xml:space="preserve">Numer rejestracji REACH:</w:t>
            </w:r>
          </w:p>
          <w:p>
            <w:pPr>
              <w:spacing w:after="40"/>
            </w:pPr>
            <w:r>
              <w:rPr>
                <w:rFonts w:ascii="Arial" w:cs="Arial" w:eastAsia="Arial" w:hAnsi="Arial"/>
                <w:sz w:val="17"/>
                <w:szCs w:val="17"/>
              </w:rPr>
              <w:t xml:space="preserve">01-2119976286-24</w:t>
            </w:r>
          </w:p>
        </w:tc>
        <w:tc>
          <w:tcPr>
            <w:tcW w:type="dxa" w:w="2800"/>
          </w:tcPr>
          <w:p>
            <w:pPr>
              <w:spacing w:after="40"/>
            </w:pPr>
            <w:r>
              <w:rPr>
                <w:rFonts w:ascii="Arial" w:cs="Arial" w:eastAsia="Arial" w:hAnsi="Arial"/>
                <w:sz w:val="17"/>
                <w:szCs w:val="17"/>
              </w:rPr>
              <w:t xml:space="preserve">Skin Sens. 1B H317</w:t>
            </w:r>
          </w:p>
        </w:tc>
        <w:tc>
          <w:tcPr>
            <w:tcW w:type="dxa" w:w="1400"/>
          </w:tcPr>
          <w:p>
            <w:r>
              <w:rPr>
                <w:rFonts w:ascii="Arial" w:cs="Arial" w:eastAsia="Arial" w:hAnsi="Arial"/>
                <w:sz w:val="18"/>
                <w:szCs w:val="18"/>
              </w:rPr>
              <w:t xml:space="preserve">7 ≤ x &lt; 8 %</w:t>
            </w:r>
          </w:p>
        </w:tc>
      </w:tr>
      <w:tr>
        <w:tc>
          <w:tcPr>
            <w:tcW w:type="dxa" w:w="2800"/>
          </w:tcPr>
          <w:p>
            <w:pPr>
              <w:spacing w:after="40"/>
            </w:pPr>
            <w:r>
              <w:rPr>
                <w:rFonts w:ascii="Arial" w:cs="Arial" w:eastAsia="Arial" w:hAnsi="Arial"/>
                <w:b/>
                <w:bCs/>
                <w:sz w:val="18"/>
                <w:szCs w:val="18"/>
              </w:rPr>
              <w:t xml:space="preserve">(2-metoksymetyloetoksy)propanol</w:t>
            </w:r>
          </w:p>
          <w:p>
            <w:r>
              <w:rPr>
                <w:rFonts w:ascii="Arial" w:cs="Arial" w:eastAsia="Arial" w:hAnsi="Arial"/>
                <w:i/>
                <w:iCs/>
                <w:color w:val="666666"/>
                <w:sz w:val="16"/>
                <w:szCs w:val="16"/>
              </w:rPr>
              <w:t xml:space="preserve">(ang. DIPROPYLENE GLYCOL MONOMETHYL ETHER)</w:t>
            </w:r>
          </w:p>
        </w:tc>
        <w:tc>
          <w:tcPr>
            <w:tcW w:type="dxa" w:w="2600"/>
          </w:tcPr>
          <w:p>
            <w:pPr>
              <w:spacing w:after="40"/>
            </w:pPr>
            <w:r>
              <w:rPr>
                <w:rFonts w:ascii="Arial" w:cs="Arial" w:eastAsia="Arial" w:hAnsi="Arial"/>
                <w:sz w:val="17"/>
                <w:szCs w:val="17"/>
              </w:rPr>
              <w:t xml:space="preserve">Numer CAS: 34590-94-8</w:t>
            </w:r>
          </w:p>
          <w:p>
            <w:pPr>
              <w:spacing w:after="40"/>
            </w:pPr>
            <w:r>
              <w:rPr>
                <w:rFonts w:ascii="Arial" w:cs="Arial" w:eastAsia="Arial" w:hAnsi="Arial"/>
                <w:sz w:val="17"/>
                <w:szCs w:val="17"/>
              </w:rPr>
              <w:t xml:space="preserve">Numer WE: 252-104-2</w:t>
            </w:r>
          </w:p>
          <w:p>
            <w:pPr>
              <w:spacing w:after="40"/>
            </w:pPr>
            <w:r>
              <w:rPr>
                <w:rFonts w:ascii="Arial" w:cs="Arial" w:eastAsia="Arial" w:hAnsi="Arial"/>
                <w:sz w:val="17"/>
                <w:szCs w:val="17"/>
              </w:rPr>
              <w:t xml:space="preserve">Numer rejestracji REACH:</w:t>
            </w:r>
          </w:p>
          <w:p>
            <w:pPr>
              <w:spacing w:after="40"/>
            </w:pPr>
            <w:r>
              <w:rPr>
                <w:rFonts w:ascii="Arial" w:cs="Arial" w:eastAsia="Arial" w:hAnsi="Arial"/>
                <w:sz w:val="17"/>
                <w:szCs w:val="17"/>
              </w:rPr>
              <w:t xml:space="preserve">01-2119450011-60</w:t>
            </w:r>
          </w:p>
        </w:tc>
        <w:tc>
          <w:tcPr>
            <w:tcW w:type="dxa" w:w="2800"/>
          </w:tcPr>
          <w:p>
            <w:pPr>
              <w:spacing w:after="40"/>
            </w:pPr>
            <w:r>
              <w:rPr>
                <w:rFonts w:ascii="Arial" w:cs="Arial" w:eastAsia="Arial" w:hAnsi="Arial"/>
                <w:sz w:val="17"/>
                <w:szCs w:val="17"/>
              </w:rPr>
              <w:t xml:space="preserve">Substancja z określonymi na poziomie Wspólnoty najwyższymi dopuszczalnymi stężeniami w środowisku pracy.</w:t>
            </w:r>
          </w:p>
        </w:tc>
        <w:tc>
          <w:tcPr>
            <w:tcW w:type="dxa" w:w="1400"/>
          </w:tcPr>
          <w:p>
            <w:r>
              <w:rPr>
                <w:rFonts w:ascii="Arial" w:cs="Arial" w:eastAsia="Arial" w:hAnsi="Arial"/>
                <w:sz w:val="18"/>
                <w:szCs w:val="18"/>
              </w:rPr>
              <w:t xml:space="preserve">3,5 ≤ x &lt; 4 %</w:t>
            </w:r>
          </w:p>
        </w:tc>
      </w:tr>
      <w:tr>
        <w:tc>
          <w:tcPr>
            <w:tcW w:type="dxa" w:w="2800"/>
          </w:tcPr>
          <w:p>
            <w:pPr>
              <w:spacing w:after="40"/>
            </w:pPr>
            <w:r>
              <w:rPr>
                <w:rFonts w:ascii="Arial" w:cs="Arial" w:eastAsia="Arial" w:hAnsi="Arial"/>
                <w:b/>
                <w:bCs/>
                <w:sz w:val="18"/>
                <w:szCs w:val="18"/>
              </w:rPr>
              <w:t xml:space="preserve">2-etylo-4-(2,2,3-trimetylocyklopent-3-en-1-ylo)but-2-en-1-ol</w:t>
            </w:r>
          </w:p>
          <w:p>
            <w:r>
              <w:rPr>
                <w:rFonts w:ascii="Arial" w:cs="Arial" w:eastAsia="Arial" w:hAnsi="Arial"/>
                <w:i/>
                <w:iCs/>
                <w:color w:val="666666"/>
                <w:sz w:val="16"/>
                <w:szCs w:val="16"/>
              </w:rPr>
              <w:t xml:space="preserve">(ang. 2-ETHYL-4-(2,2,3-TRIMETHYL-3-CYCLOPENTEN-1-YL)-2-BUTEN-1- OL)</w:t>
            </w:r>
          </w:p>
        </w:tc>
        <w:tc>
          <w:tcPr>
            <w:tcW w:type="dxa" w:w="2600"/>
          </w:tcPr>
          <w:p>
            <w:pPr>
              <w:spacing w:after="40"/>
            </w:pPr>
            <w:r>
              <w:rPr>
                <w:rFonts w:ascii="Arial" w:cs="Arial" w:eastAsia="Arial" w:hAnsi="Arial"/>
                <w:sz w:val="17"/>
                <w:szCs w:val="17"/>
              </w:rPr>
              <w:t xml:space="preserve">Numer CAS: 28219-61-6</w:t>
            </w:r>
          </w:p>
          <w:p>
            <w:pPr>
              <w:spacing w:after="40"/>
            </w:pPr>
            <w:r>
              <w:rPr>
                <w:rFonts w:ascii="Arial" w:cs="Arial" w:eastAsia="Arial" w:hAnsi="Arial"/>
                <w:sz w:val="17"/>
                <w:szCs w:val="17"/>
              </w:rPr>
              <w:t xml:space="preserve">Numer WE: 248-908-8</w:t>
            </w:r>
          </w:p>
          <w:p>
            <w:pPr>
              <w:spacing w:after="40"/>
            </w:pPr>
            <w:r>
              <w:rPr>
                <w:rFonts w:ascii="Arial" w:cs="Arial" w:eastAsia="Arial" w:hAnsi="Arial"/>
                <w:sz w:val="17"/>
                <w:szCs w:val="17"/>
              </w:rPr>
              <w:t xml:space="preserve">Numer rejestracji REACH:</w:t>
            </w:r>
          </w:p>
          <w:p>
            <w:pPr>
              <w:spacing w:after="40"/>
            </w:pPr>
            <w:r>
              <w:rPr>
                <w:rFonts w:ascii="Arial" w:cs="Arial" w:eastAsia="Arial" w:hAnsi="Arial"/>
                <w:sz w:val="17"/>
                <w:szCs w:val="17"/>
              </w:rPr>
              <w:t xml:space="preserve">01-2119529224-45</w:t>
            </w:r>
          </w:p>
        </w:tc>
        <w:tc>
          <w:tcPr>
            <w:tcW w:type="dxa" w:w="2800"/>
          </w:tcPr>
          <w:p>
            <w:pPr>
              <w:spacing w:after="40"/>
            </w:pPr>
            <w:r>
              <w:rPr>
                <w:rFonts w:ascii="Arial" w:cs="Arial" w:eastAsia="Arial" w:hAnsi="Arial"/>
                <w:sz w:val="17"/>
                <w:szCs w:val="17"/>
              </w:rPr>
              <w:t xml:space="preserve">Eye Irrit. 2 H319, Aquatic Acute 1 H400 M=1, Aquatic Chronic 1 H410 M=1</w:t>
            </w:r>
          </w:p>
        </w:tc>
        <w:tc>
          <w:tcPr>
            <w:tcW w:type="dxa" w:w="1400"/>
          </w:tcPr>
          <w:p>
            <w:r>
              <w:rPr>
                <w:rFonts w:ascii="Arial" w:cs="Arial" w:eastAsia="Arial" w:hAnsi="Arial"/>
                <w:sz w:val="18"/>
                <w:szCs w:val="18"/>
              </w:rPr>
              <w:t xml:space="preserve">0,7 ≤ x &lt; 0,8 %</w:t>
            </w:r>
          </w:p>
        </w:tc>
      </w:tr>
      <w:tr>
        <w:tc>
          <w:tcPr>
            <w:tcW w:type="dxa" w:w="2800"/>
          </w:tcPr>
          <w:p>
            <w:pPr>
              <w:spacing w:after="40"/>
            </w:pPr>
            <w:r>
              <w:rPr>
                <w:rFonts w:ascii="Arial" w:cs="Arial" w:eastAsia="Arial" w:hAnsi="Arial"/>
                <w:b/>
                <w:bCs/>
                <w:sz w:val="18"/>
                <w:szCs w:val="18"/>
              </w:rPr>
              <w:t xml:space="preserve">Masa poreakcyjna salicylanu 2-metylobutylu i salicylanu pentylu</w:t>
            </w:r>
          </w:p>
          <w:p>
            <w:r>
              <w:rPr>
                <w:rFonts w:ascii="Arial" w:cs="Arial" w:eastAsia="Arial" w:hAnsi="Arial"/>
                <w:i/>
                <w:iCs/>
                <w:color w:val="666666"/>
                <w:sz w:val="16"/>
                <w:szCs w:val="16"/>
              </w:rPr>
              <w:t xml:space="preserve">(ang. REACTION MASS OF 2-METHYLBUTYL SALICYLATE AND PENTYL SALICYLATE)</w:t>
            </w:r>
          </w:p>
        </w:tc>
        <w:tc>
          <w:tcPr>
            <w:tcW w:type="dxa" w:w="2600"/>
          </w:tcPr>
          <w:p>
            <w:pPr>
              <w:spacing w:after="40"/>
            </w:pPr>
            <w:r>
              <w:rPr>
                <w:rFonts w:ascii="Arial" w:cs="Arial" w:eastAsia="Arial" w:hAnsi="Arial"/>
                <w:sz w:val="17"/>
                <w:szCs w:val="17"/>
              </w:rPr>
              <w:t xml:space="preserve">Numer CAS: —</w:t>
            </w:r>
          </w:p>
          <w:p>
            <w:pPr>
              <w:spacing w:after="40"/>
            </w:pPr>
            <w:r>
              <w:rPr>
                <w:rFonts w:ascii="Arial" w:cs="Arial" w:eastAsia="Arial" w:hAnsi="Arial"/>
                <w:sz w:val="17"/>
                <w:szCs w:val="17"/>
              </w:rPr>
              <w:t xml:space="preserve">Numer WE: 911-280-7</w:t>
            </w:r>
          </w:p>
          <w:p>
            <w:pPr>
              <w:spacing w:after="40"/>
            </w:pPr>
            <w:r>
              <w:rPr>
                <w:rFonts w:ascii="Arial" w:cs="Arial" w:eastAsia="Arial" w:hAnsi="Arial"/>
                <w:sz w:val="17"/>
                <w:szCs w:val="17"/>
              </w:rPr>
              <w:t xml:space="preserve">Numer rejestracji REACH:</w:t>
            </w:r>
          </w:p>
          <w:p>
            <w:pPr>
              <w:spacing w:after="40"/>
            </w:pPr>
            <w:r>
              <w:rPr>
                <w:rFonts w:ascii="Arial" w:cs="Arial" w:eastAsia="Arial" w:hAnsi="Arial"/>
                <w:sz w:val="17"/>
                <w:szCs w:val="17"/>
              </w:rPr>
              <w:t xml:space="preserve">01-2119969444-27</w:t>
            </w:r>
          </w:p>
        </w:tc>
        <w:tc>
          <w:tcPr>
            <w:tcW w:type="dxa" w:w="2800"/>
          </w:tcPr>
          <w:p>
            <w:pPr>
              <w:spacing w:after="40"/>
            </w:pPr>
            <w:r>
              <w:rPr>
                <w:rFonts w:ascii="Arial" w:cs="Arial" w:eastAsia="Arial" w:hAnsi="Arial"/>
                <w:sz w:val="17"/>
                <w:szCs w:val="17"/>
              </w:rPr>
              <w:t xml:space="preserve">Acute Tox. 4 H302, Aquatic Acute 1 H400 M=1, Aquatic Chronic 2 H411, LD50 Oral: 2000 mg/kg</w:t>
            </w:r>
          </w:p>
        </w:tc>
        <w:tc>
          <w:tcPr>
            <w:tcW w:type="dxa" w:w="1400"/>
          </w:tcPr>
          <w:p>
            <w:r>
              <w:rPr>
                <w:rFonts w:ascii="Arial" w:cs="Arial" w:eastAsia="Arial" w:hAnsi="Arial"/>
                <w:sz w:val="18"/>
                <w:szCs w:val="18"/>
              </w:rPr>
              <w:t xml:space="preserve">0,35 ≤ x &lt; 0,4 %</w:t>
            </w:r>
          </w:p>
        </w:tc>
      </w:tr>
      <w:tr>
        <w:tc>
          <w:tcPr>
            <w:tcW w:type="dxa" w:w="2800"/>
          </w:tcPr>
          <w:p>
            <w:pPr>
              <w:spacing w:after="40"/>
            </w:pPr>
            <w:r>
              <w:rPr>
                <w:rFonts w:ascii="Arial" w:cs="Arial" w:eastAsia="Arial" w:hAnsi="Arial"/>
                <w:b/>
                <w:bCs/>
                <w:sz w:val="18"/>
                <w:szCs w:val="18"/>
              </w:rPr>
              <w:t xml:space="preserve">linalol</w:t>
            </w:r>
          </w:p>
          <w:p>
            <w:r>
              <w:rPr>
                <w:rFonts w:ascii="Arial" w:cs="Arial" w:eastAsia="Arial" w:hAnsi="Arial"/>
                <w:i/>
                <w:iCs/>
                <w:color w:val="666666"/>
                <w:sz w:val="16"/>
                <w:szCs w:val="16"/>
              </w:rPr>
              <w:t xml:space="preserve">(ang. linalool)</w:t>
            </w:r>
          </w:p>
        </w:tc>
        <w:tc>
          <w:tcPr>
            <w:tcW w:type="dxa" w:w="2600"/>
          </w:tcPr>
          <w:p>
            <w:pPr>
              <w:spacing w:after="40"/>
            </w:pPr>
            <w:r>
              <w:rPr>
                <w:rFonts w:ascii="Arial" w:cs="Arial" w:eastAsia="Arial" w:hAnsi="Arial"/>
                <w:sz w:val="17"/>
                <w:szCs w:val="17"/>
              </w:rPr>
              <w:t xml:space="preserve">Numer CAS: 78-70-6</w:t>
            </w:r>
          </w:p>
          <w:p>
            <w:pPr>
              <w:spacing w:after="40"/>
            </w:pPr>
            <w:r>
              <w:rPr>
                <w:rFonts w:ascii="Arial" w:cs="Arial" w:eastAsia="Arial" w:hAnsi="Arial"/>
                <w:sz w:val="17"/>
                <w:szCs w:val="17"/>
              </w:rPr>
              <w:t xml:space="preserve">Numer WE: 201-134-4</w:t>
            </w:r>
          </w:p>
          <w:p>
            <w:pPr>
              <w:spacing w:after="40"/>
            </w:pPr>
            <w:r>
              <w:rPr>
                <w:rFonts w:ascii="Arial" w:cs="Arial" w:eastAsia="Arial" w:hAnsi="Arial"/>
                <w:sz w:val="17"/>
                <w:szCs w:val="17"/>
              </w:rPr>
              <w:t xml:space="preserve">Numer indeksowy: 603-235-00-2</w:t>
            </w:r>
          </w:p>
          <w:p>
            <w:pPr>
              <w:spacing w:after="40"/>
            </w:pPr>
            <w:r>
              <w:rPr>
                <w:rFonts w:ascii="Arial" w:cs="Arial" w:eastAsia="Arial" w:hAnsi="Arial"/>
                <w:sz w:val="17"/>
                <w:szCs w:val="17"/>
              </w:rPr>
              <w:t xml:space="preserve">Numer rejestracji REACH:</w:t>
            </w:r>
          </w:p>
          <w:p>
            <w:pPr>
              <w:spacing w:after="40"/>
            </w:pPr>
            <w:r>
              <w:rPr>
                <w:rFonts w:ascii="Arial" w:cs="Arial" w:eastAsia="Arial" w:hAnsi="Arial"/>
                <w:sz w:val="17"/>
                <w:szCs w:val="17"/>
              </w:rPr>
              <w:t xml:space="preserve">01-2119474016-42</w:t>
            </w:r>
          </w:p>
        </w:tc>
        <w:tc>
          <w:tcPr>
            <w:tcW w:type="dxa" w:w="2800"/>
          </w:tcPr>
          <w:p>
            <w:pPr>
              <w:spacing w:after="40"/>
            </w:pPr>
            <w:r>
              <w:rPr>
                <w:rFonts w:ascii="Arial" w:cs="Arial" w:eastAsia="Arial" w:hAnsi="Arial"/>
                <w:sz w:val="17"/>
                <w:szCs w:val="17"/>
              </w:rPr>
              <w:t xml:space="preserve">Eye Irrit. 2 H319, Skin Irrit. 2 H315, Skin Sens. 1B H317</w:t>
            </w:r>
          </w:p>
        </w:tc>
        <w:tc>
          <w:tcPr>
            <w:tcW w:type="dxa" w:w="1400"/>
          </w:tcPr>
          <w:p>
            <w:r>
              <w:rPr>
                <w:rFonts w:ascii="Arial" w:cs="Arial" w:eastAsia="Arial" w:hAnsi="Arial"/>
                <w:sz w:val="18"/>
                <w:szCs w:val="18"/>
              </w:rPr>
              <w:t xml:space="preserve">0,3 ≤ x &lt; 0,35 %</w:t>
            </w:r>
          </w:p>
        </w:tc>
      </w:tr>
      <w:tr>
        <w:tc>
          <w:tcPr>
            <w:tcW w:type="dxa" w:w="2800"/>
          </w:tcPr>
          <w:p>
            <w:pPr>
              <w:spacing w:after="40"/>
            </w:pPr>
            <w:r>
              <w:rPr>
                <w:rFonts w:ascii="Arial" w:cs="Arial" w:eastAsia="Arial" w:hAnsi="Arial"/>
                <w:b/>
                <w:bCs/>
                <w:sz w:val="18"/>
                <w:szCs w:val="18"/>
              </w:rPr>
              <w:t xml:space="preserve">salicylan benzylu</w:t>
            </w:r>
          </w:p>
          <w:p>
            <w:r>
              <w:rPr>
                <w:rFonts w:ascii="Arial" w:cs="Arial" w:eastAsia="Arial" w:hAnsi="Arial"/>
                <w:i/>
                <w:iCs/>
                <w:color w:val="666666"/>
                <w:sz w:val="16"/>
                <w:szCs w:val="16"/>
              </w:rPr>
              <w:t xml:space="preserve">(ang. benzyl salicylate)</w:t>
            </w:r>
          </w:p>
        </w:tc>
        <w:tc>
          <w:tcPr>
            <w:tcW w:type="dxa" w:w="2600"/>
          </w:tcPr>
          <w:p>
            <w:pPr>
              <w:spacing w:after="40"/>
            </w:pPr>
            <w:r>
              <w:rPr>
                <w:rFonts w:ascii="Arial" w:cs="Arial" w:eastAsia="Arial" w:hAnsi="Arial"/>
                <w:sz w:val="17"/>
                <w:szCs w:val="17"/>
              </w:rPr>
              <w:t xml:space="preserve">Numer CAS: 118-58-1</w:t>
            </w:r>
          </w:p>
          <w:p>
            <w:pPr>
              <w:spacing w:after="40"/>
            </w:pPr>
            <w:r>
              <w:rPr>
                <w:rFonts w:ascii="Arial" w:cs="Arial" w:eastAsia="Arial" w:hAnsi="Arial"/>
                <w:sz w:val="17"/>
                <w:szCs w:val="17"/>
              </w:rPr>
              <w:t xml:space="preserve">Numer WE: 204-262-9</w:t>
            </w:r>
          </w:p>
          <w:p>
            <w:pPr>
              <w:spacing w:after="40"/>
            </w:pPr>
            <w:r>
              <w:rPr>
                <w:rFonts w:ascii="Arial" w:cs="Arial" w:eastAsia="Arial" w:hAnsi="Arial"/>
                <w:sz w:val="17"/>
                <w:szCs w:val="17"/>
              </w:rPr>
              <w:t xml:space="preserve">Numer indeksowy: 607-754-00-5</w:t>
            </w:r>
          </w:p>
          <w:p>
            <w:pPr>
              <w:spacing w:after="40"/>
            </w:pPr>
            <w:r>
              <w:rPr>
                <w:rFonts w:ascii="Arial" w:cs="Arial" w:eastAsia="Arial" w:hAnsi="Arial"/>
                <w:sz w:val="17"/>
                <w:szCs w:val="17"/>
              </w:rPr>
              <w:t xml:space="preserve">Numer rejestracji REACH:</w:t>
            </w:r>
          </w:p>
          <w:p>
            <w:pPr>
              <w:spacing w:after="40"/>
            </w:pPr>
            <w:r>
              <w:rPr>
                <w:rFonts w:ascii="Arial" w:cs="Arial" w:eastAsia="Arial" w:hAnsi="Arial"/>
                <w:sz w:val="17"/>
                <w:szCs w:val="17"/>
              </w:rPr>
              <w:t xml:space="preserve">01-2119969442-31</w:t>
            </w:r>
          </w:p>
        </w:tc>
        <w:tc>
          <w:tcPr>
            <w:tcW w:type="dxa" w:w="2800"/>
          </w:tcPr>
          <w:p>
            <w:pPr>
              <w:spacing w:after="40"/>
            </w:pPr>
            <w:r>
              <w:rPr>
                <w:rFonts w:ascii="Arial" w:cs="Arial" w:eastAsia="Arial" w:hAnsi="Arial"/>
                <w:sz w:val="17"/>
                <w:szCs w:val="17"/>
              </w:rPr>
              <w:t xml:space="preserve">Eye Irrit. 2 H319, Skin Sens. 1B H317, Aquatic Chronic 3 H412</w:t>
            </w:r>
          </w:p>
        </w:tc>
        <w:tc>
          <w:tcPr>
            <w:tcW w:type="dxa" w:w="1400"/>
          </w:tcPr>
          <w:p>
            <w:r>
              <w:rPr>
                <w:rFonts w:ascii="Arial" w:cs="Arial" w:eastAsia="Arial" w:hAnsi="Arial"/>
                <w:sz w:val="18"/>
                <w:szCs w:val="18"/>
              </w:rPr>
              <w:t xml:space="preserve">0,2 ≤ x &lt; 0,25 %</w:t>
            </w:r>
          </w:p>
        </w:tc>
      </w:tr>
      <w:tr>
        <w:tc>
          <w:tcPr>
            <w:tcW w:type="dxa" w:w="2800"/>
          </w:tcPr>
          <w:p>
            <w:pPr>
              <w:spacing w:after="40"/>
            </w:pPr>
            <w:r>
              <w:rPr>
                <w:rFonts w:ascii="Arial" w:cs="Arial" w:eastAsia="Arial" w:hAnsi="Arial"/>
                <w:b/>
                <w:bCs/>
                <w:sz w:val="18"/>
                <w:szCs w:val="18"/>
              </w:rPr>
              <w:t xml:space="preserve">2,6-di-tert-butylo-4-metylofenol (BHT)</w:t>
            </w:r>
          </w:p>
          <w:p>
            <w:r>
              <w:rPr>
                <w:rFonts w:ascii="Arial" w:cs="Arial" w:eastAsia="Arial" w:hAnsi="Arial"/>
                <w:i/>
                <w:iCs/>
                <w:color w:val="666666"/>
                <w:sz w:val="16"/>
                <w:szCs w:val="16"/>
              </w:rPr>
              <w:t xml:space="preserve">(ang. 2,6-di-tert-butyl-p-cresol)</w:t>
            </w:r>
          </w:p>
        </w:tc>
        <w:tc>
          <w:tcPr>
            <w:tcW w:type="dxa" w:w="2600"/>
          </w:tcPr>
          <w:p>
            <w:pPr>
              <w:spacing w:after="40"/>
            </w:pPr>
            <w:r>
              <w:rPr>
                <w:rFonts w:ascii="Arial" w:cs="Arial" w:eastAsia="Arial" w:hAnsi="Arial"/>
                <w:sz w:val="17"/>
                <w:szCs w:val="17"/>
              </w:rPr>
              <w:t xml:space="preserve">Numer CAS: 128-37-0</w:t>
            </w:r>
          </w:p>
          <w:p>
            <w:pPr>
              <w:spacing w:after="40"/>
            </w:pPr>
            <w:r>
              <w:rPr>
                <w:rFonts w:ascii="Arial" w:cs="Arial" w:eastAsia="Arial" w:hAnsi="Arial"/>
                <w:sz w:val="17"/>
                <w:szCs w:val="17"/>
              </w:rPr>
              <w:t xml:space="preserve">Numer WE: 204-881-4</w:t>
            </w:r>
          </w:p>
          <w:p>
            <w:pPr>
              <w:spacing w:after="40"/>
            </w:pPr>
            <w:r>
              <w:rPr>
                <w:rFonts w:ascii="Arial" w:cs="Arial" w:eastAsia="Arial" w:hAnsi="Arial"/>
                <w:sz w:val="17"/>
                <w:szCs w:val="17"/>
              </w:rPr>
              <w:t xml:space="preserve">Numer rejestracji REACH:</w:t>
            </w:r>
          </w:p>
          <w:p>
            <w:pPr>
              <w:spacing w:after="40"/>
            </w:pPr>
            <w:r>
              <w:rPr>
                <w:rFonts w:ascii="Arial" w:cs="Arial" w:eastAsia="Arial" w:hAnsi="Arial"/>
                <w:sz w:val="17"/>
                <w:szCs w:val="17"/>
              </w:rPr>
              <w:t xml:space="preserve">01-2119565113-46</w:t>
            </w:r>
          </w:p>
        </w:tc>
        <w:tc>
          <w:tcPr>
            <w:tcW w:type="dxa" w:w="2800"/>
          </w:tcPr>
          <w:p>
            <w:pPr>
              <w:spacing w:after="40"/>
            </w:pPr>
            <w:r>
              <w:rPr>
                <w:rFonts w:ascii="Arial" w:cs="Arial" w:eastAsia="Arial" w:hAnsi="Arial"/>
                <w:sz w:val="17"/>
                <w:szCs w:val="17"/>
              </w:rPr>
              <w:t xml:space="preserve">Aquatic Chronic 1 H410 M=1</w:t>
            </w:r>
          </w:p>
        </w:tc>
        <w:tc>
          <w:tcPr>
            <w:tcW w:type="dxa" w:w="1400"/>
          </w:tcPr>
          <w:p>
            <w:r>
              <w:rPr>
                <w:rFonts w:ascii="Arial" w:cs="Arial" w:eastAsia="Arial" w:hAnsi="Arial"/>
                <w:sz w:val="18"/>
                <w:szCs w:val="18"/>
              </w:rPr>
              <w:t xml:space="preserve">0,1 ≤ x &lt; 0,15 %</w:t>
            </w:r>
          </w:p>
        </w:tc>
      </w:tr>
      <w:tr>
        <w:tc>
          <w:tcPr>
            <w:tcW w:type="dxa" w:w="2800"/>
          </w:tcPr>
          <w:p>
            <w:pPr>
              <w:spacing w:after="40"/>
            </w:pPr>
            <w:r>
              <w:rPr>
                <w:rFonts w:ascii="Arial" w:cs="Arial" w:eastAsia="Arial" w:hAnsi="Arial"/>
                <w:b/>
                <w:bCs/>
                <w:sz w:val="18"/>
                <w:szCs w:val="18"/>
              </w:rPr>
              <w:t xml:space="preserve">(±) trans-3,3-dimetylo-5-(2,2,3-trimetylocyklopent-3-en-1-ylo)pent-4-en-2-ol</w:t>
            </w:r>
          </w:p>
          <w:p>
            <w:r>
              <w:rPr>
                <w:rFonts w:ascii="Arial" w:cs="Arial" w:eastAsia="Arial" w:hAnsi="Arial"/>
                <w:i/>
                <w:iCs/>
                <w:color w:val="666666"/>
                <w:sz w:val="16"/>
                <w:szCs w:val="16"/>
              </w:rPr>
              <w:t xml:space="preserve">(ang. 3,3-dimethyl-5-(2,2,3-trimethyl- cyclopent-3-en-1-yl)-pent-4-en-2-ol)</w:t>
            </w:r>
          </w:p>
        </w:tc>
        <w:tc>
          <w:tcPr>
            <w:tcW w:type="dxa" w:w="2600"/>
          </w:tcPr>
          <w:p>
            <w:pPr>
              <w:spacing w:after="40"/>
            </w:pPr>
            <w:r>
              <w:rPr>
                <w:rFonts w:ascii="Arial" w:cs="Arial" w:eastAsia="Arial" w:hAnsi="Arial"/>
                <w:sz w:val="17"/>
                <w:szCs w:val="17"/>
              </w:rPr>
              <w:t xml:space="preserve">Numer CAS: 107898-54-4</w:t>
            </w:r>
          </w:p>
          <w:p>
            <w:pPr>
              <w:spacing w:after="40"/>
            </w:pPr>
            <w:r>
              <w:rPr>
                <w:rFonts w:ascii="Arial" w:cs="Arial" w:eastAsia="Arial" w:hAnsi="Arial"/>
                <w:sz w:val="17"/>
                <w:szCs w:val="17"/>
              </w:rPr>
              <w:t xml:space="preserve">Numer WE: 411-580-3</w:t>
            </w:r>
          </w:p>
          <w:p>
            <w:pPr>
              <w:spacing w:after="40"/>
            </w:pPr>
            <w:r>
              <w:rPr>
                <w:rFonts w:ascii="Arial" w:cs="Arial" w:eastAsia="Arial" w:hAnsi="Arial"/>
                <w:sz w:val="17"/>
                <w:szCs w:val="17"/>
              </w:rPr>
              <w:t xml:space="preserve">Numer indeksowy: 603-150-00-0</w:t>
            </w:r>
          </w:p>
          <w:p>
            <w:pPr>
              <w:spacing w:after="40"/>
            </w:pPr>
            <w:r>
              <w:rPr>
                <w:rFonts w:ascii="Arial" w:cs="Arial" w:eastAsia="Arial" w:hAnsi="Arial"/>
                <w:sz w:val="17"/>
                <w:szCs w:val="17"/>
              </w:rPr>
              <w:t xml:space="preserve">Numer rejestracji REACH:</w:t>
            </w:r>
          </w:p>
          <w:p>
            <w:pPr>
              <w:spacing w:after="40"/>
            </w:pPr>
            <w:r>
              <w:rPr>
                <w:rFonts w:ascii="Arial" w:cs="Arial" w:eastAsia="Arial" w:hAnsi="Arial"/>
                <w:sz w:val="17"/>
                <w:szCs w:val="17"/>
              </w:rPr>
              <w:t xml:space="preserve">01-0000015895-58</w:t>
            </w:r>
          </w:p>
        </w:tc>
        <w:tc>
          <w:tcPr>
            <w:tcW w:type="dxa" w:w="2800"/>
          </w:tcPr>
          <w:p>
            <w:pPr>
              <w:spacing w:after="40"/>
            </w:pPr>
            <w:r>
              <w:rPr>
                <w:rFonts w:ascii="Arial" w:cs="Arial" w:eastAsia="Arial" w:hAnsi="Arial"/>
                <w:sz w:val="17"/>
                <w:szCs w:val="17"/>
              </w:rPr>
              <w:t xml:space="preserve">Skin Irrit. 2 H315, Aquatic Acute 1 H400 M=1, Aquatic Chronic 1 H410 M=1</w:t>
            </w:r>
          </w:p>
        </w:tc>
        <w:tc>
          <w:tcPr>
            <w:tcW w:type="dxa" w:w="1400"/>
          </w:tcPr>
          <w:p>
            <w:r>
              <w:rPr>
                <w:rFonts w:ascii="Arial" w:cs="Arial" w:eastAsia="Arial" w:hAnsi="Arial"/>
                <w:sz w:val="18"/>
                <w:szCs w:val="18"/>
              </w:rPr>
              <w:t xml:space="preserve">0,1 ≤ x &lt; 0,15 %</w:t>
            </w:r>
          </w:p>
        </w:tc>
      </w:tr>
      <w:tr>
        <w:tc>
          <w:tcPr>
            <w:tcW w:type="dxa" w:w="2800"/>
          </w:tcPr>
          <w:p>
            <w:pPr>
              <w:spacing w:after="40"/>
            </w:pPr>
            <w:r>
              <w:rPr>
                <w:rFonts w:ascii="Arial" w:cs="Arial" w:eastAsia="Arial" w:hAnsi="Arial"/>
                <w:b/>
                <w:bCs/>
                <w:sz w:val="18"/>
                <w:szCs w:val="18"/>
              </w:rPr>
              <w:t xml:space="preserve">1,8-cyneol (eukaliptol)</w:t>
            </w:r>
          </w:p>
          <w:p>
            <w:r>
              <w:rPr>
                <w:rFonts w:ascii="Arial" w:cs="Arial" w:eastAsia="Arial" w:hAnsi="Arial"/>
                <w:i/>
                <w:iCs/>
                <w:color w:val="666666"/>
                <w:sz w:val="16"/>
                <w:szCs w:val="16"/>
              </w:rPr>
              <w:t xml:space="preserve">(ang. CINEOLE)</w:t>
            </w:r>
          </w:p>
        </w:tc>
        <w:tc>
          <w:tcPr>
            <w:tcW w:type="dxa" w:w="2600"/>
          </w:tcPr>
          <w:p>
            <w:pPr>
              <w:spacing w:after="40"/>
            </w:pPr>
            <w:r>
              <w:rPr>
                <w:rFonts w:ascii="Arial" w:cs="Arial" w:eastAsia="Arial" w:hAnsi="Arial"/>
                <w:sz w:val="17"/>
                <w:szCs w:val="17"/>
              </w:rPr>
              <w:t xml:space="preserve">Numer CAS: 470-82-6</w:t>
            </w:r>
          </w:p>
          <w:p>
            <w:pPr>
              <w:spacing w:after="40"/>
            </w:pPr>
            <w:r>
              <w:rPr>
                <w:rFonts w:ascii="Arial" w:cs="Arial" w:eastAsia="Arial" w:hAnsi="Arial"/>
                <w:sz w:val="17"/>
                <w:szCs w:val="17"/>
              </w:rPr>
              <w:t xml:space="preserve">Numer WE: 207-431-5</w:t>
            </w:r>
          </w:p>
          <w:p>
            <w:pPr>
              <w:spacing w:after="40"/>
            </w:pPr>
            <w:r>
              <w:rPr>
                <w:rFonts w:ascii="Arial" w:cs="Arial" w:eastAsia="Arial" w:hAnsi="Arial"/>
                <w:sz w:val="17"/>
                <w:szCs w:val="17"/>
              </w:rPr>
              <w:t xml:space="preserve">Numer rejestracji REACH:</w:t>
            </w:r>
          </w:p>
          <w:p>
            <w:pPr>
              <w:spacing w:after="40"/>
            </w:pPr>
            <w:r>
              <w:rPr>
                <w:rFonts w:ascii="Arial" w:cs="Arial" w:eastAsia="Arial" w:hAnsi="Arial"/>
                <w:sz w:val="17"/>
                <w:szCs w:val="17"/>
              </w:rPr>
              <w:t xml:space="preserve">01-2119967772-24</w:t>
            </w:r>
          </w:p>
        </w:tc>
        <w:tc>
          <w:tcPr>
            <w:tcW w:type="dxa" w:w="2800"/>
          </w:tcPr>
          <w:p>
            <w:pPr>
              <w:spacing w:after="40"/>
            </w:pPr>
            <w:r>
              <w:rPr>
                <w:rFonts w:ascii="Arial" w:cs="Arial" w:eastAsia="Arial" w:hAnsi="Arial"/>
                <w:sz w:val="17"/>
                <w:szCs w:val="17"/>
              </w:rPr>
              <w:t xml:space="preserve">Flam. Liq. 3 H226, Skin Sens. 1B H317</w:t>
            </w:r>
          </w:p>
        </w:tc>
        <w:tc>
          <w:tcPr>
            <w:tcW w:type="dxa" w:w="1400"/>
          </w:tcPr>
          <w:p>
            <w:r>
              <w:rPr>
                <w:rFonts w:ascii="Arial" w:cs="Arial" w:eastAsia="Arial" w:hAnsi="Arial"/>
                <w:sz w:val="18"/>
                <w:szCs w:val="18"/>
              </w:rPr>
              <w:t xml:space="preserve">0,1 ≤ x &lt; 0,15 %</w:t>
            </w:r>
          </w:p>
        </w:tc>
      </w:tr>
      <w:tr>
        <w:tc>
          <w:tcPr>
            <w:tcW w:type="dxa" w:w="2800"/>
          </w:tcPr>
          <w:p>
            <w:pPr>
              <w:spacing w:after="40"/>
            </w:pPr>
            <w:r>
              <w:rPr>
                <w:rFonts w:ascii="Arial" w:cs="Arial" w:eastAsia="Arial" w:hAnsi="Arial"/>
                <w:b/>
                <w:bCs/>
                <w:sz w:val="18"/>
                <w:szCs w:val="18"/>
              </w:rPr>
              <w:t xml:space="preserve">Masa poreakcyjna 1-[(1R*,6S*)-2,2,6-trimetylocykloheksylo]heksan-3-olu i 1-[(1S*,6S*)-2,2,6-trimetylocykloheksylo]heksan-3-olu</w:t>
            </w:r>
          </w:p>
          <w:p>
            <w:r>
              <w:rPr>
                <w:rFonts w:ascii="Arial" w:cs="Arial" w:eastAsia="Arial" w:hAnsi="Arial"/>
                <w:i/>
                <w:iCs/>
                <w:color w:val="666666"/>
                <w:sz w:val="16"/>
                <w:szCs w:val="16"/>
              </w:rPr>
              <w:t xml:space="preserve">(ang. Reaction mass of 1-[(1R*,6S*)-2,2,6-trimethylcyclohexyl]hexan-3-ol and 1-[(1S*,6S*)-2,2,6- trimethylcyclohexyl]hexan-3-ol)</w:t>
            </w:r>
          </w:p>
        </w:tc>
        <w:tc>
          <w:tcPr>
            <w:tcW w:type="dxa" w:w="2600"/>
          </w:tcPr>
          <w:p>
            <w:pPr>
              <w:spacing w:after="40"/>
            </w:pPr>
            <w:r>
              <w:rPr>
                <w:rFonts w:ascii="Arial" w:cs="Arial" w:eastAsia="Arial" w:hAnsi="Arial"/>
                <w:sz w:val="17"/>
                <w:szCs w:val="17"/>
              </w:rPr>
              <w:t xml:space="preserve">Numer CAS: —</w:t>
            </w:r>
          </w:p>
          <w:p>
            <w:pPr>
              <w:spacing w:after="40"/>
            </w:pPr>
            <w:r>
              <w:rPr>
                <w:rFonts w:ascii="Arial" w:cs="Arial" w:eastAsia="Arial" w:hAnsi="Arial"/>
                <w:sz w:val="17"/>
                <w:szCs w:val="17"/>
              </w:rPr>
              <w:t xml:space="preserve">Numer WE: 947-716-8</w:t>
            </w:r>
          </w:p>
          <w:p>
            <w:pPr>
              <w:spacing w:after="40"/>
            </w:pPr>
            <w:r>
              <w:rPr>
                <w:rFonts w:ascii="Arial" w:cs="Arial" w:eastAsia="Arial" w:hAnsi="Arial"/>
                <w:sz w:val="17"/>
                <w:szCs w:val="17"/>
              </w:rPr>
              <w:t xml:space="preserve">Numer rejestracji REACH:</w:t>
            </w:r>
          </w:p>
          <w:p>
            <w:pPr>
              <w:spacing w:after="40"/>
            </w:pPr>
            <w:r>
              <w:rPr>
                <w:rFonts w:ascii="Arial" w:cs="Arial" w:eastAsia="Arial" w:hAnsi="Arial"/>
                <w:sz w:val="17"/>
                <w:szCs w:val="17"/>
              </w:rPr>
              <w:t xml:space="preserve">01-2120768938-30</w:t>
            </w:r>
          </w:p>
        </w:tc>
        <w:tc>
          <w:tcPr>
            <w:tcW w:type="dxa" w:w="2800"/>
          </w:tcPr>
          <w:p>
            <w:pPr>
              <w:spacing w:after="40"/>
            </w:pPr>
            <w:r>
              <w:rPr>
                <w:rFonts w:ascii="Arial" w:cs="Arial" w:eastAsia="Arial" w:hAnsi="Arial"/>
                <w:sz w:val="17"/>
                <w:szCs w:val="17"/>
              </w:rPr>
              <w:t xml:space="preserve">Skin Sens. 1B H317, Aquatic Acute 1 H400 M=1, Aquatic Chronic 1 H410 M=1</w:t>
            </w:r>
          </w:p>
        </w:tc>
        <w:tc>
          <w:tcPr>
            <w:tcW w:type="dxa" w:w="1400"/>
          </w:tcPr>
          <w:p>
            <w:r>
              <w:rPr>
                <w:rFonts w:ascii="Arial" w:cs="Arial" w:eastAsia="Arial" w:hAnsi="Arial"/>
                <w:sz w:val="18"/>
                <w:szCs w:val="18"/>
              </w:rPr>
              <w:t xml:space="preserve">0,1 ≤ x &lt; 0,15 %</w:t>
            </w:r>
          </w:p>
        </w:tc>
      </w:tr>
      <w:tr>
        <w:tc>
          <w:tcPr>
            <w:tcW w:type="dxa" w:w="2800"/>
          </w:tcPr>
          <w:p>
            <w:pPr>
              <w:spacing w:after="40"/>
            </w:pPr>
            <w:r>
              <w:rPr>
                <w:rFonts w:ascii="Arial" w:cs="Arial" w:eastAsia="Arial" w:hAnsi="Arial"/>
                <w:b/>
                <w:bCs/>
                <w:sz w:val="18"/>
                <w:szCs w:val="18"/>
              </w:rPr>
              <w:t xml:space="preserve">aldehyd cynamonowy</w:t>
            </w:r>
          </w:p>
          <w:p>
            <w:r>
              <w:rPr>
                <w:rFonts w:ascii="Arial" w:cs="Arial" w:eastAsia="Arial" w:hAnsi="Arial"/>
                <w:i/>
                <w:iCs/>
                <w:color w:val="666666"/>
                <w:sz w:val="16"/>
                <w:szCs w:val="16"/>
              </w:rPr>
              <w:t xml:space="preserve">(ang. CINNAMALDEHYDE)</w:t>
            </w:r>
          </w:p>
        </w:tc>
        <w:tc>
          <w:tcPr>
            <w:tcW w:type="dxa" w:w="2600"/>
          </w:tcPr>
          <w:p>
            <w:pPr>
              <w:spacing w:after="40"/>
            </w:pPr>
            <w:r>
              <w:rPr>
                <w:rFonts w:ascii="Arial" w:cs="Arial" w:eastAsia="Arial" w:hAnsi="Arial"/>
                <w:sz w:val="17"/>
                <w:szCs w:val="17"/>
              </w:rPr>
              <w:t xml:space="preserve">Numer CAS: 104-55-2</w:t>
            </w:r>
          </w:p>
          <w:p>
            <w:pPr>
              <w:spacing w:after="40"/>
            </w:pPr>
            <w:r>
              <w:rPr>
                <w:rFonts w:ascii="Arial" w:cs="Arial" w:eastAsia="Arial" w:hAnsi="Arial"/>
                <w:sz w:val="17"/>
                <w:szCs w:val="17"/>
              </w:rPr>
              <w:t xml:space="preserve">Numer WE: 203-213-9</w:t>
            </w:r>
          </w:p>
          <w:p>
            <w:pPr>
              <w:spacing w:after="40"/>
            </w:pPr>
            <w:r>
              <w:rPr>
                <w:rFonts w:ascii="Arial" w:cs="Arial" w:eastAsia="Arial" w:hAnsi="Arial"/>
                <w:sz w:val="17"/>
                <w:szCs w:val="17"/>
              </w:rPr>
              <w:t xml:space="preserve">Numer indeksowy: 606-155-00-6</w:t>
            </w:r>
          </w:p>
          <w:p>
            <w:pPr>
              <w:spacing w:after="40"/>
            </w:pPr>
            <w:r>
              <w:rPr>
                <w:rFonts w:ascii="Arial" w:cs="Arial" w:eastAsia="Arial" w:hAnsi="Arial"/>
                <w:sz w:val="17"/>
                <w:szCs w:val="17"/>
              </w:rPr>
              <w:t xml:space="preserve">Numer rejestracji REACH:</w:t>
            </w:r>
          </w:p>
          <w:p>
            <w:pPr>
              <w:spacing w:after="40"/>
            </w:pPr>
            <w:r>
              <w:rPr>
                <w:rFonts w:ascii="Arial" w:cs="Arial" w:eastAsia="Arial" w:hAnsi="Arial"/>
                <w:sz w:val="17"/>
                <w:szCs w:val="17"/>
              </w:rPr>
              <w:t xml:space="preserve">01-2119935242-45</w:t>
            </w:r>
          </w:p>
        </w:tc>
        <w:tc>
          <w:tcPr>
            <w:tcW w:type="dxa" w:w="2800"/>
          </w:tcPr>
          <w:p>
            <w:pPr>
              <w:spacing w:after="40"/>
            </w:pPr>
            <w:r>
              <w:rPr>
                <w:rFonts w:ascii="Arial" w:cs="Arial" w:eastAsia="Arial" w:hAnsi="Arial"/>
                <w:sz w:val="17"/>
                <w:szCs w:val="17"/>
              </w:rPr>
              <w:t xml:space="preserve">Skin Sens. 1A H317, Skin Sens. 1A H317: ≥ 0,01%</w:t>
            </w:r>
          </w:p>
        </w:tc>
        <w:tc>
          <w:tcPr>
            <w:tcW w:type="dxa" w:w="1400"/>
          </w:tcPr>
          <w:p>
            <w:r>
              <w:rPr>
                <w:rFonts w:ascii="Arial" w:cs="Arial" w:eastAsia="Arial" w:hAnsi="Arial"/>
                <w:sz w:val="18"/>
                <w:szCs w:val="18"/>
              </w:rPr>
              <w:t xml:space="preserve">0,05 ≤ x &lt; 0,1 %</w:t>
            </w:r>
          </w:p>
        </w:tc>
      </w:tr>
      <w:tr>
        <w:tc>
          <w:tcPr>
            <w:tcW w:type="dxa" w:w="2800"/>
          </w:tcPr>
          <w:p>
            <w:pPr>
              <w:spacing w:after="40"/>
            </w:pPr>
            <w:r>
              <w:rPr>
                <w:rFonts w:ascii="Arial" w:cs="Arial" w:eastAsia="Arial" w:hAnsi="Arial"/>
                <w:b/>
                <w:bCs/>
                <w:sz w:val="18"/>
                <w:szCs w:val="18"/>
              </w:rPr>
              <w:t xml:space="preserve">alfa-cedren</w:t>
            </w:r>
          </w:p>
          <w:p>
            <w:r>
              <w:rPr>
                <w:rFonts w:ascii="Arial" w:cs="Arial" w:eastAsia="Arial" w:hAnsi="Arial"/>
                <w:i/>
                <w:iCs/>
                <w:color w:val="666666"/>
                <w:sz w:val="16"/>
                <w:szCs w:val="16"/>
              </w:rPr>
              <w:t xml:space="preserve">(ang. ALPHA-CEDRENE)</w:t>
            </w:r>
          </w:p>
        </w:tc>
        <w:tc>
          <w:tcPr>
            <w:tcW w:type="dxa" w:w="2600"/>
          </w:tcPr>
          <w:p>
            <w:pPr>
              <w:spacing w:after="40"/>
            </w:pPr>
            <w:r>
              <w:rPr>
                <w:rFonts w:ascii="Arial" w:cs="Arial" w:eastAsia="Arial" w:hAnsi="Arial"/>
                <w:sz w:val="17"/>
                <w:szCs w:val="17"/>
              </w:rPr>
              <w:t xml:space="preserve">Numer CAS: 469-61-4</w:t>
            </w:r>
          </w:p>
          <w:p>
            <w:pPr>
              <w:spacing w:after="40"/>
            </w:pPr>
            <w:r>
              <w:rPr>
                <w:rFonts w:ascii="Arial" w:cs="Arial" w:eastAsia="Arial" w:hAnsi="Arial"/>
                <w:sz w:val="17"/>
                <w:szCs w:val="17"/>
              </w:rPr>
              <w:t xml:space="preserve">Numer WE: 207-418-4</w:t>
            </w:r>
          </w:p>
        </w:tc>
        <w:tc>
          <w:tcPr>
            <w:tcW w:type="dxa" w:w="2800"/>
          </w:tcPr>
          <w:p>
            <w:pPr>
              <w:spacing w:after="40"/>
            </w:pPr>
            <w:r>
              <w:rPr>
                <w:rFonts w:ascii="Arial" w:cs="Arial" w:eastAsia="Arial" w:hAnsi="Arial"/>
                <w:sz w:val="17"/>
                <w:szCs w:val="17"/>
              </w:rPr>
              <w:t xml:space="preserve">Asp. Tox. 1 H304, Aquatic Acute 1 H400 M=10, Aquatic Chronic 1 H410 M=10</w:t>
            </w:r>
          </w:p>
        </w:tc>
        <w:tc>
          <w:tcPr>
            <w:tcW w:type="dxa" w:w="1400"/>
          </w:tcPr>
          <w:p>
            <w:r>
              <w:rPr>
                <w:rFonts w:ascii="Arial" w:cs="Arial" w:eastAsia="Arial" w:hAnsi="Arial"/>
                <w:sz w:val="18"/>
                <w:szCs w:val="18"/>
              </w:rPr>
              <w:t xml:space="preserve">0 &lt; x &lt; 0,025 %</w:t>
            </w:r>
          </w:p>
        </w:tc>
      </w:tr>
      <w:tr>
        <w:tc>
          <w:tcPr>
            <w:tcW w:type="dxa" w:w="2800"/>
          </w:tcPr>
          <w:p>
            <w:pPr>
              <w:spacing w:after="40"/>
            </w:pPr>
            <w:r>
              <w:rPr>
                <w:rFonts w:ascii="Arial" w:cs="Arial" w:eastAsia="Arial" w:hAnsi="Arial"/>
                <w:b/>
                <w:bCs/>
                <w:sz w:val="18"/>
                <w:szCs w:val="18"/>
              </w:rPr>
              <w:t xml:space="preserve">kwas octowy</w:t>
            </w:r>
          </w:p>
          <w:p>
            <w:r>
              <w:rPr>
                <w:rFonts w:ascii="Arial" w:cs="Arial" w:eastAsia="Arial" w:hAnsi="Arial"/>
                <w:i/>
                <w:iCs/>
                <w:color w:val="666666"/>
                <w:sz w:val="16"/>
                <w:szCs w:val="16"/>
              </w:rPr>
              <w:t xml:space="preserve">(ang. acetic acid ...%)</w:t>
            </w:r>
          </w:p>
        </w:tc>
        <w:tc>
          <w:tcPr>
            <w:tcW w:type="dxa" w:w="2600"/>
          </w:tcPr>
          <w:p>
            <w:pPr>
              <w:spacing w:after="40"/>
            </w:pPr>
            <w:r>
              <w:rPr>
                <w:rFonts w:ascii="Arial" w:cs="Arial" w:eastAsia="Arial" w:hAnsi="Arial"/>
                <w:sz w:val="17"/>
                <w:szCs w:val="17"/>
              </w:rPr>
              <w:t xml:space="preserve">Numer CAS: 64-19-7</w:t>
            </w:r>
          </w:p>
          <w:p>
            <w:pPr>
              <w:spacing w:after="40"/>
            </w:pPr>
            <w:r>
              <w:rPr>
                <w:rFonts w:ascii="Arial" w:cs="Arial" w:eastAsia="Arial" w:hAnsi="Arial"/>
                <w:sz w:val="17"/>
                <w:szCs w:val="17"/>
              </w:rPr>
              <w:t xml:space="preserve">Numer WE: 200-580-7</w:t>
            </w:r>
          </w:p>
          <w:p>
            <w:pPr>
              <w:spacing w:after="40"/>
            </w:pPr>
            <w:r>
              <w:rPr>
                <w:rFonts w:ascii="Arial" w:cs="Arial" w:eastAsia="Arial" w:hAnsi="Arial"/>
                <w:sz w:val="17"/>
                <w:szCs w:val="17"/>
              </w:rPr>
              <w:t xml:space="preserve">Numer indeksowy: 607-002-00-6</w:t>
            </w:r>
          </w:p>
          <w:p>
            <w:pPr>
              <w:spacing w:after="40"/>
            </w:pPr>
            <w:r>
              <w:rPr>
                <w:rFonts w:ascii="Arial" w:cs="Arial" w:eastAsia="Arial" w:hAnsi="Arial"/>
                <w:sz w:val="17"/>
                <w:szCs w:val="17"/>
              </w:rPr>
              <w:t xml:space="preserve">Numer rejestracji REACH:</w:t>
            </w:r>
          </w:p>
          <w:p>
            <w:pPr>
              <w:spacing w:after="40"/>
            </w:pPr>
            <w:r>
              <w:rPr>
                <w:rFonts w:ascii="Arial" w:cs="Arial" w:eastAsia="Arial" w:hAnsi="Arial"/>
                <w:sz w:val="17"/>
                <w:szCs w:val="17"/>
              </w:rPr>
              <w:t xml:space="preserve">01-2119475328-30</w:t>
            </w:r>
          </w:p>
        </w:tc>
        <w:tc>
          <w:tcPr>
            <w:tcW w:type="dxa" w:w="2800"/>
          </w:tcPr>
          <w:p>
            <w:pPr>
              <w:spacing w:after="40"/>
            </w:pPr>
            <w:r>
              <w:rPr>
                <w:rFonts w:ascii="Arial" w:cs="Arial" w:eastAsia="Arial" w:hAnsi="Arial"/>
                <w:sz w:val="17"/>
                <w:szCs w:val="17"/>
              </w:rPr>
              <w:t xml:space="preserve">Flam. Liq. 3 H226, Skin Corr. 1A H314, Eye Dam. 1 H318, Uwaga B (zgodnie z załącznikiem VI do rozporządzenia CLP), Skin Corr. 1A H314: ≥ 90%, Skin Corr. 1B H314: ≥ 25% - &lt; 90%, Skin Corr. 1C H314: ≥ 25% - &lt; 90%, Skin Irrit. 2 H315: ≥ 1% - &lt; 25%, Eye Dam. 1 H318: ≥ 25%, Eye Irrit. 2 H319: ≥ 10% - &lt; 25%</w:t>
            </w:r>
          </w:p>
        </w:tc>
        <w:tc>
          <w:tcPr>
            <w:tcW w:type="dxa" w:w="1400"/>
          </w:tcPr>
          <w:p>
            <w:r>
              <w:rPr>
                <w:rFonts w:ascii="Arial" w:cs="Arial" w:eastAsia="Arial" w:hAnsi="Arial"/>
                <w:sz w:val="18"/>
                <w:szCs w:val="18"/>
              </w:rPr>
              <w:t xml:space="preserve">0 &lt; x &lt; 0,05 %</w:t>
            </w:r>
          </w:p>
        </w:tc>
      </w:tr>
      <w:tr>
        <w:tc>
          <w:tcPr>
            <w:tcW w:type="dxa" w:w="2800"/>
          </w:tcPr>
          <w:p>
            <w:pPr>
              <w:spacing w:after="40"/>
            </w:pPr>
            <w:r>
              <w:rPr>
                <w:rFonts w:ascii="Arial" w:cs="Arial" w:eastAsia="Arial" w:hAnsi="Arial"/>
                <w:b/>
                <w:bCs/>
                <w:sz w:val="18"/>
                <w:szCs w:val="18"/>
              </w:rPr>
              <w:t xml:space="preserve">metanol</w:t>
            </w:r>
          </w:p>
          <w:p>
            <w:r>
              <w:rPr>
                <w:rFonts w:ascii="Arial" w:cs="Arial" w:eastAsia="Arial" w:hAnsi="Arial"/>
                <w:i/>
                <w:iCs/>
                <w:color w:val="666666"/>
                <w:sz w:val="16"/>
                <w:szCs w:val="16"/>
              </w:rPr>
              <w:t xml:space="preserve">(ang. METHANOL)</w:t>
            </w:r>
          </w:p>
        </w:tc>
        <w:tc>
          <w:tcPr>
            <w:tcW w:type="dxa" w:w="2600"/>
          </w:tcPr>
          <w:p>
            <w:pPr>
              <w:spacing w:after="40"/>
            </w:pPr>
            <w:r>
              <w:rPr>
                <w:rFonts w:ascii="Arial" w:cs="Arial" w:eastAsia="Arial" w:hAnsi="Arial"/>
                <w:sz w:val="17"/>
                <w:szCs w:val="17"/>
              </w:rPr>
              <w:t xml:space="preserve">Numer CAS: 67-56-1</w:t>
            </w:r>
          </w:p>
          <w:p>
            <w:pPr>
              <w:spacing w:after="40"/>
            </w:pPr>
            <w:r>
              <w:rPr>
                <w:rFonts w:ascii="Arial" w:cs="Arial" w:eastAsia="Arial" w:hAnsi="Arial"/>
                <w:sz w:val="17"/>
                <w:szCs w:val="17"/>
              </w:rPr>
              <w:t xml:space="preserve">Numer WE: 200-659-6</w:t>
            </w:r>
          </w:p>
          <w:p>
            <w:pPr>
              <w:spacing w:after="40"/>
            </w:pPr>
            <w:r>
              <w:rPr>
                <w:rFonts w:ascii="Arial" w:cs="Arial" w:eastAsia="Arial" w:hAnsi="Arial"/>
                <w:sz w:val="17"/>
                <w:szCs w:val="17"/>
              </w:rPr>
              <w:t xml:space="preserve">Numer indeksowy: 603-001-00-X</w:t>
            </w:r>
          </w:p>
          <w:p>
            <w:pPr>
              <w:spacing w:after="40"/>
            </w:pPr>
            <w:r>
              <w:rPr>
                <w:rFonts w:ascii="Arial" w:cs="Arial" w:eastAsia="Arial" w:hAnsi="Arial"/>
                <w:sz w:val="17"/>
                <w:szCs w:val="17"/>
              </w:rPr>
              <w:t xml:space="preserve">Numer rejestracji REACH:</w:t>
            </w:r>
          </w:p>
          <w:p>
            <w:pPr>
              <w:spacing w:after="40"/>
            </w:pPr>
            <w:r>
              <w:rPr>
                <w:rFonts w:ascii="Arial" w:cs="Arial" w:eastAsia="Arial" w:hAnsi="Arial"/>
                <w:sz w:val="17"/>
                <w:szCs w:val="17"/>
              </w:rPr>
              <w:t xml:space="preserve">01-2119433307-44</w:t>
            </w:r>
          </w:p>
        </w:tc>
        <w:tc>
          <w:tcPr>
            <w:tcW w:type="dxa" w:w="2800"/>
          </w:tcPr>
          <w:p>
            <w:pPr>
              <w:spacing w:after="40"/>
            </w:pPr>
            <w:r>
              <w:rPr>
                <w:rFonts w:ascii="Arial" w:cs="Arial" w:eastAsia="Arial" w:hAnsi="Arial"/>
                <w:sz w:val="17"/>
                <w:szCs w:val="17"/>
              </w:rPr>
              <w:t xml:space="preserve">Flam. Liq. 2 H225, Acute Tox. 3 H301, Acute Tox. 3 H311, Acute Tox. 3 H331, STOT SE 1 H370, STOT SE 2 H371: ≥ 3% - &lt; 10%, ATE (droga pokarmowa): 100 mg/kg, ATE (na skórę): 300 mg/kg, ATE (inhalacyjnie, pary): 3 mg/l</w:t>
            </w:r>
          </w:p>
        </w:tc>
        <w:tc>
          <w:tcPr>
            <w:tcW w:type="dxa" w:w="1400"/>
          </w:tcPr>
          <w:p>
            <w:r>
              <w:rPr>
                <w:rFonts w:ascii="Arial" w:cs="Arial" w:eastAsia="Arial" w:hAnsi="Arial"/>
                <w:sz w:val="18"/>
                <w:szCs w:val="18"/>
              </w:rPr>
              <w:t xml:space="preserve">0 &lt; x &lt; 0,05 %</w:t>
            </w:r>
          </w:p>
        </w:tc>
      </w:tr>
      <w:tr>
        <w:tc>
          <w:tcPr>
            <w:tcW w:type="dxa" w:w="2800"/>
          </w:tcPr>
          <w:p>
            <w:pPr>
              <w:spacing w:after="40"/>
            </w:pPr>
            <w:r>
              <w:rPr>
                <w:rFonts w:ascii="Arial" w:cs="Arial" w:eastAsia="Arial" w:hAnsi="Arial"/>
                <w:b/>
                <w:bCs/>
                <w:sz w:val="18"/>
                <w:szCs w:val="18"/>
              </w:rPr>
              <w:t xml:space="preserve">heptan</w:t>
            </w:r>
          </w:p>
          <w:p>
            <w:r>
              <w:rPr>
                <w:rFonts w:ascii="Arial" w:cs="Arial" w:eastAsia="Arial" w:hAnsi="Arial"/>
                <w:i/>
                <w:iCs/>
                <w:color w:val="666666"/>
                <w:sz w:val="16"/>
                <w:szCs w:val="16"/>
              </w:rPr>
              <w:t xml:space="preserve">(ang. HEPTANE)</w:t>
            </w:r>
          </w:p>
        </w:tc>
        <w:tc>
          <w:tcPr>
            <w:tcW w:type="dxa" w:w="2600"/>
          </w:tcPr>
          <w:p>
            <w:pPr>
              <w:spacing w:after="40"/>
            </w:pPr>
            <w:r>
              <w:rPr>
                <w:rFonts w:ascii="Arial" w:cs="Arial" w:eastAsia="Arial" w:hAnsi="Arial"/>
                <w:sz w:val="17"/>
                <w:szCs w:val="17"/>
              </w:rPr>
              <w:t xml:space="preserve">Numer CAS: 142-82-5</w:t>
            </w:r>
          </w:p>
          <w:p>
            <w:pPr>
              <w:spacing w:after="40"/>
            </w:pPr>
            <w:r>
              <w:rPr>
                <w:rFonts w:ascii="Arial" w:cs="Arial" w:eastAsia="Arial" w:hAnsi="Arial"/>
                <w:sz w:val="17"/>
                <w:szCs w:val="17"/>
              </w:rPr>
              <w:t xml:space="preserve">Numer WE: 205-563-8</w:t>
            </w:r>
          </w:p>
          <w:p>
            <w:pPr>
              <w:spacing w:after="40"/>
            </w:pPr>
            <w:r>
              <w:rPr>
                <w:rFonts w:ascii="Arial" w:cs="Arial" w:eastAsia="Arial" w:hAnsi="Arial"/>
                <w:sz w:val="17"/>
                <w:szCs w:val="17"/>
              </w:rPr>
              <w:t xml:space="preserve">Numer indeksowy: 601-008-00-2</w:t>
            </w:r>
          </w:p>
          <w:p>
            <w:pPr>
              <w:spacing w:after="40"/>
            </w:pPr>
            <w:r>
              <w:rPr>
                <w:rFonts w:ascii="Arial" w:cs="Arial" w:eastAsia="Arial" w:hAnsi="Arial"/>
                <w:sz w:val="17"/>
                <w:szCs w:val="17"/>
              </w:rPr>
              <w:t xml:space="preserve">Numer rejestracji REACH:</w:t>
            </w:r>
          </w:p>
          <w:p>
            <w:pPr>
              <w:spacing w:after="40"/>
            </w:pPr>
            <w:r>
              <w:rPr>
                <w:rFonts w:ascii="Arial" w:cs="Arial" w:eastAsia="Arial" w:hAnsi="Arial"/>
                <w:sz w:val="17"/>
                <w:szCs w:val="17"/>
              </w:rPr>
              <w:t xml:space="preserve">01-2119457603-38</w:t>
            </w:r>
          </w:p>
        </w:tc>
        <w:tc>
          <w:tcPr>
            <w:tcW w:type="dxa" w:w="2800"/>
          </w:tcPr>
          <w:p>
            <w:pPr>
              <w:spacing w:after="40"/>
            </w:pPr>
            <w:r>
              <w:rPr>
                <w:rFonts w:ascii="Arial" w:cs="Arial" w:eastAsia="Arial" w:hAnsi="Arial"/>
                <w:sz w:val="17"/>
                <w:szCs w:val="17"/>
              </w:rPr>
              <w:t xml:space="preserve">Flam. Liq. 2 H225, Asp. Tox. 1 H304, Skin Irrit. 2 H315, STOT SE 3 H336, Aquatic Acute 1 H400 M=1, Aquatic Chronic 1 H410 M=1, Uwaga C (zgodnie z załącznikiem VI do rozporządzenia CLP)</w:t>
            </w:r>
          </w:p>
        </w:tc>
        <w:tc>
          <w:tcPr>
            <w:tcW w:type="dxa" w:w="1400"/>
          </w:tcPr>
          <w:p>
            <w:r>
              <w:rPr>
                <w:rFonts w:ascii="Arial" w:cs="Arial" w:eastAsia="Arial" w:hAnsi="Arial"/>
                <w:sz w:val="18"/>
                <w:szCs w:val="18"/>
              </w:rPr>
              <w:t xml:space="preserve">0 &lt; x &lt; 0,05 %</w:t>
            </w:r>
          </w:p>
        </w:tc>
      </w:tr>
      <w:tr>
        <w:tc>
          <w:tcPr>
            <w:tcW w:type="dxa" w:w="2800"/>
          </w:tcPr>
          <w:p>
            <w:pPr>
              <w:spacing w:after="40"/>
            </w:pPr>
            <w:r>
              <w:rPr>
                <w:rFonts w:ascii="Arial" w:cs="Arial" w:eastAsia="Arial" w:hAnsi="Arial"/>
                <w:b/>
                <w:bCs/>
                <w:sz w:val="18"/>
                <w:szCs w:val="18"/>
              </w:rPr>
              <w:t xml:space="preserve">aceton (propan-2-on)</w:t>
            </w:r>
          </w:p>
          <w:p>
            <w:r>
              <w:rPr>
                <w:rFonts w:ascii="Arial" w:cs="Arial" w:eastAsia="Arial" w:hAnsi="Arial"/>
                <w:i/>
                <w:iCs/>
                <w:color w:val="666666"/>
                <w:sz w:val="16"/>
                <w:szCs w:val="16"/>
              </w:rPr>
              <w:t xml:space="preserve">(ang. ACETONE)</w:t>
            </w:r>
          </w:p>
        </w:tc>
        <w:tc>
          <w:tcPr>
            <w:tcW w:type="dxa" w:w="2600"/>
          </w:tcPr>
          <w:p>
            <w:pPr>
              <w:spacing w:after="40"/>
            </w:pPr>
            <w:r>
              <w:rPr>
                <w:rFonts w:ascii="Arial" w:cs="Arial" w:eastAsia="Arial" w:hAnsi="Arial"/>
                <w:sz w:val="17"/>
                <w:szCs w:val="17"/>
              </w:rPr>
              <w:t xml:space="preserve">Numer CAS: 67-64-1</w:t>
            </w:r>
          </w:p>
          <w:p>
            <w:pPr>
              <w:spacing w:after="40"/>
            </w:pPr>
            <w:r>
              <w:rPr>
                <w:rFonts w:ascii="Arial" w:cs="Arial" w:eastAsia="Arial" w:hAnsi="Arial"/>
                <w:sz w:val="17"/>
                <w:szCs w:val="17"/>
              </w:rPr>
              <w:t xml:space="preserve">Numer WE: 200-662-2</w:t>
            </w:r>
          </w:p>
          <w:p>
            <w:pPr>
              <w:spacing w:after="40"/>
            </w:pPr>
            <w:r>
              <w:rPr>
                <w:rFonts w:ascii="Arial" w:cs="Arial" w:eastAsia="Arial" w:hAnsi="Arial"/>
                <w:sz w:val="17"/>
                <w:szCs w:val="17"/>
              </w:rPr>
              <w:t xml:space="preserve">Numer indeksowy: 606-001-00-8</w:t>
            </w:r>
          </w:p>
          <w:p>
            <w:pPr>
              <w:spacing w:after="40"/>
            </w:pPr>
            <w:r>
              <w:rPr>
                <w:rFonts w:ascii="Arial" w:cs="Arial" w:eastAsia="Arial" w:hAnsi="Arial"/>
                <w:sz w:val="17"/>
                <w:szCs w:val="17"/>
              </w:rPr>
              <w:t xml:space="preserve">Numer rejestracji REACH:</w:t>
            </w:r>
          </w:p>
          <w:p>
            <w:pPr>
              <w:spacing w:after="40"/>
            </w:pPr>
            <w:r>
              <w:rPr>
                <w:rFonts w:ascii="Arial" w:cs="Arial" w:eastAsia="Arial" w:hAnsi="Arial"/>
                <w:sz w:val="17"/>
                <w:szCs w:val="17"/>
              </w:rPr>
              <w:t xml:space="preserve">01-2119471330-49</w:t>
            </w:r>
          </w:p>
        </w:tc>
        <w:tc>
          <w:tcPr>
            <w:tcW w:type="dxa" w:w="2800"/>
          </w:tcPr>
          <w:p>
            <w:pPr>
              <w:spacing w:after="40"/>
            </w:pPr>
            <w:r>
              <w:rPr>
                <w:rFonts w:ascii="Arial" w:cs="Arial" w:eastAsia="Arial" w:hAnsi="Arial"/>
                <w:sz w:val="17"/>
                <w:szCs w:val="17"/>
              </w:rPr>
              <w:t xml:space="preserve">Flam. Liq. 2 H225, Eye Irrit. 2 H319, STOT SE 3 H336, EUH066</w:t>
            </w:r>
          </w:p>
        </w:tc>
        <w:tc>
          <w:tcPr>
            <w:tcW w:type="dxa" w:w="1400"/>
          </w:tcPr>
          <w:p>
            <w:r>
              <w:rPr>
                <w:rFonts w:ascii="Arial" w:cs="Arial" w:eastAsia="Arial" w:hAnsi="Arial"/>
                <w:sz w:val="18"/>
                <w:szCs w:val="18"/>
              </w:rPr>
              <w:t xml:space="preserve">0 &lt; x &lt; 0,05 %</w:t>
            </w:r>
          </w:p>
        </w:tc>
      </w:tr>
      <w:tr>
        <w:tc>
          <w:tcPr>
            <w:tcW w:type="dxa" w:w="2800"/>
          </w:tcPr>
          <w:p>
            <w:pPr>
              <w:spacing w:after="40"/>
            </w:pPr>
            <w:r>
              <w:rPr>
                <w:rFonts w:ascii="Arial" w:cs="Arial" w:eastAsia="Arial" w:hAnsi="Arial"/>
                <w:b/>
                <w:bCs/>
                <w:sz w:val="18"/>
                <w:szCs w:val="18"/>
              </w:rPr>
              <w:t xml:space="preserve">toluen</w:t>
            </w:r>
          </w:p>
          <w:p>
            <w:r>
              <w:rPr>
                <w:rFonts w:ascii="Arial" w:cs="Arial" w:eastAsia="Arial" w:hAnsi="Arial"/>
                <w:i/>
                <w:iCs/>
                <w:color w:val="666666"/>
                <w:sz w:val="16"/>
                <w:szCs w:val="16"/>
              </w:rPr>
              <w:t xml:space="preserve">(ang. toluene)</w:t>
            </w:r>
          </w:p>
        </w:tc>
        <w:tc>
          <w:tcPr>
            <w:tcW w:type="dxa" w:w="2600"/>
          </w:tcPr>
          <w:p>
            <w:pPr>
              <w:spacing w:after="40"/>
            </w:pPr>
            <w:r>
              <w:rPr>
                <w:rFonts w:ascii="Arial" w:cs="Arial" w:eastAsia="Arial" w:hAnsi="Arial"/>
                <w:sz w:val="17"/>
                <w:szCs w:val="17"/>
              </w:rPr>
              <w:t xml:space="preserve">Numer CAS: 108-88-3</w:t>
            </w:r>
          </w:p>
          <w:p>
            <w:pPr>
              <w:spacing w:after="40"/>
            </w:pPr>
            <w:r>
              <w:rPr>
                <w:rFonts w:ascii="Arial" w:cs="Arial" w:eastAsia="Arial" w:hAnsi="Arial"/>
                <w:sz w:val="17"/>
                <w:szCs w:val="17"/>
              </w:rPr>
              <w:t xml:space="preserve">Numer WE: 203-625-9</w:t>
            </w:r>
          </w:p>
          <w:p>
            <w:pPr>
              <w:spacing w:after="40"/>
            </w:pPr>
            <w:r>
              <w:rPr>
                <w:rFonts w:ascii="Arial" w:cs="Arial" w:eastAsia="Arial" w:hAnsi="Arial"/>
                <w:sz w:val="17"/>
                <w:szCs w:val="17"/>
              </w:rPr>
              <w:t xml:space="preserve">Numer indeksowy: 601-021-00-3</w:t>
            </w:r>
          </w:p>
          <w:p>
            <w:pPr>
              <w:spacing w:after="40"/>
            </w:pPr>
            <w:r>
              <w:rPr>
                <w:rFonts w:ascii="Arial" w:cs="Arial" w:eastAsia="Arial" w:hAnsi="Arial"/>
                <w:sz w:val="17"/>
                <w:szCs w:val="17"/>
              </w:rPr>
              <w:t xml:space="preserve">Numer rejestracji REACH:</w:t>
            </w:r>
          </w:p>
          <w:p>
            <w:pPr>
              <w:spacing w:after="40"/>
            </w:pPr>
            <w:r>
              <w:rPr>
                <w:rFonts w:ascii="Arial" w:cs="Arial" w:eastAsia="Arial" w:hAnsi="Arial"/>
                <w:sz w:val="17"/>
                <w:szCs w:val="17"/>
              </w:rPr>
              <w:t xml:space="preserve">01-2119471310-51</w:t>
            </w:r>
          </w:p>
        </w:tc>
        <w:tc>
          <w:tcPr>
            <w:tcW w:type="dxa" w:w="2800"/>
          </w:tcPr>
          <w:p>
            <w:pPr>
              <w:spacing w:after="40"/>
            </w:pPr>
            <w:r>
              <w:rPr>
                <w:rFonts w:ascii="Arial" w:cs="Arial" w:eastAsia="Arial" w:hAnsi="Arial"/>
                <w:sz w:val="17"/>
                <w:szCs w:val="17"/>
              </w:rPr>
              <w:t xml:space="preserve">Flam. Liq. 2 H225, Repr. 2 H361d, Asp. Tox. 1 H304, STOT RE 2 H373, Skin Irrit. 2 H315, STOT SE 3 H336</w:t>
            </w:r>
          </w:p>
        </w:tc>
        <w:tc>
          <w:tcPr>
            <w:tcW w:type="dxa" w:w="1400"/>
          </w:tcPr>
          <w:p>
            <w:r>
              <w:rPr>
                <w:rFonts w:ascii="Arial" w:cs="Arial" w:eastAsia="Arial" w:hAnsi="Arial"/>
                <w:sz w:val="18"/>
                <w:szCs w:val="18"/>
              </w:rPr>
              <w:t xml:space="preserve">0 &lt; x &lt; 0,05 %</w:t>
            </w:r>
          </w:p>
        </w:tc>
      </w:tr>
      <w:tr>
        <w:tc>
          <w:tcPr>
            <w:tcW w:type="dxa" w:w="2800"/>
          </w:tcPr>
          <w:p>
            <w:pPr>
              <w:spacing w:after="40"/>
            </w:pPr>
            <w:r>
              <w:rPr>
                <w:rFonts w:ascii="Arial" w:cs="Arial" w:eastAsia="Arial" w:hAnsi="Arial"/>
                <w:b/>
                <w:bCs/>
                <w:sz w:val="18"/>
                <w:szCs w:val="18"/>
              </w:rPr>
              <w:t xml:space="preserve">fenol</w:t>
            </w:r>
          </w:p>
          <w:p>
            <w:r>
              <w:rPr>
                <w:rFonts w:ascii="Arial" w:cs="Arial" w:eastAsia="Arial" w:hAnsi="Arial"/>
                <w:i/>
                <w:iCs/>
                <w:color w:val="666666"/>
                <w:sz w:val="16"/>
                <w:szCs w:val="16"/>
              </w:rPr>
              <w:t xml:space="preserve">(ang. phenol)</w:t>
            </w:r>
          </w:p>
        </w:tc>
        <w:tc>
          <w:tcPr>
            <w:tcW w:type="dxa" w:w="2600"/>
          </w:tcPr>
          <w:p>
            <w:pPr>
              <w:spacing w:after="40"/>
            </w:pPr>
            <w:r>
              <w:rPr>
                <w:rFonts w:ascii="Arial" w:cs="Arial" w:eastAsia="Arial" w:hAnsi="Arial"/>
                <w:sz w:val="17"/>
                <w:szCs w:val="17"/>
              </w:rPr>
              <w:t xml:space="preserve">Numer CAS: 108-95-2</w:t>
            </w:r>
          </w:p>
          <w:p>
            <w:pPr>
              <w:spacing w:after="40"/>
            </w:pPr>
            <w:r>
              <w:rPr>
                <w:rFonts w:ascii="Arial" w:cs="Arial" w:eastAsia="Arial" w:hAnsi="Arial"/>
                <w:sz w:val="17"/>
                <w:szCs w:val="17"/>
              </w:rPr>
              <w:t xml:space="preserve">Numer WE: 203-632-7</w:t>
            </w:r>
          </w:p>
          <w:p>
            <w:pPr>
              <w:spacing w:after="40"/>
            </w:pPr>
            <w:r>
              <w:rPr>
                <w:rFonts w:ascii="Arial" w:cs="Arial" w:eastAsia="Arial" w:hAnsi="Arial"/>
                <w:sz w:val="17"/>
                <w:szCs w:val="17"/>
              </w:rPr>
              <w:t xml:space="preserve">Numer indeksowy: 604-001-00-2</w:t>
            </w:r>
          </w:p>
          <w:p>
            <w:pPr>
              <w:spacing w:after="40"/>
            </w:pPr>
            <w:r>
              <w:rPr>
                <w:rFonts w:ascii="Arial" w:cs="Arial" w:eastAsia="Arial" w:hAnsi="Arial"/>
                <w:sz w:val="17"/>
                <w:szCs w:val="17"/>
              </w:rPr>
              <w:t xml:space="preserve">Numer rejestracji REACH:</w:t>
            </w:r>
          </w:p>
          <w:p>
            <w:pPr>
              <w:spacing w:after="40"/>
            </w:pPr>
            <w:r>
              <w:rPr>
                <w:rFonts w:ascii="Arial" w:cs="Arial" w:eastAsia="Arial" w:hAnsi="Arial"/>
                <w:sz w:val="17"/>
                <w:szCs w:val="17"/>
              </w:rPr>
              <w:t xml:space="preserve">01-2119471329-32</w:t>
            </w:r>
          </w:p>
        </w:tc>
        <w:tc>
          <w:tcPr>
            <w:tcW w:type="dxa" w:w="2800"/>
          </w:tcPr>
          <w:p>
            <w:pPr>
              <w:spacing w:after="40"/>
            </w:pPr>
            <w:r>
              <w:rPr>
                <w:rFonts w:ascii="Arial" w:cs="Arial" w:eastAsia="Arial" w:hAnsi="Arial"/>
                <w:sz w:val="17"/>
                <w:szCs w:val="17"/>
              </w:rPr>
              <w:t xml:space="preserve">Muta. 2 H341, Acute Tox. 3 H301, Acute Tox. 3 H311, Acute Tox. 3 H331, STOT RE 2 H373, Skin Corr. 1B H314, Eye Dam. 1 H318, Skin Corr. 1B H314: ≥ 3%, Skin Irrit. 2 H315: ≥ 1% - &lt; 3%, LD50 Oral: 282 mg/kg bw, LD50 Dermal: 525 mg/kg bw, ATE (inhalacyjnie, pyły/mgły): 0,501 mg/l</w:t>
            </w:r>
          </w:p>
        </w:tc>
        <w:tc>
          <w:tcPr>
            <w:tcW w:type="dxa" w:w="1400"/>
          </w:tcPr>
          <w:p>
            <w:r>
              <w:rPr>
                <w:rFonts w:ascii="Arial" w:cs="Arial" w:eastAsia="Arial" w:hAnsi="Arial"/>
                <w:sz w:val="18"/>
                <w:szCs w:val="18"/>
              </w:rPr>
              <w:t xml:space="preserve">0 &lt; x &lt; 0,05 %</w:t>
            </w:r>
          </w:p>
        </w:tc>
      </w:tr>
    </w:tbl>
    <w:p>
      <w:pPr>
        <w:spacing w:after="150" w:before="180"/>
      </w:pPr>
      <w:r>
        <w:rPr>
          <w:rFonts w:ascii="Arial" w:cs="Arial" w:eastAsia="Arial" w:hAnsi="Arial"/>
          <w:i/>
          <w:iCs/>
          <w:sz w:val="18"/>
          <w:szCs w:val="18"/>
        </w:rPr>
        <w:t xml:space="preserve">Pełne brzmienie zwrotów H i EUH znajduje się w sekcji 16 karty charakterystyki.</w:t>
      </w:r>
    </w:p>
    <w:p>
      <w:pPr>
        <w:pBdr>
          <w:bottom w:color="00A651" w:sz="12" w:space="1"/>
        </w:pBdr>
        <w:spacing w:after="150" w:before="300"/>
      </w:pPr>
      <w:r>
        <w:rPr>
          <w:b/>
          <w:bCs/>
          <w:sz w:val="22"/>
          <w:szCs w:val="22"/>
        </w:rPr>
        <w:t xml:space="preserve">SEKCJA 4: ŚRODKI PIERWSZEJ POMOCY</w:t>
      </w:r>
    </w:p>
    <w:p>
      <w:pPr>
        <w:spacing w:after="100" w:before="200"/>
      </w:pPr>
      <w:r>
        <w:rPr>
          <w:rFonts w:ascii="Arial" w:cs="Arial" w:eastAsia="Arial" w:hAnsi="Arial"/>
          <w:b/>
          <w:bCs/>
          <w:sz w:val="20"/>
          <w:szCs w:val="20"/>
        </w:rPr>
        <w:t xml:space="preserve">4.1. Opis środków pierwszej pomocy</w:t>
      </w:r>
    </w:p>
    <w:p>
      <w:pPr>
        <w:spacing w:after="80"/>
      </w:pPr>
      <w:r>
        <w:rPr>
          <w:rFonts w:ascii="Arial" w:cs="Arial" w:eastAsia="Arial" w:hAnsi="Arial"/>
          <w:sz w:val="20"/>
          <w:szCs w:val="20"/>
        </w:rPr>
        <w:t xml:space="preserve">W razie wątpliwości lub w przypadku wystąpienia objawów skonsultować się z lekarzem i pokazać mu niniejszą kartę charakterystyki. W przypadku cięższych objawów wezwać natychmiastową pomoc medyczną.</w:t>
      </w:r>
    </w:p>
    <w:p>
      <w:pPr>
        <w:spacing w:after="80" w:before="80"/>
      </w:pPr>
      <w:r>
        <w:rPr>
          <w:rFonts w:ascii="Arial" w:cs="Arial" w:eastAsia="Arial" w:hAnsi="Arial"/>
          <w:b/>
          <w:bCs/>
          <w:sz w:val="20"/>
          <w:szCs w:val="20"/>
        </w:rPr>
        <w:t xml:space="preserve">W kontakcie ze skórą:</w:t>
      </w:r>
      <w:r>
        <w:rPr>
          <w:rFonts w:ascii="Arial" w:cs="Arial" w:eastAsia="Arial" w:hAnsi="Arial"/>
          <w:sz w:val="20"/>
          <w:szCs w:val="20"/>
        </w:rPr>
        <w:t xml:space="preserve"> Natychmiast zdjąć zanieczyszczoną odzież. Zmyć natychmiast i dokładnie dużą ilością bieżącej wody (oraz w miarę możliwości mydłem). Zasięgnąć porady/zgłosić się pod opiekę lekarza. Unikać dalszego kontaktu z zanieczyszczoną odzieżą.</w:t>
      </w:r>
    </w:p>
    <w:p>
      <w:pPr>
        <w:spacing w:after="80" w:before="80"/>
      </w:pPr>
      <w:r>
        <w:rPr>
          <w:rFonts w:ascii="Arial" w:cs="Arial" w:eastAsia="Arial" w:hAnsi="Arial"/>
          <w:b/>
          <w:bCs/>
          <w:sz w:val="20"/>
          <w:szCs w:val="20"/>
        </w:rPr>
        <w:t xml:space="preserve">W kontakcie z oczami:</w:t>
      </w:r>
      <w:r>
        <w:rPr>
          <w:rFonts w:ascii="Arial" w:cs="Arial" w:eastAsia="Arial" w:hAnsi="Arial"/>
          <w:sz w:val="20"/>
          <w:szCs w:val="20"/>
        </w:rPr>
        <w:t xml:space="preserve"> Wyjąć soczewki kontaktowe, jeżeli są i można je łatwo usunąć. Płukać natychmiast dużą ilością wody przez co najmniej 15 minut, całkowicie otwierając powieki. Zasięgnąć porady/zgłosić się pod opiekę lekarza (skonsultować się z lekarzem okulistą).</w:t>
      </w:r>
    </w:p>
    <w:p>
      <w:pPr>
        <w:spacing w:after="80" w:before="80"/>
      </w:pPr>
      <w:r>
        <w:rPr>
          <w:rFonts w:ascii="Arial" w:cs="Arial" w:eastAsia="Arial" w:hAnsi="Arial"/>
          <w:b/>
          <w:bCs/>
          <w:sz w:val="20"/>
          <w:szCs w:val="20"/>
        </w:rPr>
        <w:t xml:space="preserve">W przypadku spożycia:</w:t>
      </w:r>
      <w:r>
        <w:rPr>
          <w:rFonts w:ascii="Arial" w:cs="Arial" w:eastAsia="Arial" w:hAnsi="Arial"/>
          <w:sz w:val="20"/>
          <w:szCs w:val="20"/>
        </w:rPr>
        <w:t xml:space="preserve"> Nie wywoływać wymiotów, chyba że zostało to wyraźnie zalecone przez lekarza. Nigdy nie podawać niczego doustnie osobie nieprzytomnej. Niezwłocznie zasięgnąć porady lekarza, pokazując kartę charakterystyki lub etykietę produktu.</w:t>
      </w:r>
    </w:p>
    <w:p>
      <w:pPr>
        <w:spacing w:after="80" w:before="80"/>
      </w:pPr>
      <w:r>
        <w:rPr>
          <w:rFonts w:ascii="Arial" w:cs="Arial" w:eastAsia="Arial" w:hAnsi="Arial"/>
          <w:b/>
          <w:bCs/>
          <w:sz w:val="20"/>
          <w:szCs w:val="20"/>
        </w:rPr>
        <w:t xml:space="preserve">Po narażeniu drogą oddechową:</w:t>
      </w:r>
      <w:r>
        <w:rPr>
          <w:rFonts w:ascii="Arial" w:cs="Arial" w:eastAsia="Arial" w:hAnsi="Arial"/>
          <w:sz w:val="20"/>
          <w:szCs w:val="20"/>
        </w:rPr>
        <w:t xml:space="preserve"> Wyprowadzić poszkodowanego na świeże powietrze, z dala od miejsca zdarzenia, zapewnić ciepło i spokój. Zasięgnąć porady/zgłosić się pod opiekę lekarza.</w:t>
      </w:r>
    </w:p>
    <w:p>
      <w:pPr>
        <w:spacing w:after="100" w:before="200"/>
      </w:pPr>
      <w:r>
        <w:rPr>
          <w:rFonts w:ascii="Arial" w:cs="Arial" w:eastAsia="Arial" w:hAnsi="Arial"/>
          <w:b/>
          <w:bCs/>
          <w:sz w:val="20"/>
          <w:szCs w:val="20"/>
        </w:rPr>
        <w:t xml:space="preserve">4.2. Najważniejsze ostre i opóźnione objawy oraz skutki narażenia</w:t>
      </w:r>
    </w:p>
    <w:p>
      <w:pPr>
        <w:spacing w:after="80" w:before="80"/>
      </w:pPr>
      <w:r>
        <w:rPr>
          <w:rFonts w:ascii="Arial" w:cs="Arial" w:eastAsia="Arial" w:hAnsi="Arial"/>
          <w:b/>
          <w:bCs/>
          <w:sz w:val="20"/>
          <w:szCs w:val="20"/>
        </w:rPr>
        <w:t xml:space="preserve">W kontakcie z oczami:</w:t>
      </w:r>
      <w:r>
        <w:rPr>
          <w:rFonts w:ascii="Arial" w:cs="Arial" w:eastAsia="Arial" w:hAnsi="Arial"/>
          <w:sz w:val="20"/>
          <w:szCs w:val="20"/>
        </w:rPr>
        <w:t xml:space="preserve"> Działa drażniąco na oczy. Może powodować zaczerwienienie spojówek, pieczenie, łzawienie i ból.</w:t>
      </w:r>
    </w:p>
    <w:p>
      <w:pPr>
        <w:spacing w:after="80" w:before="80"/>
      </w:pPr>
      <w:r>
        <w:rPr>
          <w:rFonts w:ascii="Arial" w:cs="Arial" w:eastAsia="Arial" w:hAnsi="Arial"/>
          <w:b/>
          <w:bCs/>
          <w:sz w:val="20"/>
          <w:szCs w:val="20"/>
        </w:rPr>
        <w:t xml:space="preserve">W kontakcie ze skórą:</w:t>
      </w:r>
      <w:r>
        <w:rPr>
          <w:rFonts w:ascii="Arial" w:cs="Arial" w:eastAsia="Arial" w:hAnsi="Arial"/>
          <w:sz w:val="20"/>
          <w:szCs w:val="20"/>
        </w:rPr>
        <w:t xml:space="preserve"> U osób szczególnie wrażliwych może wywołać reakcję alergiczną skóry (zawiera: octan 4-tert-butylocykloheksylu, linalol, salicylan benzylu, 1,8-cyneol (eukaliptol), Masa poreakcyjna 1-[ (1R*,6S*)-2,2,6-trimetylocykloheksylo]heksan-3-olu i 1-[(1S*,6S*)-2,2,6-trimetylocykloheksylo]heksan-3-olu, aldehyd cynamonowy). Przy długotrwałym kontakcie może powodować wysuszenie lub pękanie skóry.</w:t>
      </w:r>
    </w:p>
    <w:p>
      <w:pPr>
        <w:spacing w:after="80" w:before="80"/>
      </w:pPr>
      <w:r>
        <w:rPr>
          <w:rFonts w:ascii="Arial" w:cs="Arial" w:eastAsia="Arial" w:hAnsi="Arial"/>
          <w:b/>
          <w:bCs/>
          <w:sz w:val="20"/>
          <w:szCs w:val="20"/>
        </w:rPr>
        <w:t xml:space="preserve">Po narażeniu drogą oddechową:</w:t>
      </w:r>
      <w:r>
        <w:rPr>
          <w:rFonts w:ascii="Arial" w:cs="Arial" w:eastAsia="Arial" w:hAnsi="Arial"/>
          <w:sz w:val="20"/>
          <w:szCs w:val="20"/>
        </w:rPr>
        <w:t xml:space="preserve"> Wdychanie wysokich stężeń par może wywoływać podrażnienie błon śluzowych dróg oddechowych, bóle i zawroty głowy oraz uczucie senności.</w:t>
      </w:r>
    </w:p>
    <w:p>
      <w:pPr>
        <w:spacing w:after="80" w:before="80"/>
      </w:pPr>
      <w:r>
        <w:rPr>
          <w:rFonts w:ascii="Arial" w:cs="Arial" w:eastAsia="Arial" w:hAnsi="Arial"/>
          <w:b/>
          <w:bCs/>
          <w:sz w:val="20"/>
          <w:szCs w:val="20"/>
        </w:rPr>
        <w:t xml:space="preserve">W przypadku spożycia:</w:t>
      </w:r>
      <w:r>
        <w:rPr>
          <w:rFonts w:ascii="Arial" w:cs="Arial" w:eastAsia="Arial" w:hAnsi="Arial"/>
          <w:sz w:val="20"/>
          <w:szCs w:val="20"/>
        </w:rPr>
        <w:t xml:space="preserve"> Może wywołać podrażnienie układu pokarmowego, nudności, wymioty oraz objawy intoksykacji alkoholowej.</w:t>
      </w:r>
    </w:p>
    <w:p>
      <w:pPr>
        <w:spacing w:after="80"/>
      </w:pPr>
      <w:r>
        <w:rPr>
          <w:rFonts w:ascii="Arial" w:cs="Arial" w:eastAsia="Arial" w:hAnsi="Arial"/>
          <w:sz w:val="20"/>
          <w:szCs w:val="20"/>
        </w:rPr>
        <w:t xml:space="preserve">SKUTKI OPÓŹNIONE: W oparciu o dostępne dane, w warunkach prawidłowego stosowania nie są znane przypadki wystąpienia opóźnionych powikłań zdrowotnych.</w:t>
      </w:r>
    </w:p>
    <w:p>
      <w:pPr>
        <w:spacing w:after="100" w:before="200"/>
      </w:pPr>
      <w:r>
        <w:rPr>
          <w:rFonts w:ascii="Arial" w:cs="Arial" w:eastAsia="Arial" w:hAnsi="Arial"/>
          <w:b/>
          <w:bCs/>
          <w:sz w:val="20"/>
          <w:szCs w:val="20"/>
        </w:rPr>
        <w:t xml:space="preserve">4.3. Wskazania dotyczące wszelkiej natychmiastowej pomocy lekarskiej i szczególnego postępowania z poszkodowanym</w:t>
      </w:r>
    </w:p>
    <w:p>
      <w:pPr>
        <w:spacing w:after="80"/>
      </w:pPr>
      <w:r>
        <w:rPr>
          <w:rFonts w:ascii="Arial" w:cs="Arial" w:eastAsia="Arial" w:hAnsi="Arial"/>
          <w:sz w:val="20"/>
          <w:szCs w:val="20"/>
        </w:rPr>
        <w:t xml:space="preserve">W przypadku wystąpienia objawów (ostrych lub opóźnionych) skonsultować się z lekarzem.</w:t>
      </w:r>
    </w:p>
    <w:p>
      <w:pPr>
        <w:spacing w:after="80"/>
      </w:pPr>
      <w:r>
        <w:rPr>
          <w:rFonts w:ascii="Arial" w:cs="Arial" w:eastAsia="Arial" w:hAnsi="Arial"/>
          <w:sz w:val="20"/>
          <w:szCs w:val="20"/>
        </w:rPr>
        <w:t xml:space="preserve">Środki, które powinny być dostępne w miejscu pracy w celu zapewnienia natychmiastowego i specyficznego leczenia: Bieżąca woda do przemywania oczu i zmywania skóry.</w:t>
      </w:r>
    </w:p>
    <w:p>
      <w:pPr>
        <w:pBdr>
          <w:bottom w:color="00A651" w:sz="12" w:space="1"/>
        </w:pBdr>
        <w:spacing w:after="150" w:before="300"/>
      </w:pPr>
      <w:r>
        <w:rPr>
          <w:b/>
          <w:bCs/>
          <w:sz w:val="22"/>
          <w:szCs w:val="22"/>
        </w:rPr>
        <w:t xml:space="preserve">SEKCJA 5: POSTĘPOWANIE W PRZYPADKU POŻARU</w:t>
      </w:r>
    </w:p>
    <w:p>
      <w:pPr>
        <w:spacing w:after="100" w:before="200"/>
      </w:pPr>
      <w:r>
        <w:rPr>
          <w:rFonts w:ascii="Arial" w:cs="Arial" w:eastAsia="Arial" w:hAnsi="Arial"/>
          <w:b/>
          <w:bCs/>
          <w:sz w:val="20"/>
          <w:szCs w:val="20"/>
        </w:rPr>
        <w:t xml:space="preserve">5.1. Środki gaśnicze</w:t>
      </w:r>
    </w:p>
    <w:p>
      <w:pPr>
        <w:spacing w:after="80"/>
      </w:pPr>
      <w:r>
        <w:rPr>
          <w:rFonts w:ascii="Arial" w:cs="Arial" w:eastAsia="Arial" w:hAnsi="Arial"/>
          <w:sz w:val="20"/>
          <w:szCs w:val="20"/>
        </w:rPr>
        <w:t xml:space="preserve">ODPOWIEDNIE ŚRODKI GAŚNICZE</w:t>
      </w:r>
    </w:p>
    <w:p>
      <w:pPr>
        <w:spacing w:after="80"/>
      </w:pPr>
      <w:r>
        <w:rPr>
          <w:rFonts w:ascii="Arial" w:cs="Arial" w:eastAsia="Arial" w:hAnsi="Arial"/>
          <w:sz w:val="20"/>
          <w:szCs w:val="20"/>
        </w:rPr>
        <w:t xml:space="preserve">Środkami gaśniczymi są: dwutlenek węgla, piana, proszek chemiczny. W przypadku ubytku lub wycieku produktu, który się nie zapalił, można użyć mgły wodnej w celu rozproszenia łatwopalnych par i ochrony osób próbujących powstrzymać wyciek.</w:t>
      </w:r>
    </w:p>
    <w:p>
      <w:pPr>
        <w:spacing w:after="80"/>
      </w:pPr>
      <w:r>
        <w:rPr>
          <w:rFonts w:ascii="Arial" w:cs="Arial" w:eastAsia="Arial" w:hAnsi="Arial"/>
          <w:sz w:val="20"/>
          <w:szCs w:val="20"/>
        </w:rPr>
        <w:t xml:space="preserve">NIEODPOWIEDNIE ŚRODKI GAŚNICZE</w:t>
      </w:r>
    </w:p>
    <w:p>
      <w:pPr>
        <w:spacing w:after="80"/>
      </w:pPr>
      <w:r>
        <w:rPr>
          <w:rFonts w:ascii="Arial" w:cs="Arial" w:eastAsia="Arial" w:hAnsi="Arial"/>
          <w:sz w:val="20"/>
          <w:szCs w:val="20"/>
        </w:rPr>
        <w:t xml:space="preserve">Nie stosować zwartych strumieni wody. Woda nie jest skuteczna w gaszeniu pożaru, lecz może być używana do chłodzenia zbiorników narażonych na działanie płomieni, aby zapobiec wybuchom.</w:t>
      </w:r>
    </w:p>
    <w:p>
      <w:pPr>
        <w:spacing w:after="100" w:before="200"/>
      </w:pPr>
      <w:r>
        <w:rPr>
          <w:rFonts w:ascii="Arial" w:cs="Arial" w:eastAsia="Arial" w:hAnsi="Arial"/>
          <w:b/>
          <w:bCs/>
          <w:sz w:val="20"/>
          <w:szCs w:val="20"/>
        </w:rPr>
        <w:t xml:space="preserve">5.2. Szczególne zagrożenia związane z substancją lub mieszaniną</w:t>
      </w:r>
    </w:p>
    <w:p>
      <w:pPr>
        <w:spacing w:after="80"/>
      </w:pPr>
      <w:r>
        <w:rPr>
          <w:rFonts w:ascii="Arial" w:cs="Arial" w:eastAsia="Arial" w:hAnsi="Arial"/>
          <w:sz w:val="20"/>
          <w:szCs w:val="20"/>
        </w:rPr>
        <w:t xml:space="preserve">ZAGROŻENIA SPOWODOWANE NARAŻENIEM W PRZYPADKU POŻARU</w:t>
      </w:r>
    </w:p>
    <w:p>
      <w:pPr>
        <w:spacing w:after="80"/>
      </w:pPr>
      <w:r>
        <w:rPr>
          <w:rFonts w:ascii="Arial" w:cs="Arial" w:eastAsia="Arial" w:hAnsi="Arial"/>
          <w:sz w:val="20"/>
          <w:szCs w:val="20"/>
        </w:rPr>
        <w:t xml:space="preserve">W pojemnikach narażonych na działanie pożaru może powstać nadciśnienie stwarzające ryzyko wybuchu. Nie wdychać produktów spalania.</w:t>
      </w:r>
    </w:p>
    <w:p>
      <w:pPr>
        <w:spacing w:after="100" w:before="200"/>
      </w:pPr>
      <w:r>
        <w:rPr>
          <w:rFonts w:ascii="Arial" w:cs="Arial" w:eastAsia="Arial" w:hAnsi="Arial"/>
          <w:b/>
          <w:bCs/>
          <w:sz w:val="20"/>
          <w:szCs w:val="20"/>
        </w:rPr>
        <w:t xml:space="preserve">5.3. Informacje dla straży pożarnej</w:t>
      </w:r>
    </w:p>
    <w:p>
      <w:pPr>
        <w:spacing w:after="80"/>
      </w:pPr>
      <w:r>
        <w:rPr>
          <w:rFonts w:ascii="Arial" w:cs="Arial" w:eastAsia="Arial" w:hAnsi="Arial"/>
          <w:sz w:val="20"/>
          <w:szCs w:val="20"/>
        </w:rPr>
        <w:t xml:space="preserve">INFORMACJE OGÓLNE</w:t>
      </w:r>
    </w:p>
    <w:p>
      <w:pPr>
        <w:spacing w:after="80"/>
      </w:pPr>
      <w:r>
        <w:rPr>
          <w:rFonts w:ascii="Arial" w:cs="Arial" w:eastAsia="Arial" w:hAnsi="Arial"/>
          <w:sz w:val="20"/>
          <w:szCs w:val="20"/>
        </w:rPr>
        <w:t xml:space="preserve">Używać strumieni wody do chłodzenia pojemników, aby zapobiec rozkładowi produktu i powstawaniu substancji potencjalnie niebezpiecznych dla zdrowia. Zawsze nosić kompletny sprzęt ochrony przeciwpożarowej. Zbierać wodę gaśniczą, aby zapobiec jej przedostaniu się do kanalizacji. Zanieczyszczoną wodę użytą do gaszenia oraz pozostałości po pożarze unieszkodliwiać zgodnie z obowiązującymi przepisami.</w:t>
      </w:r>
    </w:p>
    <w:p>
      <w:pPr>
        <w:spacing w:after="80"/>
      </w:pPr>
      <w:r>
        <w:rPr>
          <w:rFonts w:ascii="Arial" w:cs="Arial" w:eastAsia="Arial" w:hAnsi="Arial"/>
          <w:sz w:val="20"/>
          <w:szCs w:val="20"/>
        </w:rPr>
        <w:t xml:space="preserve">SPECJALNY SPRZĘT OCHRONNY DLA STRAŻAKÓW</w:t>
      </w:r>
    </w:p>
    <w:p>
      <w:pPr>
        <w:spacing w:after="80"/>
      </w:pPr>
      <w:r>
        <w:rPr>
          <w:rFonts w:ascii="Arial" w:cs="Arial" w:eastAsia="Arial" w:hAnsi="Arial"/>
          <w:sz w:val="20"/>
          <w:szCs w:val="20"/>
        </w:rPr>
        <w:t xml:space="preserve">Standardowa odzież gaśnicza, tj. zestaw bojowy (BS EN 469), rękawice (BS EN 659) i buty (specyfikacja HO A29 i A30) w połączeniu z autonomicznym aparatem oddechowym na sprężone powietrze o obiegu otwartym i nadciśnieniu (BS EN 137).</w:t>
      </w:r>
    </w:p>
    <w:p>
      <w:pPr>
        <w:pBdr>
          <w:bottom w:color="00A651" w:sz="12" w:space="1"/>
        </w:pBdr>
        <w:spacing w:after="150" w:before="300"/>
      </w:pPr>
      <w:r>
        <w:rPr>
          <w:b/>
          <w:bCs/>
          <w:sz w:val="22"/>
          <w:szCs w:val="22"/>
        </w:rPr>
        <w:t xml:space="preserve">SEKCJA 6: POSTĘPOWANIE W PRZYPADKU NIEZAMIERZONEGO UWOLNIENIA DO ŚRODOWISKA</w:t>
      </w:r>
    </w:p>
    <w:p>
      <w:pPr>
        <w:spacing w:after="100" w:before="200"/>
      </w:pPr>
      <w:r>
        <w:rPr>
          <w:rFonts w:ascii="Arial" w:cs="Arial" w:eastAsia="Arial" w:hAnsi="Arial"/>
          <w:b/>
          <w:bCs/>
          <w:sz w:val="20"/>
          <w:szCs w:val="20"/>
        </w:rPr>
        <w:t xml:space="preserve">6.1. Indywidualne środki ostrożności, wyposażenie ochronne i procedury w sytuacjach awaryjnych</w:t>
      </w:r>
    </w:p>
    <w:p>
      <w:pPr>
        <w:spacing w:after="80"/>
      </w:pPr>
      <w:r>
        <w:rPr>
          <w:rFonts w:ascii="Arial" w:cs="Arial" w:eastAsia="Arial" w:hAnsi="Arial"/>
          <w:sz w:val="20"/>
          <w:szCs w:val="20"/>
        </w:rPr>
        <w:t xml:space="preserve">Zatamować wyciek, jeżeli nie stwarza to zagrożenia.</w:t>
      </w:r>
    </w:p>
    <w:p>
      <w:pPr>
        <w:spacing w:after="80"/>
      </w:pPr>
      <w:r>
        <w:rPr>
          <w:rFonts w:ascii="Arial" w:cs="Arial" w:eastAsia="Arial" w:hAnsi="Arial"/>
          <w:sz w:val="20"/>
          <w:szCs w:val="20"/>
        </w:rPr>
        <w:t xml:space="preserve">Stosować odpowiednie wyposażenie ochronne (w tym środki ochrony indywidualnej wymienione w sekcji 8 karty charakterystyki), aby zapobiec zanieczyszczeniu skóry, oczu i odzieży osobistej. Wskazówki te dotyczą zarówno personelu operacyjnego, jak i osób biorących udział w działaniach awaryjnych.</w:t>
      </w:r>
    </w:p>
    <w:p>
      <w:pPr>
        <w:spacing w:after="80"/>
      </w:pPr>
      <w:r>
        <w:rPr>
          <w:rFonts w:ascii="Arial" w:cs="Arial" w:eastAsia="Arial" w:hAnsi="Arial"/>
          <w:sz w:val="20"/>
          <w:szCs w:val="20"/>
        </w:rPr>
        <w:t xml:space="preserve">Oddalić osoby nieposiadające odpowiedniego wyposażenia. Stosować sprzęt w wykonaniu przeciwwybuchowym. Wyeliminować wszelkie źródła zapłonu (papierosy, płomienie, iskry itp.) z miejsca wycieku.</w:t>
      </w:r>
    </w:p>
    <w:p>
      <w:pPr>
        <w:spacing w:after="100" w:before="200"/>
      </w:pPr>
      <w:r>
        <w:rPr>
          <w:rFonts w:ascii="Arial" w:cs="Arial" w:eastAsia="Arial" w:hAnsi="Arial"/>
          <w:b/>
          <w:bCs/>
          <w:sz w:val="20"/>
          <w:szCs w:val="20"/>
        </w:rPr>
        <w:t xml:space="preserve">6.2. Środki ostrożności w zakresie ochrony środowiska</w:t>
      </w:r>
    </w:p>
    <w:p>
      <w:pPr>
        <w:spacing w:after="80"/>
      </w:pPr>
      <w:r>
        <w:rPr>
          <w:rFonts w:ascii="Arial" w:cs="Arial" w:eastAsia="Arial" w:hAnsi="Arial"/>
          <w:sz w:val="20"/>
          <w:szCs w:val="20"/>
        </w:rPr>
        <w:t xml:space="preserve">Produkt nie może przedostać się do kanalizacji, wód powierzchniowych ani gruntowych.</w:t>
      </w:r>
    </w:p>
    <w:p>
      <w:pPr>
        <w:spacing w:after="100" w:before="200"/>
      </w:pPr>
      <w:r>
        <w:rPr>
          <w:rFonts w:ascii="Arial" w:cs="Arial" w:eastAsia="Arial" w:hAnsi="Arial"/>
          <w:b/>
          <w:bCs/>
          <w:sz w:val="20"/>
          <w:szCs w:val="20"/>
        </w:rPr>
        <w:t xml:space="preserve">6.3. Metody i materiały zapobiegające rozprzestrzenianiu się skażenia i służące do usuwania skażenia</w:t>
      </w:r>
    </w:p>
    <w:p>
      <w:pPr>
        <w:spacing w:after="80"/>
      </w:pPr>
      <w:r>
        <w:rPr>
          <w:rFonts w:ascii="Arial" w:cs="Arial" w:eastAsia="Arial" w:hAnsi="Arial"/>
          <w:sz w:val="20"/>
          <w:szCs w:val="20"/>
        </w:rPr>
        <w:t xml:space="preserve">Zebrać wyciekły produkt do odpowiedniego pojemnika. Ocenę kompatybilności używanego pojemnika przeprowadzić w oparciu o sekcję 10. Pozostałość zebrać obojętnym materiałem absorbującym.</w:t>
      </w:r>
    </w:p>
    <w:p>
      <w:pPr>
        <w:spacing w:after="80"/>
      </w:pPr>
      <w:r>
        <w:rPr>
          <w:rFonts w:ascii="Arial" w:cs="Arial" w:eastAsia="Arial" w:hAnsi="Arial"/>
          <w:sz w:val="20"/>
          <w:szCs w:val="20"/>
        </w:rPr>
        <w:t xml:space="preserve">Upewnić się, że miejsce wycieku jest dobrze przewietrzone. Zanieczyszczony materiał należy unieszkodliwiać zgodnie z przepisami określonymi w punkcie 13.</w:t>
      </w:r>
    </w:p>
    <w:p>
      <w:pPr>
        <w:spacing w:after="100" w:before="200"/>
      </w:pPr>
      <w:r>
        <w:rPr>
          <w:rFonts w:ascii="Arial" w:cs="Arial" w:eastAsia="Arial" w:hAnsi="Arial"/>
          <w:b/>
          <w:bCs/>
          <w:sz w:val="20"/>
          <w:szCs w:val="20"/>
        </w:rPr>
        <w:t xml:space="preserve">6.4. Odniesienia do innych sekcji</w:t>
      </w:r>
    </w:p>
    <w:p>
      <w:pPr>
        <w:spacing w:after="80"/>
      </w:pPr>
      <w:r>
        <w:rPr>
          <w:rFonts w:ascii="Arial" w:cs="Arial" w:eastAsia="Arial" w:hAnsi="Arial"/>
          <w:sz w:val="20"/>
          <w:szCs w:val="20"/>
        </w:rPr>
        <w:t xml:space="preserve">Wszelkie informacje dotyczące ochrony indywidualnej i unieszkodliwiania podano w sekcjach 8 i 13.</w:t>
      </w:r>
    </w:p>
    <w:p>
      <w:pPr>
        <w:pBdr>
          <w:bottom w:color="00A651" w:sz="12" w:space="1"/>
        </w:pBdr>
        <w:spacing w:after="150" w:before="300"/>
      </w:pPr>
      <w:r>
        <w:rPr>
          <w:b/>
          <w:bCs/>
          <w:sz w:val="22"/>
          <w:szCs w:val="22"/>
        </w:rPr>
        <w:t xml:space="preserve">SEKCJA 7: POSTĘPOWANIE Z SUBSTANCJAMI I MIESZANINAMI ORAZ ICH MAGAZYNOWANIE</w:t>
      </w:r>
    </w:p>
    <w:p>
      <w:pPr>
        <w:spacing w:after="100" w:before="200"/>
      </w:pPr>
      <w:r>
        <w:rPr>
          <w:rFonts w:ascii="Arial" w:cs="Arial" w:eastAsia="Arial" w:hAnsi="Arial"/>
          <w:b/>
          <w:bCs/>
          <w:sz w:val="20"/>
          <w:szCs w:val="20"/>
        </w:rPr>
        <w:t xml:space="preserve">7.1. Środki ostrożności dotyczące bezpiecznego postępowania</w:t>
      </w:r>
    </w:p>
    <w:p>
      <w:pPr>
        <w:spacing w:after="80"/>
      </w:pPr>
      <w:r>
        <w:rPr>
          <w:rFonts w:ascii="Arial" w:cs="Arial" w:eastAsia="Arial" w:hAnsi="Arial"/>
          <w:sz w:val="20"/>
          <w:szCs w:val="20"/>
        </w:rPr>
        <w:t xml:space="preserve">Przechowywać z dala od źródeł ciepła, iskier i otwartego ognia; nie palić tytoniu, nie używać zapałek ani zapalniczek. Bez odpowiedniej wentylacji pary mogą gromadzić się przy podłożu i w przypadku zapłonu zapalić się nawet na odległość, z ryzykiem cofnięcia płomienia. Unikać gromadzenia ładunków elektrostatycznych. Podczas operacji przelewania z udziałem dużych pojemników uziemić aparaturę i nosić obuwie antystatyczne. Intensywne mieszanie oraz przepływ przez przewody rurowe i urządzenia mogą powodować powstawanie i gromadzenie się ładunków elektrostatycznych. W celu uniknięcia ryzyka pożaru i wybuchu, podczas manipulowania nigdy nie stosować sprężonego powietrza. Pojemniki otwierać ostrożnie, ponieważ mogą znajdować się pod ciśnieniem. Nie jeść, nie pić i nie palić podczas stosowania. Unikać uwolnienia produktu do środowiska.</w:t>
      </w:r>
    </w:p>
    <w:p>
      <w:pPr>
        <w:spacing w:after="100" w:before="200"/>
      </w:pPr>
      <w:r>
        <w:rPr>
          <w:rFonts w:ascii="Arial" w:cs="Arial" w:eastAsia="Arial" w:hAnsi="Arial"/>
          <w:b/>
          <w:bCs/>
          <w:sz w:val="20"/>
          <w:szCs w:val="20"/>
        </w:rPr>
        <w:t xml:space="preserve">7.2. Warunki bezpiecznego magazynowania, w tym informacje dotyczące wszelkich wzajemnych niezgodności</w:t>
      </w:r>
    </w:p>
    <w:p>
      <w:pPr>
        <w:spacing w:after="80"/>
      </w:pPr>
      <w:r>
        <w:rPr>
          <w:rFonts w:ascii="Arial" w:cs="Arial" w:eastAsia="Arial" w:hAnsi="Arial"/>
          <w:sz w:val="20"/>
          <w:szCs w:val="20"/>
        </w:rPr>
        <w:t xml:space="preserve">Przechowywać wyłącznie w oryginalnym opakowaniu. Przechowywać pojemniki zamknięte, w dobrze wentylowanym miejscu, z dala od bezpośredniego nasłonecznienia. Przechowywać w chłodnym i dobrze wentylowanym miejscu, z dala od źródeł ciepła, otwartego ognia, iskier i innych źródeł zapłonu. Pojemniki przechowywać z dala od wszelkich materiałów niezgodnych – szczegóły w sekcji 10.</w:t>
      </w:r>
    </w:p>
    <w:p>
      <w:pPr>
        <w:spacing w:after="80"/>
      </w:pPr>
      <w:r>
        <w:rPr>
          <w:rFonts w:ascii="Arial" w:cs="Arial" w:eastAsia="Arial" w:hAnsi="Arial"/>
          <w:sz w:val="20"/>
          <w:szCs w:val="20"/>
        </w:rPr>
        <w:t xml:space="preserve">Klasa magazynowania TRGS 510 (Niemcy): 3</w:t>
      </w:r>
    </w:p>
    <w:p>
      <w:pPr>
        <w:spacing w:after="100" w:before="200"/>
      </w:pPr>
      <w:r>
        <w:rPr>
          <w:rFonts w:ascii="Arial" w:cs="Arial" w:eastAsia="Arial" w:hAnsi="Arial"/>
          <w:b/>
          <w:bCs/>
          <w:sz w:val="20"/>
          <w:szCs w:val="20"/>
        </w:rPr>
        <w:t xml:space="preserve">7.3. Szczególne zastosowania końcowe</w:t>
      </w:r>
    </w:p>
    <w:p>
      <w:pPr>
        <w:spacing w:after="80"/>
      </w:pPr>
      <w:r>
        <w:rPr>
          <w:rFonts w:ascii="Arial" w:cs="Arial" w:eastAsia="Arial" w:hAnsi="Arial"/>
          <w:sz w:val="20"/>
          <w:szCs w:val="20"/>
        </w:rPr>
        <w:t xml:space="preserve">Brak dostępnych danych</w:t>
      </w:r>
    </w:p>
    <w:p>
      <w:pPr>
        <w:pBdr>
          <w:bottom w:color="00A651" w:sz="12" w:space="1"/>
        </w:pBdr>
        <w:spacing w:after="150" w:before="300"/>
      </w:pPr>
      <w:r>
        <w:rPr>
          <w:b/>
          <w:bCs/>
          <w:sz w:val="22"/>
          <w:szCs w:val="22"/>
        </w:rPr>
        <w:t xml:space="preserve">SEKCJA 8: KONTROLA NARAŻENIA/ŚRODKI OCHRONY INDYWIDUALNEJ</w:t>
      </w:r>
    </w:p>
    <w:p>
      <w:pPr>
        <w:spacing w:after="100" w:before="200"/>
      </w:pPr>
      <w:r>
        <w:rPr>
          <w:rFonts w:ascii="Arial" w:cs="Arial" w:eastAsia="Arial" w:hAnsi="Arial"/>
          <w:b/>
          <w:bCs/>
          <w:sz w:val="20"/>
          <w:szCs w:val="20"/>
        </w:rPr>
        <w:t xml:space="preserve">8.1. Parametry dotyczące kontroli</w:t>
      </w:r>
    </w:p>
    <w:p>
      <w:pPr>
        <w:spacing w:after="80"/>
      </w:pPr>
      <w:r>
        <w:rPr>
          <w:rFonts w:ascii="Arial" w:cs="Arial" w:eastAsia="Arial" w:hAnsi="Arial"/>
          <w:sz w:val="20"/>
          <w:szCs w:val="20"/>
        </w:rPr>
        <w:t xml:space="preserve">Krajowe wartości najwyższych dopuszczalnych stężeń w środowisku pracy (Polska – Dz.U. 2018 poz. 1286 z późn. zm., w tym Dz.U. 2024 poz. 1017):</w:t>
      </w:r>
    </w:p>
    <w:p>
      <w:pPr>
        <w:spacing w:after="80"/>
      </w:pPr>
      <w:r>
        <w:rPr>
          <w:rFonts w:ascii="Arial" w:cs="Arial" w:eastAsia="Arial" w:hAnsi="Arial"/>
          <w:sz w:val="20"/>
          <w:szCs w:val="20"/>
        </w:rPr>
        <w:t xml:space="preserve">Etanol [CAS: 64-17-5]:</w:t>
      </w:r>
    </w:p>
    <w:p>
      <w:pPr>
        <w:spacing w:after="60" w:before="60"/>
      </w:pPr>
      <w:r>
        <w:rPr>
          <w:rFonts w:ascii="Arial" w:cs="Arial" w:eastAsia="Arial" w:hAnsi="Arial"/>
          <w:b/>
          <w:bCs/>
          <w:sz w:val="20"/>
          <w:szCs w:val="20"/>
        </w:rPr>
        <w:t xml:space="preserve">- NDS:</w:t>
      </w:r>
      <w:r>
        <w:rPr>
          <w:rFonts w:ascii="Arial" w:cs="Arial" w:eastAsia="Arial" w:hAnsi="Arial"/>
          <w:sz w:val="20"/>
          <w:szCs w:val="20"/>
        </w:rPr>
        <w:t xml:space="preserve"> 1900 mg/m³</w:t>
      </w:r>
    </w:p>
    <w:p>
      <w:pPr>
        <w:spacing w:after="80"/>
      </w:pPr>
      <w:r>
        <w:rPr>
          <w:rFonts w:ascii="Arial" w:cs="Arial" w:eastAsia="Arial" w:hAnsi="Arial"/>
          <w:sz w:val="20"/>
          <w:szCs w:val="20"/>
        </w:rPr>
        <w:t xml:space="preserve">(2-Metoksymetyloetoksy)propanol [CAS: 34590-94-8]:</w:t>
      </w:r>
    </w:p>
    <w:p>
      <w:pPr>
        <w:spacing w:after="60" w:before="60"/>
      </w:pPr>
      <w:r>
        <w:rPr>
          <w:rFonts w:ascii="Arial" w:cs="Arial" w:eastAsia="Arial" w:hAnsi="Arial"/>
          <w:b/>
          <w:bCs/>
          <w:sz w:val="20"/>
          <w:szCs w:val="20"/>
        </w:rPr>
        <w:t xml:space="preserve">- NDS:</w:t>
      </w:r>
      <w:r>
        <w:rPr>
          <w:rFonts w:ascii="Arial" w:cs="Arial" w:eastAsia="Arial" w:hAnsi="Arial"/>
          <w:sz w:val="20"/>
          <w:szCs w:val="20"/>
        </w:rPr>
        <w:t xml:space="preserve"> 240 mg/m³</w:t>
      </w:r>
    </w:p>
    <w:p>
      <w:pPr>
        <w:spacing w:after="60" w:before="60"/>
      </w:pPr>
      <w:r>
        <w:rPr>
          <w:rFonts w:ascii="Arial" w:cs="Arial" w:eastAsia="Arial" w:hAnsi="Arial"/>
          <w:b/>
          <w:bCs/>
          <w:sz w:val="20"/>
          <w:szCs w:val="20"/>
        </w:rPr>
        <w:t xml:space="preserve">- NDSCh:</w:t>
      </w:r>
      <w:r>
        <w:rPr>
          <w:rFonts w:ascii="Arial" w:cs="Arial" w:eastAsia="Arial" w:hAnsi="Arial"/>
          <w:sz w:val="20"/>
          <w:szCs w:val="20"/>
        </w:rPr>
        <w:t xml:space="preserve"> 480 mg/m³</w:t>
      </w:r>
    </w:p>
    <w:p>
      <w:pPr>
        <w:spacing w:after="60" w:before="60"/>
      </w:pPr>
      <w:r>
        <w:rPr>
          <w:rFonts w:ascii="Arial" w:cs="Arial" w:eastAsia="Arial" w:hAnsi="Arial"/>
          <w:b/>
          <w:bCs/>
          <w:sz w:val="20"/>
          <w:szCs w:val="20"/>
        </w:rPr>
        <w:t xml:space="preserve">- Uwagi:</w:t>
      </w:r>
      <w:r>
        <w:rPr>
          <w:rFonts w:ascii="Arial" w:cs="Arial" w:eastAsia="Arial" w:hAnsi="Arial"/>
          <w:sz w:val="20"/>
          <w:szCs w:val="20"/>
        </w:rPr>
        <w:t xml:space="preserve"> oznakowanie substancji notacją „skóra”</w:t>
      </w:r>
    </w:p>
    <w:p>
      <w:pPr>
        <w:spacing w:after="80"/>
      </w:pPr>
      <w:r>
        <w:rPr>
          <w:rFonts w:ascii="Arial" w:cs="Arial" w:eastAsia="Arial" w:hAnsi="Arial"/>
          <w:sz w:val="20"/>
          <w:szCs w:val="20"/>
        </w:rPr>
        <w:t xml:space="preserve">2,6-di-tert-butylo-4-metylofenol (BHT) [CAS: 128-37-0]:</w:t>
      </w:r>
    </w:p>
    <w:p>
      <w:pPr>
        <w:spacing w:after="60" w:before="60"/>
      </w:pPr>
      <w:r>
        <w:rPr>
          <w:rFonts w:ascii="Arial" w:cs="Arial" w:eastAsia="Arial" w:hAnsi="Arial"/>
          <w:b/>
          <w:bCs/>
          <w:sz w:val="20"/>
          <w:szCs w:val="20"/>
        </w:rPr>
        <w:t xml:space="preserve">- NDS:</w:t>
      </w:r>
      <w:r>
        <w:rPr>
          <w:rFonts w:ascii="Arial" w:cs="Arial" w:eastAsia="Arial" w:hAnsi="Arial"/>
          <w:sz w:val="20"/>
          <w:szCs w:val="20"/>
        </w:rPr>
        <w:t xml:space="preserve"> 10 mg/m³ (frakcja wdychalna)</w:t>
      </w:r>
    </w:p>
    <w:p>
      <w:pPr>
        <w:spacing w:after="60" w:before="60"/>
      </w:pPr>
      <w:r>
        <w:rPr>
          <w:rFonts w:ascii="Arial" w:cs="Arial" w:eastAsia="Arial" w:hAnsi="Arial"/>
          <w:b/>
          <w:bCs/>
          <w:sz w:val="20"/>
          <w:szCs w:val="20"/>
        </w:rPr>
        <w:t xml:space="preserve">- NDSCh:</w:t>
      </w:r>
      <w:r>
        <w:rPr>
          <w:rFonts w:ascii="Arial" w:cs="Arial" w:eastAsia="Arial" w:hAnsi="Arial"/>
          <w:sz w:val="20"/>
          <w:szCs w:val="20"/>
        </w:rPr>
        <w:t xml:space="preserve"> nie ustalono</w:t>
      </w:r>
    </w:p>
    <w:p>
      <w:pPr>
        <w:spacing w:after="80"/>
      </w:pPr>
      <w:r>
        <w:rPr>
          <w:rFonts w:ascii="Arial" w:cs="Arial" w:eastAsia="Arial" w:hAnsi="Arial"/>
          <w:sz w:val="20"/>
          <w:szCs w:val="20"/>
        </w:rPr>
        <w:t xml:space="preserve">Kwas octowy [CAS: 64-19-7]:</w:t>
      </w:r>
    </w:p>
    <w:p>
      <w:pPr>
        <w:spacing w:after="60" w:before="60"/>
      </w:pPr>
      <w:r>
        <w:rPr>
          <w:rFonts w:ascii="Arial" w:cs="Arial" w:eastAsia="Arial" w:hAnsi="Arial"/>
          <w:b/>
          <w:bCs/>
          <w:sz w:val="20"/>
          <w:szCs w:val="20"/>
        </w:rPr>
        <w:t xml:space="preserve">- NDS:</w:t>
      </w:r>
      <w:r>
        <w:rPr>
          <w:rFonts w:ascii="Arial" w:cs="Arial" w:eastAsia="Arial" w:hAnsi="Arial"/>
          <w:sz w:val="20"/>
          <w:szCs w:val="20"/>
        </w:rPr>
        <w:t xml:space="preserve"> 25 mg/m³</w:t>
      </w:r>
    </w:p>
    <w:p>
      <w:pPr>
        <w:spacing w:after="60" w:before="60"/>
      </w:pPr>
      <w:r>
        <w:rPr>
          <w:rFonts w:ascii="Arial" w:cs="Arial" w:eastAsia="Arial" w:hAnsi="Arial"/>
          <w:b/>
          <w:bCs/>
          <w:sz w:val="20"/>
          <w:szCs w:val="20"/>
        </w:rPr>
        <w:t xml:space="preserve">- NDSCh:</w:t>
      </w:r>
      <w:r>
        <w:rPr>
          <w:rFonts w:ascii="Arial" w:cs="Arial" w:eastAsia="Arial" w:hAnsi="Arial"/>
          <w:sz w:val="20"/>
          <w:szCs w:val="20"/>
        </w:rPr>
        <w:t xml:space="preserve"> 50 mg/m³</w:t>
      </w:r>
    </w:p>
    <w:p>
      <w:pPr>
        <w:spacing w:after="80"/>
      </w:pPr>
      <w:r>
        <w:rPr>
          <w:rFonts w:ascii="Arial" w:cs="Arial" w:eastAsia="Arial" w:hAnsi="Arial"/>
          <w:sz w:val="20"/>
          <w:szCs w:val="20"/>
        </w:rPr>
        <w:t xml:space="preserve">Metanol [CAS: 67-56-1]:</w:t>
      </w:r>
    </w:p>
    <w:p>
      <w:pPr>
        <w:spacing w:after="60" w:before="60"/>
      </w:pPr>
      <w:r>
        <w:rPr>
          <w:rFonts w:ascii="Arial" w:cs="Arial" w:eastAsia="Arial" w:hAnsi="Arial"/>
          <w:b/>
          <w:bCs/>
          <w:sz w:val="20"/>
          <w:szCs w:val="20"/>
        </w:rPr>
        <w:t xml:space="preserve">- NDS:</w:t>
      </w:r>
      <w:r>
        <w:rPr>
          <w:rFonts w:ascii="Arial" w:cs="Arial" w:eastAsia="Arial" w:hAnsi="Arial"/>
          <w:sz w:val="20"/>
          <w:szCs w:val="20"/>
        </w:rPr>
        <w:t xml:space="preserve"> 100 mg/m³</w:t>
      </w:r>
    </w:p>
    <w:p>
      <w:pPr>
        <w:spacing w:after="60" w:before="60"/>
      </w:pPr>
      <w:r>
        <w:rPr>
          <w:rFonts w:ascii="Arial" w:cs="Arial" w:eastAsia="Arial" w:hAnsi="Arial"/>
          <w:b/>
          <w:bCs/>
          <w:sz w:val="20"/>
          <w:szCs w:val="20"/>
        </w:rPr>
        <w:t xml:space="preserve">- NDSCh:</w:t>
      </w:r>
      <w:r>
        <w:rPr>
          <w:rFonts w:ascii="Arial" w:cs="Arial" w:eastAsia="Arial" w:hAnsi="Arial"/>
          <w:sz w:val="20"/>
          <w:szCs w:val="20"/>
        </w:rPr>
        <w:t xml:space="preserve"> 300 mg/m³</w:t>
      </w:r>
    </w:p>
    <w:p>
      <w:pPr>
        <w:spacing w:after="60" w:before="60"/>
      </w:pPr>
      <w:r>
        <w:rPr>
          <w:rFonts w:ascii="Arial" w:cs="Arial" w:eastAsia="Arial" w:hAnsi="Arial"/>
          <w:b/>
          <w:bCs/>
          <w:sz w:val="20"/>
          <w:szCs w:val="20"/>
        </w:rPr>
        <w:t xml:space="preserve">- Uwagi:</w:t>
      </w:r>
      <w:r>
        <w:rPr>
          <w:rFonts w:ascii="Arial" w:cs="Arial" w:eastAsia="Arial" w:hAnsi="Arial"/>
          <w:sz w:val="20"/>
          <w:szCs w:val="20"/>
        </w:rPr>
        <w:t xml:space="preserve"> oznakowanie substancji notacją „skóra”</w:t>
      </w:r>
    </w:p>
    <w:p>
      <w:pPr>
        <w:spacing w:after="80"/>
      </w:pPr>
      <w:r>
        <w:rPr>
          <w:rFonts w:ascii="Arial" w:cs="Arial" w:eastAsia="Arial" w:hAnsi="Arial"/>
          <w:sz w:val="20"/>
          <w:szCs w:val="20"/>
        </w:rPr>
        <w:t xml:space="preserve">Heptan [CAS: 142-82-5]:</w:t>
      </w:r>
    </w:p>
    <w:p>
      <w:pPr>
        <w:spacing w:after="60" w:before="60"/>
      </w:pPr>
      <w:r>
        <w:rPr>
          <w:rFonts w:ascii="Arial" w:cs="Arial" w:eastAsia="Arial" w:hAnsi="Arial"/>
          <w:b/>
          <w:bCs/>
          <w:sz w:val="20"/>
          <w:szCs w:val="20"/>
        </w:rPr>
        <w:t xml:space="preserve">- NDS:</w:t>
      </w:r>
      <w:r>
        <w:rPr>
          <w:rFonts w:ascii="Arial" w:cs="Arial" w:eastAsia="Arial" w:hAnsi="Arial"/>
          <w:sz w:val="20"/>
          <w:szCs w:val="20"/>
        </w:rPr>
        <w:t xml:space="preserve"> 1200 mg/m³</w:t>
      </w:r>
    </w:p>
    <w:p>
      <w:pPr>
        <w:spacing w:after="60" w:before="60"/>
      </w:pPr>
      <w:r>
        <w:rPr>
          <w:rFonts w:ascii="Arial" w:cs="Arial" w:eastAsia="Arial" w:hAnsi="Arial"/>
          <w:b/>
          <w:bCs/>
          <w:sz w:val="20"/>
          <w:szCs w:val="20"/>
        </w:rPr>
        <w:t xml:space="preserve">- NDSCh:</w:t>
      </w:r>
      <w:r>
        <w:rPr>
          <w:rFonts w:ascii="Arial" w:cs="Arial" w:eastAsia="Arial" w:hAnsi="Arial"/>
          <w:sz w:val="20"/>
          <w:szCs w:val="20"/>
        </w:rPr>
        <w:t xml:space="preserve"> 2000 mg/m³</w:t>
      </w:r>
    </w:p>
    <w:p>
      <w:pPr>
        <w:spacing w:after="80"/>
      </w:pPr>
      <w:r>
        <w:rPr>
          <w:rFonts w:ascii="Arial" w:cs="Arial" w:eastAsia="Arial" w:hAnsi="Arial"/>
          <w:sz w:val="20"/>
          <w:szCs w:val="20"/>
        </w:rPr>
        <w:t xml:space="preserve">Aceton [CAS: 67-64-1]:</w:t>
      </w:r>
    </w:p>
    <w:p>
      <w:pPr>
        <w:spacing w:after="60" w:before="60"/>
      </w:pPr>
      <w:r>
        <w:rPr>
          <w:rFonts w:ascii="Arial" w:cs="Arial" w:eastAsia="Arial" w:hAnsi="Arial"/>
          <w:b/>
          <w:bCs/>
          <w:sz w:val="20"/>
          <w:szCs w:val="20"/>
        </w:rPr>
        <w:t xml:space="preserve">- NDS:</w:t>
      </w:r>
      <w:r>
        <w:rPr>
          <w:rFonts w:ascii="Arial" w:cs="Arial" w:eastAsia="Arial" w:hAnsi="Arial"/>
          <w:sz w:val="20"/>
          <w:szCs w:val="20"/>
        </w:rPr>
        <w:t xml:space="preserve"> 600 mg/m³</w:t>
      </w:r>
    </w:p>
    <w:p>
      <w:pPr>
        <w:spacing w:after="60" w:before="60"/>
      </w:pPr>
      <w:r>
        <w:rPr>
          <w:rFonts w:ascii="Arial" w:cs="Arial" w:eastAsia="Arial" w:hAnsi="Arial"/>
          <w:b/>
          <w:bCs/>
          <w:sz w:val="20"/>
          <w:szCs w:val="20"/>
        </w:rPr>
        <w:t xml:space="preserve">- NDSCh:</w:t>
      </w:r>
      <w:r>
        <w:rPr>
          <w:rFonts w:ascii="Arial" w:cs="Arial" w:eastAsia="Arial" w:hAnsi="Arial"/>
          <w:sz w:val="20"/>
          <w:szCs w:val="20"/>
        </w:rPr>
        <w:t xml:space="preserve"> 1800 mg/m³</w:t>
      </w:r>
    </w:p>
    <w:p>
      <w:pPr>
        <w:spacing w:after="80"/>
      </w:pPr>
      <w:r>
        <w:rPr>
          <w:rFonts w:ascii="Arial" w:cs="Arial" w:eastAsia="Arial" w:hAnsi="Arial"/>
          <w:sz w:val="20"/>
          <w:szCs w:val="20"/>
        </w:rPr>
        <w:t xml:space="preserve">Toluen [CAS: 108-88-3]:</w:t>
      </w:r>
    </w:p>
    <w:p>
      <w:pPr>
        <w:spacing w:after="60" w:before="60"/>
      </w:pPr>
      <w:r>
        <w:rPr>
          <w:rFonts w:ascii="Arial" w:cs="Arial" w:eastAsia="Arial" w:hAnsi="Arial"/>
          <w:b/>
          <w:bCs/>
          <w:sz w:val="20"/>
          <w:szCs w:val="20"/>
        </w:rPr>
        <w:t xml:space="preserve">- NDS:</w:t>
      </w:r>
      <w:r>
        <w:rPr>
          <w:rFonts w:ascii="Arial" w:cs="Arial" w:eastAsia="Arial" w:hAnsi="Arial"/>
          <w:sz w:val="20"/>
          <w:szCs w:val="20"/>
        </w:rPr>
        <w:t xml:space="preserve"> 100 mg/m³</w:t>
      </w:r>
    </w:p>
    <w:p>
      <w:pPr>
        <w:spacing w:after="60" w:before="60"/>
      </w:pPr>
      <w:r>
        <w:rPr>
          <w:rFonts w:ascii="Arial" w:cs="Arial" w:eastAsia="Arial" w:hAnsi="Arial"/>
          <w:b/>
          <w:bCs/>
          <w:sz w:val="20"/>
          <w:szCs w:val="20"/>
        </w:rPr>
        <w:t xml:space="preserve">- NDSCh:</w:t>
      </w:r>
      <w:r>
        <w:rPr>
          <w:rFonts w:ascii="Arial" w:cs="Arial" w:eastAsia="Arial" w:hAnsi="Arial"/>
          <w:sz w:val="20"/>
          <w:szCs w:val="20"/>
        </w:rPr>
        <w:t xml:space="preserve"> 200 mg/m³</w:t>
      </w:r>
    </w:p>
    <w:p>
      <w:pPr>
        <w:spacing w:after="60" w:before="60"/>
      </w:pPr>
      <w:r>
        <w:rPr>
          <w:rFonts w:ascii="Arial" w:cs="Arial" w:eastAsia="Arial" w:hAnsi="Arial"/>
          <w:b/>
          <w:bCs/>
          <w:sz w:val="20"/>
          <w:szCs w:val="20"/>
        </w:rPr>
        <w:t xml:space="preserve">- Uwagi:</w:t>
      </w:r>
      <w:r>
        <w:rPr>
          <w:rFonts w:ascii="Arial" w:cs="Arial" w:eastAsia="Arial" w:hAnsi="Arial"/>
          <w:sz w:val="20"/>
          <w:szCs w:val="20"/>
        </w:rPr>
        <w:t xml:space="preserve"> oznakowanie substancji notacją „skóra”</w:t>
      </w:r>
    </w:p>
    <w:p>
      <w:pPr>
        <w:spacing w:after="80"/>
      </w:pPr>
      <w:r>
        <w:rPr>
          <w:rFonts w:ascii="Arial" w:cs="Arial" w:eastAsia="Arial" w:hAnsi="Arial"/>
          <w:sz w:val="20"/>
          <w:szCs w:val="20"/>
        </w:rPr>
        <w:t xml:space="preserve">Fenol [CAS: 108-95-2]:</w:t>
      </w:r>
    </w:p>
    <w:p>
      <w:pPr>
        <w:spacing w:after="60" w:before="60"/>
      </w:pPr>
      <w:r>
        <w:rPr>
          <w:rFonts w:ascii="Arial" w:cs="Arial" w:eastAsia="Arial" w:hAnsi="Arial"/>
          <w:b/>
          <w:bCs/>
          <w:sz w:val="20"/>
          <w:szCs w:val="20"/>
        </w:rPr>
        <w:t xml:space="preserve">- NDS:</w:t>
      </w:r>
      <w:r>
        <w:rPr>
          <w:rFonts w:ascii="Arial" w:cs="Arial" w:eastAsia="Arial" w:hAnsi="Arial"/>
          <w:sz w:val="20"/>
          <w:szCs w:val="20"/>
        </w:rPr>
        <w:t xml:space="preserve"> 7,8 mg/m³</w:t>
      </w:r>
    </w:p>
    <w:p>
      <w:pPr>
        <w:spacing w:after="60" w:before="60"/>
      </w:pPr>
      <w:r>
        <w:rPr>
          <w:rFonts w:ascii="Arial" w:cs="Arial" w:eastAsia="Arial" w:hAnsi="Arial"/>
          <w:b/>
          <w:bCs/>
          <w:sz w:val="20"/>
          <w:szCs w:val="20"/>
        </w:rPr>
        <w:t xml:space="preserve">- NDSCh:</w:t>
      </w:r>
      <w:r>
        <w:rPr>
          <w:rFonts w:ascii="Arial" w:cs="Arial" w:eastAsia="Arial" w:hAnsi="Arial"/>
          <w:sz w:val="20"/>
          <w:szCs w:val="20"/>
        </w:rPr>
        <w:t xml:space="preserve"> 16 mg/m³</w:t>
      </w:r>
    </w:p>
    <w:p>
      <w:pPr>
        <w:spacing w:after="60" w:before="60"/>
      </w:pPr>
      <w:r>
        <w:rPr>
          <w:rFonts w:ascii="Arial" w:cs="Arial" w:eastAsia="Arial" w:hAnsi="Arial"/>
          <w:b/>
          <w:bCs/>
          <w:sz w:val="20"/>
          <w:szCs w:val="20"/>
        </w:rPr>
        <w:t xml:space="preserve">- Uwagi:</w:t>
      </w:r>
      <w:r>
        <w:rPr>
          <w:rFonts w:ascii="Arial" w:cs="Arial" w:eastAsia="Arial" w:hAnsi="Arial"/>
          <w:sz w:val="20"/>
          <w:szCs w:val="20"/>
        </w:rPr>
        <w:t xml:space="preserve"> oznakowanie substancji notacją „skóra”</w:t>
      </w:r>
    </w:p>
    <w:p>
      <w:pPr>
        <w:spacing w:after="80" w:before="150"/>
      </w:pPr>
      <w:r>
        <w:rPr>
          <w:rFonts w:ascii="Arial" w:cs="Arial" w:eastAsia="Arial" w:hAnsi="Arial"/>
          <w:b/>
          <w:bCs/>
          <w:sz w:val="20"/>
          <w:szCs w:val="20"/>
        </w:rPr>
        <w:t xml:space="preserve">Wspólnotowe i zagraniczne dopuszczalne wartości narażenia zawodowego (OEL):</w:t>
      </w:r>
    </w:p>
    <w:p>
      <w:pPr>
        <w:spacing w:after="80" w:before="150"/>
      </w:pPr>
      <w:r>
        <w:rPr>
          <w:rFonts w:ascii="Arial" w:cs="Arial" w:eastAsia="Arial" w:hAnsi="Arial"/>
          <w:b/>
          <w:bCs/>
          <w:sz w:val="20"/>
          <w:szCs w:val="20"/>
        </w:rPr>
        <w:t xml:space="preserve">Etanol (CAS: 64-17-5):</w:t>
      </w:r>
    </w:p>
    <w:p>
      <w:pPr>
        <w:spacing w:after="80"/>
      </w:pPr>
      <w:r>
        <w:rPr>
          <w:rFonts w:ascii="Arial" w:cs="Arial" w:eastAsia="Arial" w:hAnsi="Arial"/>
          <w:sz w:val="20"/>
          <w:szCs w:val="20"/>
        </w:rPr>
        <w:t xml:space="preserve">Niemcy (AGW) / Austria (MAK): 380 mg/m³ (200 ppm) / 960 mg/m³ (500 ppm).</w:t>
      </w:r>
    </w:p>
    <w:p>
      <w:pPr>
        <w:spacing w:after="80"/>
      </w:pPr>
      <w:r>
        <w:rPr>
          <w:rFonts w:ascii="Arial" w:cs="Arial" w:eastAsia="Arial" w:hAnsi="Arial"/>
          <w:sz w:val="20"/>
          <w:szCs w:val="20"/>
        </w:rPr>
        <w:t xml:space="preserve">Pochodne poziomy niepowodujące zmian (DNEL) oraz Przewidywane stężenia niepowodujące zmian w środowisku (PNEC):</w:t>
      </w:r>
    </w:p>
    <w:p>
      <w:pPr>
        <w:spacing w:after="80"/>
      </w:pPr>
      <w:r>
        <w:rPr>
          <w:rFonts w:ascii="Arial" w:cs="Arial" w:eastAsia="Arial" w:hAnsi="Arial"/>
          <w:sz w:val="20"/>
          <w:szCs w:val="20"/>
        </w:rPr>
        <w:t xml:space="preserve">Substancja: etanol [CAS: 64-17-5]</w:t>
      </w:r>
    </w:p>
    <w:p>
      <w:pPr>
        <w:spacing w:after="80"/>
      </w:pPr>
      <w:r>
        <w:rPr>
          <w:rFonts w:ascii="Arial" w:cs="Arial" w:eastAsia="Arial" w:hAnsi="Arial"/>
          <w:sz w:val="20"/>
          <w:szCs w:val="20"/>
        </w:rPr>
        <w:t xml:space="preserve">Pochodne poziomy niepowodujące zmian (DNEL):</w:t>
      </w:r>
    </w:p>
    <w:p>
      <w:pPr>
        <w:spacing w:after="60" w:before="60"/>
      </w:pPr>
      <w:r>
        <w:rPr>
          <w:rFonts w:ascii="Arial" w:cs="Arial" w:eastAsia="Arial" w:hAnsi="Arial"/>
          <w:b/>
          <w:bCs/>
          <w:sz w:val="20"/>
          <w:szCs w:val="20"/>
        </w:rPr>
        <w:t xml:space="preserve">- Droga pokarmowa (doustnie):</w:t>
      </w:r>
      <w:r>
        <w:rPr>
          <w:rFonts w:ascii="Arial" w:cs="Arial" w:eastAsia="Arial" w:hAnsi="Arial"/>
          <w:sz w:val="20"/>
          <w:szCs w:val="20"/>
        </w:rPr>
        <w:t xml:space="preserve"> Konsumenci (skutki przewlekłe układowe): 87 mg/kg mc/dzień</w:t>
      </w:r>
    </w:p>
    <w:p>
      <w:pPr>
        <w:spacing w:after="60" w:before="60"/>
      </w:pPr>
      <w:r>
        <w:rPr>
          <w:rFonts w:ascii="Arial" w:cs="Arial" w:eastAsia="Arial" w:hAnsi="Arial"/>
          <w:b/>
          <w:bCs/>
          <w:sz w:val="20"/>
          <w:szCs w:val="20"/>
        </w:rPr>
        <w:t xml:space="preserve">- Drogi oddechowe (inhalacyjnie):</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114 mg/m³</w:t>
      </w:r>
    </w:p>
    <w:p>
      <w:pPr>
        <w:spacing w:after="60" w:before="60"/>
      </w:pPr>
      <w:r>
        <w:rPr>
          <w:rFonts w:ascii="Arial" w:cs="Arial" w:eastAsia="Arial" w:hAnsi="Arial"/>
          <w:b/>
          <w:bCs/>
          <w:sz w:val="20"/>
          <w:szCs w:val="20"/>
        </w:rPr>
        <w:t xml:space="preserve">* Pracownicy:</w:t>
      </w:r>
      <w:r>
        <w:rPr>
          <w:rFonts w:ascii="Arial" w:cs="Arial" w:eastAsia="Arial" w:hAnsi="Arial"/>
          <w:sz w:val="20"/>
          <w:szCs w:val="20"/>
        </w:rPr>
        <w:t xml:space="preserve"> skutki przewlekłe układowe: 950 mg/m³; skutki ostre miejscowe: 1900 mg/m³</w:t>
      </w:r>
    </w:p>
    <w:p>
      <w:pPr>
        <w:spacing w:after="60" w:before="60"/>
      </w:pPr>
      <w:r>
        <w:rPr>
          <w:rFonts w:ascii="Arial" w:cs="Arial" w:eastAsia="Arial" w:hAnsi="Arial"/>
          <w:b/>
          <w:bCs/>
          <w:sz w:val="20"/>
          <w:szCs w:val="20"/>
        </w:rPr>
        <w:t xml:space="preserve">- Na skórę:</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206 mg/kg mc/dzień</w:t>
      </w:r>
    </w:p>
    <w:p>
      <w:pPr>
        <w:spacing w:after="60" w:before="60"/>
      </w:pPr>
      <w:r>
        <w:rPr>
          <w:rFonts w:ascii="Arial" w:cs="Arial" w:eastAsia="Arial" w:hAnsi="Arial"/>
          <w:b/>
          <w:bCs/>
          <w:sz w:val="20"/>
          <w:szCs w:val="20"/>
        </w:rPr>
        <w:t xml:space="preserve">* Pracownicy (skutki przewlekłe układowe):</w:t>
      </w:r>
      <w:r>
        <w:rPr>
          <w:rFonts w:ascii="Arial" w:cs="Arial" w:eastAsia="Arial" w:hAnsi="Arial"/>
          <w:sz w:val="20"/>
          <w:szCs w:val="20"/>
        </w:rPr>
        <w:t xml:space="preserve"> 343 mg/kg mc/dzień</w:t>
      </w:r>
    </w:p>
    <w:p>
      <w:pPr>
        <w:spacing w:after="80"/>
      </w:pPr>
      <w:r>
        <w:rPr>
          <w:rFonts w:ascii="Arial" w:cs="Arial" w:eastAsia="Arial" w:hAnsi="Arial"/>
          <w:sz w:val="20"/>
          <w:szCs w:val="20"/>
        </w:rPr>
        <w:t xml:space="preserve">Przewidywane stężenia niepowodujące zmian w środowisku (PNEC):</w:t>
      </w:r>
    </w:p>
    <w:p>
      <w:pPr>
        <w:spacing w:after="60" w:before="60"/>
      </w:pPr>
      <w:r>
        <w:rPr>
          <w:rFonts w:ascii="Arial" w:cs="Arial" w:eastAsia="Arial" w:hAnsi="Arial"/>
          <w:b/>
          <w:bCs/>
          <w:sz w:val="20"/>
          <w:szCs w:val="20"/>
        </w:rPr>
        <w:t xml:space="preserve">- woda słodka:</w:t>
      </w:r>
      <w:r>
        <w:rPr>
          <w:rFonts w:ascii="Arial" w:cs="Arial" w:eastAsia="Arial" w:hAnsi="Arial"/>
          <w:sz w:val="20"/>
          <w:szCs w:val="20"/>
        </w:rPr>
        <w:t xml:space="preserve"> 0,96 mg/l</w:t>
      </w:r>
    </w:p>
    <w:p>
      <w:pPr>
        <w:spacing w:after="60" w:before="60"/>
      </w:pPr>
      <w:r>
        <w:rPr>
          <w:rFonts w:ascii="Arial" w:cs="Arial" w:eastAsia="Arial" w:hAnsi="Arial"/>
          <w:b/>
          <w:bCs/>
          <w:sz w:val="20"/>
          <w:szCs w:val="20"/>
        </w:rPr>
        <w:t xml:space="preserve">- woda morska:</w:t>
      </w:r>
      <w:r>
        <w:rPr>
          <w:rFonts w:ascii="Arial" w:cs="Arial" w:eastAsia="Arial" w:hAnsi="Arial"/>
          <w:sz w:val="20"/>
          <w:szCs w:val="20"/>
        </w:rPr>
        <w:t xml:space="preserve"> 0,79 mg/l</w:t>
      </w:r>
    </w:p>
    <w:p>
      <w:pPr>
        <w:spacing w:after="60" w:before="60"/>
      </w:pPr>
      <w:r>
        <w:rPr>
          <w:rFonts w:ascii="Arial" w:cs="Arial" w:eastAsia="Arial" w:hAnsi="Arial"/>
          <w:b/>
          <w:bCs/>
          <w:sz w:val="20"/>
          <w:szCs w:val="20"/>
        </w:rPr>
        <w:t xml:space="preserve">- osady słodkowodne:</w:t>
      </w:r>
      <w:r>
        <w:rPr>
          <w:rFonts w:ascii="Arial" w:cs="Arial" w:eastAsia="Arial" w:hAnsi="Arial"/>
          <w:sz w:val="20"/>
          <w:szCs w:val="20"/>
        </w:rPr>
        <w:t xml:space="preserve"> 3,6 mg/kg</w:t>
      </w:r>
    </w:p>
    <w:p>
      <w:pPr>
        <w:spacing w:after="60" w:before="60"/>
      </w:pPr>
      <w:r>
        <w:rPr>
          <w:rFonts w:ascii="Arial" w:cs="Arial" w:eastAsia="Arial" w:hAnsi="Arial"/>
          <w:b/>
          <w:bCs/>
          <w:sz w:val="20"/>
          <w:szCs w:val="20"/>
        </w:rPr>
        <w:t xml:space="preserve">- osady morskie:</w:t>
      </w:r>
      <w:r>
        <w:rPr>
          <w:rFonts w:ascii="Arial" w:cs="Arial" w:eastAsia="Arial" w:hAnsi="Arial"/>
          <w:sz w:val="20"/>
          <w:szCs w:val="20"/>
        </w:rPr>
        <w:t xml:space="preserve"> 2,9 mg/kg</w:t>
      </w:r>
    </w:p>
    <w:p>
      <w:pPr>
        <w:spacing w:after="60" w:before="60"/>
      </w:pPr>
      <w:r>
        <w:rPr>
          <w:rFonts w:ascii="Arial" w:cs="Arial" w:eastAsia="Arial" w:hAnsi="Arial"/>
          <w:b/>
          <w:bCs/>
          <w:sz w:val="20"/>
          <w:szCs w:val="20"/>
        </w:rPr>
        <w:t xml:space="preserve">- woda (uwalnianie okresowe):</w:t>
      </w:r>
      <w:r>
        <w:rPr>
          <w:rFonts w:ascii="Arial" w:cs="Arial" w:eastAsia="Arial" w:hAnsi="Arial"/>
          <w:sz w:val="20"/>
          <w:szCs w:val="20"/>
        </w:rPr>
        <w:t xml:space="preserve"> 2,75 mg/l</w:t>
      </w:r>
    </w:p>
    <w:p>
      <w:pPr>
        <w:spacing w:after="60" w:before="60"/>
      </w:pPr>
      <w:r>
        <w:rPr>
          <w:rFonts w:ascii="Arial" w:cs="Arial" w:eastAsia="Arial" w:hAnsi="Arial"/>
          <w:b/>
          <w:bCs/>
          <w:sz w:val="20"/>
          <w:szCs w:val="20"/>
        </w:rPr>
        <w:t xml:space="preserve">- mikroorganizmy w oczyszczalni ścieków (STP):</w:t>
      </w:r>
      <w:r>
        <w:rPr>
          <w:rFonts w:ascii="Arial" w:cs="Arial" w:eastAsia="Arial" w:hAnsi="Arial"/>
          <w:sz w:val="20"/>
          <w:szCs w:val="20"/>
        </w:rPr>
        <w:t xml:space="preserve"> 580 mg/l</w:t>
      </w:r>
    </w:p>
    <w:p>
      <w:pPr>
        <w:spacing w:after="60" w:before="60"/>
      </w:pPr>
      <w:r>
        <w:rPr>
          <w:rFonts w:ascii="Arial" w:cs="Arial" w:eastAsia="Arial" w:hAnsi="Arial"/>
          <w:b/>
          <w:bCs/>
          <w:sz w:val="20"/>
          <w:szCs w:val="20"/>
        </w:rPr>
        <w:t xml:space="preserve">- łańcuch pokarmowy (zatrucie wtórne):</w:t>
      </w:r>
      <w:r>
        <w:rPr>
          <w:rFonts w:ascii="Arial" w:cs="Arial" w:eastAsia="Arial" w:hAnsi="Arial"/>
          <w:sz w:val="20"/>
          <w:szCs w:val="20"/>
        </w:rPr>
        <w:t xml:space="preserve"> 0,38 mg/kg</w:t>
      </w:r>
    </w:p>
    <w:p>
      <w:pPr>
        <w:spacing w:after="60" w:before="60"/>
      </w:pPr>
      <w:r>
        <w:rPr>
          <w:rFonts w:ascii="Arial" w:cs="Arial" w:eastAsia="Arial" w:hAnsi="Arial"/>
          <w:b/>
          <w:bCs/>
          <w:sz w:val="20"/>
          <w:szCs w:val="20"/>
        </w:rPr>
        <w:t xml:space="preserve">- środowisko glebowe (gleba):</w:t>
      </w:r>
      <w:r>
        <w:rPr>
          <w:rFonts w:ascii="Arial" w:cs="Arial" w:eastAsia="Arial" w:hAnsi="Arial"/>
          <w:sz w:val="20"/>
          <w:szCs w:val="20"/>
        </w:rPr>
        <w:t xml:space="preserve"> 0,63 mg/kg</w:t>
      </w:r>
    </w:p>
    <w:p>
      <w:pPr>
        <w:spacing w:after="80"/>
      </w:pPr>
      <w:r>
        <w:rPr>
          <w:rFonts w:ascii="Arial" w:cs="Arial" w:eastAsia="Arial" w:hAnsi="Arial"/>
          <w:sz w:val="20"/>
          <w:szCs w:val="20"/>
        </w:rPr>
        <w:t xml:space="preserve">Substancja: octan 4-tert-butylocykloheksylu [CAS: 32210-23-4]</w:t>
      </w:r>
    </w:p>
    <w:p>
      <w:pPr>
        <w:spacing w:after="80"/>
      </w:pPr>
      <w:r>
        <w:rPr>
          <w:rFonts w:ascii="Arial" w:cs="Arial" w:eastAsia="Arial" w:hAnsi="Arial"/>
          <w:sz w:val="20"/>
          <w:szCs w:val="20"/>
        </w:rPr>
        <w:t xml:space="preserve">Przewidywane stężenia niepowodujące zmian w środowisku (PNEC):</w:t>
      </w:r>
    </w:p>
    <w:p>
      <w:pPr>
        <w:spacing w:after="60" w:before="60"/>
      </w:pPr>
      <w:r>
        <w:rPr>
          <w:rFonts w:ascii="Arial" w:cs="Arial" w:eastAsia="Arial" w:hAnsi="Arial"/>
          <w:b/>
          <w:bCs/>
          <w:sz w:val="20"/>
          <w:szCs w:val="20"/>
        </w:rPr>
        <w:t xml:space="preserve">- woda słodka:</w:t>
      </w:r>
      <w:r>
        <w:rPr>
          <w:rFonts w:ascii="Arial" w:cs="Arial" w:eastAsia="Arial" w:hAnsi="Arial"/>
          <w:sz w:val="20"/>
          <w:szCs w:val="20"/>
        </w:rPr>
        <w:t xml:space="preserve"> 0,0053 mg/l</w:t>
      </w:r>
    </w:p>
    <w:p>
      <w:pPr>
        <w:spacing w:after="60" w:before="60"/>
      </w:pPr>
      <w:r>
        <w:rPr>
          <w:rFonts w:ascii="Arial" w:cs="Arial" w:eastAsia="Arial" w:hAnsi="Arial"/>
          <w:b/>
          <w:bCs/>
          <w:sz w:val="20"/>
          <w:szCs w:val="20"/>
        </w:rPr>
        <w:t xml:space="preserve">- woda morska:</w:t>
      </w:r>
      <w:r>
        <w:rPr>
          <w:rFonts w:ascii="Arial" w:cs="Arial" w:eastAsia="Arial" w:hAnsi="Arial"/>
          <w:sz w:val="20"/>
          <w:szCs w:val="20"/>
        </w:rPr>
        <w:t xml:space="preserve"> 0,00053 mg/l</w:t>
      </w:r>
    </w:p>
    <w:p>
      <w:pPr>
        <w:spacing w:after="60" w:before="60"/>
      </w:pPr>
      <w:r>
        <w:rPr>
          <w:rFonts w:ascii="Arial" w:cs="Arial" w:eastAsia="Arial" w:hAnsi="Arial"/>
          <w:b/>
          <w:bCs/>
          <w:sz w:val="20"/>
          <w:szCs w:val="20"/>
        </w:rPr>
        <w:t xml:space="preserve">- osady słodkowodne:</w:t>
      </w:r>
      <w:r>
        <w:rPr>
          <w:rFonts w:ascii="Arial" w:cs="Arial" w:eastAsia="Arial" w:hAnsi="Arial"/>
          <w:sz w:val="20"/>
          <w:szCs w:val="20"/>
        </w:rPr>
        <w:t xml:space="preserve"> 2,01 mg/kg</w:t>
      </w:r>
    </w:p>
    <w:p>
      <w:pPr>
        <w:spacing w:after="60" w:before="60"/>
      </w:pPr>
      <w:r>
        <w:rPr>
          <w:rFonts w:ascii="Arial" w:cs="Arial" w:eastAsia="Arial" w:hAnsi="Arial"/>
          <w:b/>
          <w:bCs/>
          <w:sz w:val="20"/>
          <w:szCs w:val="20"/>
        </w:rPr>
        <w:t xml:space="preserve">- osady morskie:</w:t>
      </w:r>
      <w:r>
        <w:rPr>
          <w:rFonts w:ascii="Arial" w:cs="Arial" w:eastAsia="Arial" w:hAnsi="Arial"/>
          <w:sz w:val="20"/>
          <w:szCs w:val="20"/>
        </w:rPr>
        <w:t xml:space="preserve"> 0,21 mg/kg</w:t>
      </w:r>
    </w:p>
    <w:p>
      <w:pPr>
        <w:spacing w:after="60" w:before="60"/>
      </w:pPr>
      <w:r>
        <w:rPr>
          <w:rFonts w:ascii="Arial" w:cs="Arial" w:eastAsia="Arial" w:hAnsi="Arial"/>
          <w:b/>
          <w:bCs/>
          <w:sz w:val="20"/>
          <w:szCs w:val="20"/>
        </w:rPr>
        <w:t xml:space="preserve">- woda (uwalnianie okresowe):</w:t>
      </w:r>
      <w:r>
        <w:rPr>
          <w:rFonts w:ascii="Arial" w:cs="Arial" w:eastAsia="Arial" w:hAnsi="Arial"/>
          <w:sz w:val="20"/>
          <w:szCs w:val="20"/>
        </w:rPr>
        <w:t xml:space="preserve"> 0,053 mg/l</w:t>
      </w:r>
    </w:p>
    <w:p>
      <w:pPr>
        <w:spacing w:after="60" w:before="60"/>
      </w:pPr>
      <w:r>
        <w:rPr>
          <w:rFonts w:ascii="Arial" w:cs="Arial" w:eastAsia="Arial" w:hAnsi="Arial"/>
          <w:b/>
          <w:bCs/>
          <w:sz w:val="20"/>
          <w:szCs w:val="20"/>
        </w:rPr>
        <w:t xml:space="preserve">- mikroorganizmy w oczyszczalni ścieków (STP):</w:t>
      </w:r>
      <w:r>
        <w:rPr>
          <w:rFonts w:ascii="Arial" w:cs="Arial" w:eastAsia="Arial" w:hAnsi="Arial"/>
          <w:sz w:val="20"/>
          <w:szCs w:val="20"/>
        </w:rPr>
        <w:t xml:space="preserve"> 12,2 mg/l</w:t>
      </w:r>
    </w:p>
    <w:p>
      <w:pPr>
        <w:spacing w:after="60" w:before="60"/>
      </w:pPr>
      <w:r>
        <w:rPr>
          <w:rFonts w:ascii="Arial" w:cs="Arial" w:eastAsia="Arial" w:hAnsi="Arial"/>
          <w:b/>
          <w:bCs/>
          <w:sz w:val="20"/>
          <w:szCs w:val="20"/>
        </w:rPr>
        <w:t xml:space="preserve">- łańcuch pokarmowy (zatrucie wtórne):</w:t>
      </w:r>
      <w:r>
        <w:rPr>
          <w:rFonts w:ascii="Arial" w:cs="Arial" w:eastAsia="Arial" w:hAnsi="Arial"/>
          <w:sz w:val="20"/>
          <w:szCs w:val="20"/>
        </w:rPr>
        <w:t xml:space="preserve"> 66,67 mg/kg</w:t>
      </w:r>
    </w:p>
    <w:p>
      <w:pPr>
        <w:spacing w:after="60" w:before="60"/>
      </w:pPr>
      <w:r>
        <w:rPr>
          <w:rFonts w:ascii="Arial" w:cs="Arial" w:eastAsia="Arial" w:hAnsi="Arial"/>
          <w:b/>
          <w:bCs/>
          <w:sz w:val="20"/>
          <w:szCs w:val="20"/>
        </w:rPr>
        <w:t xml:space="preserve">- środowisko glebowe (gleba):</w:t>
      </w:r>
      <w:r>
        <w:rPr>
          <w:rFonts w:ascii="Arial" w:cs="Arial" w:eastAsia="Arial" w:hAnsi="Arial"/>
          <w:sz w:val="20"/>
          <w:szCs w:val="20"/>
        </w:rPr>
        <w:t xml:space="preserve"> 0,42 mg/kg</w:t>
      </w:r>
    </w:p>
    <w:p>
      <w:pPr>
        <w:spacing w:after="80"/>
      </w:pPr>
      <w:r>
        <w:rPr>
          <w:rFonts w:ascii="Arial" w:cs="Arial" w:eastAsia="Arial" w:hAnsi="Arial"/>
          <w:sz w:val="20"/>
          <w:szCs w:val="20"/>
        </w:rPr>
        <w:t xml:space="preserve">Substancja: (2-metoksymetyloetoksy)propanol [CAS: 34590-94-8]</w:t>
      </w:r>
    </w:p>
    <w:p>
      <w:pPr>
        <w:spacing w:after="80"/>
      </w:pPr>
      <w:r>
        <w:rPr>
          <w:rFonts w:ascii="Arial" w:cs="Arial" w:eastAsia="Arial" w:hAnsi="Arial"/>
          <w:sz w:val="20"/>
          <w:szCs w:val="20"/>
        </w:rPr>
        <w:t xml:space="preserve">Pochodne poziomy niepowodujące zmian (DNEL):</w:t>
      </w:r>
    </w:p>
    <w:p>
      <w:pPr>
        <w:spacing w:after="60" w:before="60"/>
      </w:pPr>
      <w:r>
        <w:rPr>
          <w:rFonts w:ascii="Arial" w:cs="Arial" w:eastAsia="Arial" w:hAnsi="Arial"/>
          <w:b/>
          <w:bCs/>
          <w:sz w:val="20"/>
          <w:szCs w:val="20"/>
        </w:rPr>
        <w:t xml:space="preserve">- Droga pokarmowa (doustnie):</w:t>
      </w:r>
      <w:r>
        <w:rPr>
          <w:rFonts w:ascii="Arial" w:cs="Arial" w:eastAsia="Arial" w:hAnsi="Arial"/>
          <w:sz w:val="20"/>
          <w:szCs w:val="20"/>
        </w:rPr>
        <w:t xml:space="preserve"> Konsumenci (skutki przewlekłe układowe): 36 mg/kg mc/dzień</w:t>
      </w:r>
    </w:p>
    <w:p>
      <w:pPr>
        <w:spacing w:after="60" w:before="60"/>
      </w:pPr>
      <w:r>
        <w:rPr>
          <w:rFonts w:ascii="Arial" w:cs="Arial" w:eastAsia="Arial" w:hAnsi="Arial"/>
          <w:b/>
          <w:bCs/>
          <w:sz w:val="20"/>
          <w:szCs w:val="20"/>
        </w:rPr>
        <w:t xml:space="preserve">- Drogi oddechowe (inhalacyjnie):</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37,2 mg/m³</w:t>
      </w:r>
    </w:p>
    <w:p>
      <w:pPr>
        <w:spacing w:after="60" w:before="60"/>
      </w:pPr>
      <w:r>
        <w:rPr>
          <w:rFonts w:ascii="Arial" w:cs="Arial" w:eastAsia="Arial" w:hAnsi="Arial"/>
          <w:b/>
          <w:bCs/>
          <w:sz w:val="20"/>
          <w:szCs w:val="20"/>
        </w:rPr>
        <w:t xml:space="preserve">* Pracownicy (skutki przewlekłe układowe):</w:t>
      </w:r>
      <w:r>
        <w:rPr>
          <w:rFonts w:ascii="Arial" w:cs="Arial" w:eastAsia="Arial" w:hAnsi="Arial"/>
          <w:sz w:val="20"/>
          <w:szCs w:val="20"/>
        </w:rPr>
        <w:t xml:space="preserve"> 308 mg/m³</w:t>
      </w:r>
    </w:p>
    <w:p>
      <w:pPr>
        <w:spacing w:after="60" w:before="60"/>
      </w:pPr>
      <w:r>
        <w:rPr>
          <w:rFonts w:ascii="Arial" w:cs="Arial" w:eastAsia="Arial" w:hAnsi="Arial"/>
          <w:b/>
          <w:bCs/>
          <w:sz w:val="20"/>
          <w:szCs w:val="20"/>
        </w:rPr>
        <w:t xml:space="preserve">- Na skórę:</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121 mg/kg mc/dzień</w:t>
      </w:r>
    </w:p>
    <w:p>
      <w:pPr>
        <w:spacing w:after="60" w:before="60"/>
      </w:pPr>
      <w:r>
        <w:rPr>
          <w:rFonts w:ascii="Arial" w:cs="Arial" w:eastAsia="Arial" w:hAnsi="Arial"/>
          <w:b/>
          <w:bCs/>
          <w:sz w:val="20"/>
          <w:szCs w:val="20"/>
        </w:rPr>
        <w:t xml:space="preserve">* Pracownicy (skutki przewlekłe układowe):</w:t>
      </w:r>
      <w:r>
        <w:rPr>
          <w:rFonts w:ascii="Arial" w:cs="Arial" w:eastAsia="Arial" w:hAnsi="Arial"/>
          <w:sz w:val="20"/>
          <w:szCs w:val="20"/>
        </w:rPr>
        <w:t xml:space="preserve"> 283 mg/kg mc/dzień</w:t>
      </w:r>
    </w:p>
    <w:p>
      <w:pPr>
        <w:spacing w:after="80"/>
      </w:pPr>
      <w:r>
        <w:rPr>
          <w:rFonts w:ascii="Arial" w:cs="Arial" w:eastAsia="Arial" w:hAnsi="Arial"/>
          <w:sz w:val="20"/>
          <w:szCs w:val="20"/>
        </w:rPr>
        <w:t xml:space="preserve">Przewidywane stężenia niepowodujące zmian w środowisku (PNEC):</w:t>
      </w:r>
    </w:p>
    <w:p>
      <w:pPr>
        <w:spacing w:after="60" w:before="60"/>
      </w:pPr>
      <w:r>
        <w:rPr>
          <w:rFonts w:ascii="Arial" w:cs="Arial" w:eastAsia="Arial" w:hAnsi="Arial"/>
          <w:b/>
          <w:bCs/>
          <w:sz w:val="20"/>
          <w:szCs w:val="20"/>
        </w:rPr>
        <w:t xml:space="preserve">- woda słodka:</w:t>
      </w:r>
      <w:r>
        <w:rPr>
          <w:rFonts w:ascii="Arial" w:cs="Arial" w:eastAsia="Arial" w:hAnsi="Arial"/>
          <w:sz w:val="20"/>
          <w:szCs w:val="20"/>
        </w:rPr>
        <w:t xml:space="preserve"> 19 mg/l</w:t>
      </w:r>
    </w:p>
    <w:p>
      <w:pPr>
        <w:spacing w:after="60" w:before="60"/>
      </w:pPr>
      <w:r>
        <w:rPr>
          <w:rFonts w:ascii="Arial" w:cs="Arial" w:eastAsia="Arial" w:hAnsi="Arial"/>
          <w:b/>
          <w:bCs/>
          <w:sz w:val="20"/>
          <w:szCs w:val="20"/>
        </w:rPr>
        <w:t xml:space="preserve">- woda morska:</w:t>
      </w:r>
      <w:r>
        <w:rPr>
          <w:rFonts w:ascii="Arial" w:cs="Arial" w:eastAsia="Arial" w:hAnsi="Arial"/>
          <w:sz w:val="20"/>
          <w:szCs w:val="20"/>
        </w:rPr>
        <w:t xml:space="preserve"> 1,9 mg/l</w:t>
      </w:r>
    </w:p>
    <w:p>
      <w:pPr>
        <w:spacing w:after="60" w:before="60"/>
      </w:pPr>
      <w:r>
        <w:rPr>
          <w:rFonts w:ascii="Arial" w:cs="Arial" w:eastAsia="Arial" w:hAnsi="Arial"/>
          <w:b/>
          <w:bCs/>
          <w:sz w:val="20"/>
          <w:szCs w:val="20"/>
        </w:rPr>
        <w:t xml:space="preserve">- osady słodkowodne:</w:t>
      </w:r>
      <w:r>
        <w:rPr>
          <w:rFonts w:ascii="Arial" w:cs="Arial" w:eastAsia="Arial" w:hAnsi="Arial"/>
          <w:sz w:val="20"/>
          <w:szCs w:val="20"/>
        </w:rPr>
        <w:t xml:space="preserve"> 70,2 mg/kg</w:t>
      </w:r>
    </w:p>
    <w:p>
      <w:pPr>
        <w:spacing w:after="60" w:before="60"/>
      </w:pPr>
      <w:r>
        <w:rPr>
          <w:rFonts w:ascii="Arial" w:cs="Arial" w:eastAsia="Arial" w:hAnsi="Arial"/>
          <w:b/>
          <w:bCs/>
          <w:sz w:val="20"/>
          <w:szCs w:val="20"/>
        </w:rPr>
        <w:t xml:space="preserve">- osady morskie:</w:t>
      </w:r>
      <w:r>
        <w:rPr>
          <w:rFonts w:ascii="Arial" w:cs="Arial" w:eastAsia="Arial" w:hAnsi="Arial"/>
          <w:sz w:val="20"/>
          <w:szCs w:val="20"/>
        </w:rPr>
        <w:t xml:space="preserve"> 7,02 mg/kg</w:t>
      </w:r>
    </w:p>
    <w:p>
      <w:pPr>
        <w:spacing w:after="60" w:before="60"/>
      </w:pPr>
      <w:r>
        <w:rPr>
          <w:rFonts w:ascii="Arial" w:cs="Arial" w:eastAsia="Arial" w:hAnsi="Arial"/>
          <w:b/>
          <w:bCs/>
          <w:sz w:val="20"/>
          <w:szCs w:val="20"/>
        </w:rPr>
        <w:t xml:space="preserve">- woda (uwalnianie okresowe):</w:t>
      </w:r>
      <w:r>
        <w:rPr>
          <w:rFonts w:ascii="Arial" w:cs="Arial" w:eastAsia="Arial" w:hAnsi="Arial"/>
          <w:sz w:val="20"/>
          <w:szCs w:val="20"/>
        </w:rPr>
        <w:t xml:space="preserve"> 190 mg/l</w:t>
      </w:r>
    </w:p>
    <w:p>
      <w:pPr>
        <w:spacing w:after="60" w:before="60"/>
      </w:pPr>
      <w:r>
        <w:rPr>
          <w:rFonts w:ascii="Arial" w:cs="Arial" w:eastAsia="Arial" w:hAnsi="Arial"/>
          <w:b/>
          <w:bCs/>
          <w:sz w:val="20"/>
          <w:szCs w:val="20"/>
        </w:rPr>
        <w:t xml:space="preserve">- mikroorganizmy w oczyszczalni ścieków (STP):</w:t>
      </w:r>
      <w:r>
        <w:rPr>
          <w:rFonts w:ascii="Arial" w:cs="Arial" w:eastAsia="Arial" w:hAnsi="Arial"/>
          <w:sz w:val="20"/>
          <w:szCs w:val="20"/>
        </w:rPr>
        <w:t xml:space="preserve"> 4168 mg/l</w:t>
      </w:r>
    </w:p>
    <w:p>
      <w:pPr>
        <w:spacing w:after="60" w:before="60"/>
      </w:pPr>
      <w:r>
        <w:rPr>
          <w:rFonts w:ascii="Arial" w:cs="Arial" w:eastAsia="Arial" w:hAnsi="Arial"/>
          <w:b/>
          <w:bCs/>
          <w:sz w:val="20"/>
          <w:szCs w:val="20"/>
        </w:rPr>
        <w:t xml:space="preserve">- środowisko glebowe (gleba):</w:t>
      </w:r>
      <w:r>
        <w:rPr>
          <w:rFonts w:ascii="Arial" w:cs="Arial" w:eastAsia="Arial" w:hAnsi="Arial"/>
          <w:sz w:val="20"/>
          <w:szCs w:val="20"/>
        </w:rPr>
        <w:t xml:space="preserve"> 2,74 mg/kg</w:t>
      </w:r>
    </w:p>
    <w:p>
      <w:pPr>
        <w:spacing w:after="80"/>
      </w:pPr>
      <w:r>
        <w:rPr>
          <w:rFonts w:ascii="Arial" w:cs="Arial" w:eastAsia="Arial" w:hAnsi="Arial"/>
          <w:sz w:val="20"/>
          <w:szCs w:val="20"/>
        </w:rPr>
        <w:t xml:space="preserve">Substancja: Masa poreakcyjna salicylanu 2-metylobutylu i salicylanu pentylu</w:t>
      </w:r>
    </w:p>
    <w:p>
      <w:pPr>
        <w:spacing w:after="80"/>
      </w:pPr>
      <w:r>
        <w:rPr>
          <w:rFonts w:ascii="Arial" w:cs="Arial" w:eastAsia="Arial" w:hAnsi="Arial"/>
          <w:sz w:val="20"/>
          <w:szCs w:val="20"/>
        </w:rPr>
        <w:t xml:space="preserve">Pochodne poziomy niepowodujące zmian (DNEL):</w:t>
      </w:r>
    </w:p>
    <w:p>
      <w:pPr>
        <w:spacing w:after="60" w:before="60"/>
      </w:pPr>
      <w:r>
        <w:rPr>
          <w:rFonts w:ascii="Arial" w:cs="Arial" w:eastAsia="Arial" w:hAnsi="Arial"/>
          <w:b/>
          <w:bCs/>
          <w:sz w:val="20"/>
          <w:szCs w:val="20"/>
        </w:rPr>
        <w:t xml:space="preserve">- Droga pokarmowa (doustnie):</w:t>
      </w:r>
      <w:r>
        <w:rPr>
          <w:rFonts w:ascii="Arial" w:cs="Arial" w:eastAsia="Arial" w:hAnsi="Arial"/>
          <w:sz w:val="20"/>
          <w:szCs w:val="20"/>
        </w:rPr>
        <w:t xml:space="preserve"> Konsumenci (skutki przewlekłe układowe): 0,45 mg/kg mc/dzień</w:t>
      </w:r>
    </w:p>
    <w:p>
      <w:pPr>
        <w:spacing w:after="60" w:before="60"/>
      </w:pPr>
      <w:r>
        <w:rPr>
          <w:rFonts w:ascii="Arial" w:cs="Arial" w:eastAsia="Arial" w:hAnsi="Arial"/>
          <w:b/>
          <w:bCs/>
          <w:sz w:val="20"/>
          <w:szCs w:val="20"/>
        </w:rPr>
        <w:t xml:space="preserve">- Drogi oddechowe (inhalacyjnie):</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0,78 mg/m³</w:t>
      </w:r>
    </w:p>
    <w:p>
      <w:pPr>
        <w:spacing w:after="60" w:before="60"/>
      </w:pPr>
      <w:r>
        <w:rPr>
          <w:rFonts w:ascii="Arial" w:cs="Arial" w:eastAsia="Arial" w:hAnsi="Arial"/>
          <w:b/>
          <w:bCs/>
          <w:sz w:val="20"/>
          <w:szCs w:val="20"/>
        </w:rPr>
        <w:t xml:space="preserve">* Pracownicy (skutki przewlekłe układowe):</w:t>
      </w:r>
      <w:r>
        <w:rPr>
          <w:rFonts w:ascii="Arial" w:cs="Arial" w:eastAsia="Arial" w:hAnsi="Arial"/>
          <w:sz w:val="20"/>
          <w:szCs w:val="20"/>
        </w:rPr>
        <w:t xml:space="preserve"> 3,17 mg/m³</w:t>
      </w:r>
    </w:p>
    <w:p>
      <w:pPr>
        <w:spacing w:after="60" w:before="60"/>
      </w:pPr>
      <w:r>
        <w:rPr>
          <w:rFonts w:ascii="Arial" w:cs="Arial" w:eastAsia="Arial" w:hAnsi="Arial"/>
          <w:b/>
          <w:bCs/>
          <w:sz w:val="20"/>
          <w:szCs w:val="20"/>
        </w:rPr>
        <w:t xml:space="preserve">- Na skórę:</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0,45 mg/kg mc/dzień</w:t>
      </w:r>
    </w:p>
    <w:p>
      <w:pPr>
        <w:spacing w:after="60" w:before="60"/>
      </w:pPr>
      <w:r>
        <w:rPr>
          <w:rFonts w:ascii="Arial" w:cs="Arial" w:eastAsia="Arial" w:hAnsi="Arial"/>
          <w:b/>
          <w:bCs/>
          <w:sz w:val="20"/>
          <w:szCs w:val="20"/>
        </w:rPr>
        <w:t xml:space="preserve">* Pracownicy (skutki przewlekłe układowe):</w:t>
      </w:r>
      <w:r>
        <w:rPr>
          <w:rFonts w:ascii="Arial" w:cs="Arial" w:eastAsia="Arial" w:hAnsi="Arial"/>
          <w:sz w:val="20"/>
          <w:szCs w:val="20"/>
        </w:rPr>
        <w:t xml:space="preserve"> 0,9 mg/kg mc/dzień</w:t>
      </w:r>
    </w:p>
    <w:p>
      <w:pPr>
        <w:spacing w:after="80"/>
      </w:pPr>
      <w:r>
        <w:rPr>
          <w:rFonts w:ascii="Arial" w:cs="Arial" w:eastAsia="Arial" w:hAnsi="Arial"/>
          <w:sz w:val="20"/>
          <w:szCs w:val="20"/>
        </w:rPr>
        <w:t xml:space="preserve">Przewidywane stężenia niepowodujące zmian w środowisku (PNEC):</w:t>
      </w:r>
    </w:p>
    <w:p>
      <w:pPr>
        <w:spacing w:after="60" w:before="60"/>
      </w:pPr>
      <w:r>
        <w:rPr>
          <w:rFonts w:ascii="Arial" w:cs="Arial" w:eastAsia="Arial" w:hAnsi="Arial"/>
          <w:b/>
          <w:bCs/>
          <w:sz w:val="20"/>
          <w:szCs w:val="20"/>
        </w:rPr>
        <w:t xml:space="preserve">- woda słodka:</w:t>
      </w:r>
      <w:r>
        <w:rPr>
          <w:rFonts w:ascii="Arial" w:cs="Arial" w:eastAsia="Arial" w:hAnsi="Arial"/>
          <w:sz w:val="20"/>
          <w:szCs w:val="20"/>
        </w:rPr>
        <w:t xml:space="preserve"> 0,00077 mg/l</w:t>
      </w:r>
    </w:p>
    <w:p>
      <w:pPr>
        <w:spacing w:after="60" w:before="60"/>
      </w:pPr>
      <w:r>
        <w:rPr>
          <w:rFonts w:ascii="Arial" w:cs="Arial" w:eastAsia="Arial" w:hAnsi="Arial"/>
          <w:b/>
          <w:bCs/>
          <w:sz w:val="20"/>
          <w:szCs w:val="20"/>
        </w:rPr>
        <w:t xml:space="preserve">- woda morska:</w:t>
      </w:r>
      <w:r>
        <w:rPr>
          <w:rFonts w:ascii="Arial" w:cs="Arial" w:eastAsia="Arial" w:hAnsi="Arial"/>
          <w:sz w:val="20"/>
          <w:szCs w:val="20"/>
        </w:rPr>
        <w:t xml:space="preserve"> 0,000077 mg/l</w:t>
      </w:r>
    </w:p>
    <w:p>
      <w:pPr>
        <w:spacing w:after="60" w:before="60"/>
      </w:pPr>
      <w:r>
        <w:rPr>
          <w:rFonts w:ascii="Arial" w:cs="Arial" w:eastAsia="Arial" w:hAnsi="Arial"/>
          <w:b/>
          <w:bCs/>
          <w:sz w:val="20"/>
          <w:szCs w:val="20"/>
        </w:rPr>
        <w:t xml:space="preserve">- osady słodkowodne:</w:t>
      </w:r>
      <w:r>
        <w:rPr>
          <w:rFonts w:ascii="Arial" w:cs="Arial" w:eastAsia="Arial" w:hAnsi="Arial"/>
          <w:sz w:val="20"/>
          <w:szCs w:val="20"/>
        </w:rPr>
        <w:t xml:space="preserve"> 0,389 mg/kg</w:t>
      </w:r>
    </w:p>
    <w:p>
      <w:pPr>
        <w:spacing w:after="60" w:before="60"/>
      </w:pPr>
      <w:r>
        <w:rPr>
          <w:rFonts w:ascii="Arial" w:cs="Arial" w:eastAsia="Arial" w:hAnsi="Arial"/>
          <w:b/>
          <w:bCs/>
          <w:sz w:val="20"/>
          <w:szCs w:val="20"/>
        </w:rPr>
        <w:t xml:space="preserve">- osady morskie:</w:t>
      </w:r>
      <w:r>
        <w:rPr>
          <w:rFonts w:ascii="Arial" w:cs="Arial" w:eastAsia="Arial" w:hAnsi="Arial"/>
          <w:sz w:val="20"/>
          <w:szCs w:val="20"/>
        </w:rPr>
        <w:t xml:space="preserve"> 0,039 mg/kg</w:t>
      </w:r>
    </w:p>
    <w:p>
      <w:pPr>
        <w:spacing w:after="60" w:before="60"/>
      </w:pPr>
      <w:r>
        <w:rPr>
          <w:rFonts w:ascii="Arial" w:cs="Arial" w:eastAsia="Arial" w:hAnsi="Arial"/>
          <w:b/>
          <w:bCs/>
          <w:sz w:val="20"/>
          <w:szCs w:val="20"/>
        </w:rPr>
        <w:t xml:space="preserve">- woda (uwalnianie okresowe):</w:t>
      </w:r>
      <w:r>
        <w:rPr>
          <w:rFonts w:ascii="Arial" w:cs="Arial" w:eastAsia="Arial" w:hAnsi="Arial"/>
          <w:sz w:val="20"/>
          <w:szCs w:val="20"/>
        </w:rPr>
        <w:t xml:space="preserve"> 0,0077 mg/l</w:t>
      </w:r>
    </w:p>
    <w:p>
      <w:pPr>
        <w:spacing w:after="60" w:before="60"/>
      </w:pPr>
      <w:r>
        <w:rPr>
          <w:rFonts w:ascii="Arial" w:cs="Arial" w:eastAsia="Arial" w:hAnsi="Arial"/>
          <w:b/>
          <w:bCs/>
          <w:sz w:val="20"/>
          <w:szCs w:val="20"/>
        </w:rPr>
        <w:t xml:space="preserve">- mikroorganizmy w oczyszczalni ścieków (STP):</w:t>
      </w:r>
      <w:r>
        <w:rPr>
          <w:rFonts w:ascii="Arial" w:cs="Arial" w:eastAsia="Arial" w:hAnsi="Arial"/>
          <w:sz w:val="20"/>
          <w:szCs w:val="20"/>
        </w:rPr>
        <w:t xml:space="preserve"> 10 mg/l</w:t>
      </w:r>
    </w:p>
    <w:p>
      <w:pPr>
        <w:spacing w:after="60" w:before="60"/>
      </w:pPr>
      <w:r>
        <w:rPr>
          <w:rFonts w:ascii="Arial" w:cs="Arial" w:eastAsia="Arial" w:hAnsi="Arial"/>
          <w:b/>
          <w:bCs/>
          <w:sz w:val="20"/>
          <w:szCs w:val="20"/>
        </w:rPr>
        <w:t xml:space="preserve">- łańcuch pokarmowy (zatrucie wtórne):</w:t>
      </w:r>
      <w:r>
        <w:rPr>
          <w:rFonts w:ascii="Arial" w:cs="Arial" w:eastAsia="Arial" w:hAnsi="Arial"/>
          <w:sz w:val="20"/>
          <w:szCs w:val="20"/>
        </w:rPr>
        <w:t xml:space="preserve"> 80 mg/kg</w:t>
      </w:r>
    </w:p>
    <w:p>
      <w:pPr>
        <w:spacing w:after="60" w:before="60"/>
      </w:pPr>
      <w:r>
        <w:rPr>
          <w:rFonts w:ascii="Arial" w:cs="Arial" w:eastAsia="Arial" w:hAnsi="Arial"/>
          <w:b/>
          <w:bCs/>
          <w:sz w:val="20"/>
          <w:szCs w:val="20"/>
        </w:rPr>
        <w:t xml:space="preserve">- środowisko glebowe (gleba):</w:t>
      </w:r>
      <w:r>
        <w:rPr>
          <w:rFonts w:ascii="Arial" w:cs="Arial" w:eastAsia="Arial" w:hAnsi="Arial"/>
          <w:sz w:val="20"/>
          <w:szCs w:val="20"/>
        </w:rPr>
        <w:t xml:space="preserve"> 1,786 mg/kg</w:t>
      </w:r>
    </w:p>
    <w:p>
      <w:pPr>
        <w:spacing w:after="80"/>
      </w:pPr>
      <w:r>
        <w:rPr>
          <w:rFonts w:ascii="Arial" w:cs="Arial" w:eastAsia="Arial" w:hAnsi="Arial"/>
          <w:sz w:val="20"/>
          <w:szCs w:val="20"/>
        </w:rPr>
        <w:t xml:space="preserve">Substancja: linalol [CAS: 78-70-6]</w:t>
      </w:r>
    </w:p>
    <w:p>
      <w:pPr>
        <w:spacing w:after="80"/>
      </w:pPr>
      <w:r>
        <w:rPr>
          <w:rFonts w:ascii="Arial" w:cs="Arial" w:eastAsia="Arial" w:hAnsi="Arial"/>
          <w:sz w:val="20"/>
          <w:szCs w:val="20"/>
        </w:rPr>
        <w:t xml:space="preserve">Pochodne poziomy niepowodujące zmian (DNEL):</w:t>
      </w:r>
    </w:p>
    <w:p>
      <w:pPr>
        <w:spacing w:after="60" w:before="60"/>
      </w:pPr>
      <w:r>
        <w:rPr>
          <w:rFonts w:ascii="Arial" w:cs="Arial" w:eastAsia="Arial" w:hAnsi="Arial"/>
          <w:b/>
          <w:bCs/>
          <w:sz w:val="20"/>
          <w:szCs w:val="20"/>
        </w:rPr>
        <w:t xml:space="preserve">- Droga pokarmowa (doustnie):</w:t>
      </w:r>
      <w:r>
        <w:rPr>
          <w:rFonts w:ascii="Arial" w:cs="Arial" w:eastAsia="Arial" w:hAnsi="Arial"/>
          <w:sz w:val="20"/>
          <w:szCs w:val="20"/>
        </w:rPr>
        <w:t xml:space="preserve"> Konsumenci: skutki ostre układowe: 1,2 mg/kg mc/dzień; skutki przewlekłe układowe: 0,2 mg/kg mc/dzień</w:t>
      </w:r>
    </w:p>
    <w:p>
      <w:pPr>
        <w:spacing w:after="60" w:before="60"/>
      </w:pPr>
      <w:r>
        <w:rPr>
          <w:rFonts w:ascii="Arial" w:cs="Arial" w:eastAsia="Arial" w:hAnsi="Arial"/>
          <w:b/>
          <w:bCs/>
          <w:sz w:val="20"/>
          <w:szCs w:val="20"/>
        </w:rPr>
        <w:t xml:space="preserve">- Drogi oddechowe (inhalacyjnie):</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w:t>
      </w:r>
      <w:r>
        <w:rPr>
          <w:rFonts w:ascii="Arial" w:cs="Arial" w:eastAsia="Arial" w:hAnsi="Arial"/>
          <w:sz w:val="20"/>
          <w:szCs w:val="20"/>
        </w:rPr>
        <w:t xml:space="preserve"> skutki ostre układowe: 4,1 mg/m³; skutki przewlekłe układowe: 0,7 mg/m³</w:t>
      </w:r>
    </w:p>
    <w:p>
      <w:pPr>
        <w:spacing w:after="60" w:before="60"/>
      </w:pPr>
      <w:r>
        <w:rPr>
          <w:rFonts w:ascii="Arial" w:cs="Arial" w:eastAsia="Arial" w:hAnsi="Arial"/>
          <w:b/>
          <w:bCs/>
          <w:sz w:val="20"/>
          <w:szCs w:val="20"/>
        </w:rPr>
        <w:t xml:space="preserve">* Pracownicy:</w:t>
      </w:r>
      <w:r>
        <w:rPr>
          <w:rFonts w:ascii="Arial" w:cs="Arial" w:eastAsia="Arial" w:hAnsi="Arial"/>
          <w:sz w:val="20"/>
          <w:szCs w:val="20"/>
        </w:rPr>
        <w:t xml:space="preserve"> skutki ostre układowe: 16,5 mg/m³; skutki przewlekłe układowe: 2,8 mg/m³</w:t>
      </w:r>
    </w:p>
    <w:p>
      <w:pPr>
        <w:spacing w:after="60" w:before="60"/>
      </w:pPr>
      <w:r>
        <w:rPr>
          <w:rFonts w:ascii="Arial" w:cs="Arial" w:eastAsia="Arial" w:hAnsi="Arial"/>
          <w:b/>
          <w:bCs/>
          <w:sz w:val="20"/>
          <w:szCs w:val="20"/>
        </w:rPr>
        <w:t xml:space="preserve">- Na skórę:</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w:t>
      </w:r>
      <w:r>
        <w:rPr>
          <w:rFonts w:ascii="Arial" w:cs="Arial" w:eastAsia="Arial" w:hAnsi="Arial"/>
          <w:sz w:val="20"/>
          <w:szCs w:val="20"/>
        </w:rPr>
        <w:t xml:space="preserve"> skutki ostre układowe: 2,5 mg/kg mc/dzień; skutki przewlekłe układowe: 1,25 mg/kg mc/dzień</w:t>
      </w:r>
    </w:p>
    <w:p>
      <w:pPr>
        <w:spacing w:after="60" w:before="60"/>
      </w:pPr>
      <w:r>
        <w:rPr>
          <w:rFonts w:ascii="Arial" w:cs="Arial" w:eastAsia="Arial" w:hAnsi="Arial"/>
          <w:b/>
          <w:bCs/>
          <w:sz w:val="20"/>
          <w:szCs w:val="20"/>
        </w:rPr>
        <w:t xml:space="preserve">* Pracownicy:</w:t>
      </w:r>
      <w:r>
        <w:rPr>
          <w:rFonts w:ascii="Arial" w:cs="Arial" w:eastAsia="Arial" w:hAnsi="Arial"/>
          <w:sz w:val="20"/>
          <w:szCs w:val="20"/>
        </w:rPr>
        <w:t xml:space="preserve"> skutki ostre układowe: 5 mg/kg mc/dzień; skutki przewlekłe układowe: 2,5 mg/kg mc/dzień</w:t>
      </w:r>
    </w:p>
    <w:p>
      <w:pPr>
        <w:spacing w:after="80"/>
      </w:pPr>
      <w:r>
        <w:rPr>
          <w:rFonts w:ascii="Arial" w:cs="Arial" w:eastAsia="Arial" w:hAnsi="Arial"/>
          <w:sz w:val="20"/>
          <w:szCs w:val="20"/>
        </w:rPr>
        <w:t xml:space="preserve">Przewidywane stężenia niepowodujące zmian w środowisku (PNEC):</w:t>
      </w:r>
    </w:p>
    <w:p>
      <w:pPr>
        <w:spacing w:after="60" w:before="60"/>
      </w:pPr>
      <w:r>
        <w:rPr>
          <w:rFonts w:ascii="Arial" w:cs="Arial" w:eastAsia="Arial" w:hAnsi="Arial"/>
          <w:b/>
          <w:bCs/>
          <w:sz w:val="20"/>
          <w:szCs w:val="20"/>
        </w:rPr>
        <w:t xml:space="preserve">- woda słodka:</w:t>
      </w:r>
      <w:r>
        <w:rPr>
          <w:rFonts w:ascii="Arial" w:cs="Arial" w:eastAsia="Arial" w:hAnsi="Arial"/>
          <w:sz w:val="20"/>
          <w:szCs w:val="20"/>
        </w:rPr>
        <w:t xml:space="preserve"> 0,2 mg/l</w:t>
      </w:r>
    </w:p>
    <w:p>
      <w:pPr>
        <w:spacing w:after="60" w:before="60"/>
      </w:pPr>
      <w:r>
        <w:rPr>
          <w:rFonts w:ascii="Arial" w:cs="Arial" w:eastAsia="Arial" w:hAnsi="Arial"/>
          <w:b/>
          <w:bCs/>
          <w:sz w:val="20"/>
          <w:szCs w:val="20"/>
        </w:rPr>
        <w:t xml:space="preserve">- woda morska:</w:t>
      </w:r>
      <w:r>
        <w:rPr>
          <w:rFonts w:ascii="Arial" w:cs="Arial" w:eastAsia="Arial" w:hAnsi="Arial"/>
          <w:sz w:val="20"/>
          <w:szCs w:val="20"/>
        </w:rPr>
        <w:t xml:space="preserve"> 0,02 mg/l</w:t>
      </w:r>
    </w:p>
    <w:p>
      <w:pPr>
        <w:spacing w:after="60" w:before="60"/>
      </w:pPr>
      <w:r>
        <w:rPr>
          <w:rFonts w:ascii="Arial" w:cs="Arial" w:eastAsia="Arial" w:hAnsi="Arial"/>
          <w:b/>
          <w:bCs/>
          <w:sz w:val="20"/>
          <w:szCs w:val="20"/>
        </w:rPr>
        <w:t xml:space="preserve">- osady słodkowodne:</w:t>
      </w:r>
      <w:r>
        <w:rPr>
          <w:rFonts w:ascii="Arial" w:cs="Arial" w:eastAsia="Arial" w:hAnsi="Arial"/>
          <w:sz w:val="20"/>
          <w:szCs w:val="20"/>
        </w:rPr>
        <w:t xml:space="preserve"> 2,22 mg/kg</w:t>
      </w:r>
    </w:p>
    <w:p>
      <w:pPr>
        <w:spacing w:after="60" w:before="60"/>
      </w:pPr>
      <w:r>
        <w:rPr>
          <w:rFonts w:ascii="Arial" w:cs="Arial" w:eastAsia="Arial" w:hAnsi="Arial"/>
          <w:b/>
          <w:bCs/>
          <w:sz w:val="20"/>
          <w:szCs w:val="20"/>
        </w:rPr>
        <w:t xml:space="preserve">- osady morskie:</w:t>
      </w:r>
      <w:r>
        <w:rPr>
          <w:rFonts w:ascii="Arial" w:cs="Arial" w:eastAsia="Arial" w:hAnsi="Arial"/>
          <w:sz w:val="20"/>
          <w:szCs w:val="20"/>
        </w:rPr>
        <w:t xml:space="preserve"> 0,222 mg/kg</w:t>
      </w:r>
    </w:p>
    <w:p>
      <w:pPr>
        <w:spacing w:after="60" w:before="60"/>
      </w:pPr>
      <w:r>
        <w:rPr>
          <w:rFonts w:ascii="Arial" w:cs="Arial" w:eastAsia="Arial" w:hAnsi="Arial"/>
          <w:b/>
          <w:bCs/>
          <w:sz w:val="20"/>
          <w:szCs w:val="20"/>
        </w:rPr>
        <w:t xml:space="preserve">- woda (uwalnianie okresowe):</w:t>
      </w:r>
      <w:r>
        <w:rPr>
          <w:rFonts w:ascii="Arial" w:cs="Arial" w:eastAsia="Arial" w:hAnsi="Arial"/>
          <w:sz w:val="20"/>
          <w:szCs w:val="20"/>
        </w:rPr>
        <w:t xml:space="preserve"> 2 mg/l</w:t>
      </w:r>
    </w:p>
    <w:p>
      <w:pPr>
        <w:spacing w:after="60" w:before="60"/>
      </w:pPr>
      <w:r>
        <w:rPr>
          <w:rFonts w:ascii="Arial" w:cs="Arial" w:eastAsia="Arial" w:hAnsi="Arial"/>
          <w:b/>
          <w:bCs/>
          <w:sz w:val="20"/>
          <w:szCs w:val="20"/>
        </w:rPr>
        <w:t xml:space="preserve">- mikroorganizmy w oczyszczalni ścieków (STP):</w:t>
      </w:r>
      <w:r>
        <w:rPr>
          <w:rFonts w:ascii="Arial" w:cs="Arial" w:eastAsia="Arial" w:hAnsi="Arial"/>
          <w:sz w:val="20"/>
          <w:szCs w:val="20"/>
        </w:rPr>
        <w:t xml:space="preserve"> 10 mg/l</w:t>
      </w:r>
    </w:p>
    <w:p>
      <w:pPr>
        <w:spacing w:after="60" w:before="60"/>
      </w:pPr>
      <w:r>
        <w:rPr>
          <w:rFonts w:ascii="Arial" w:cs="Arial" w:eastAsia="Arial" w:hAnsi="Arial"/>
          <w:b/>
          <w:bCs/>
          <w:sz w:val="20"/>
          <w:szCs w:val="20"/>
        </w:rPr>
        <w:t xml:space="preserve">- łańcuch pokarmowy (zatrucie wtórne):</w:t>
      </w:r>
      <w:r>
        <w:rPr>
          <w:rFonts w:ascii="Arial" w:cs="Arial" w:eastAsia="Arial" w:hAnsi="Arial"/>
          <w:sz w:val="20"/>
          <w:szCs w:val="20"/>
        </w:rPr>
        <w:t xml:space="preserve"> 7,8 mg/kg food</w:t>
      </w:r>
    </w:p>
    <w:p>
      <w:pPr>
        <w:spacing w:after="60" w:before="60"/>
      </w:pPr>
      <w:r>
        <w:rPr>
          <w:rFonts w:ascii="Arial" w:cs="Arial" w:eastAsia="Arial" w:hAnsi="Arial"/>
          <w:b/>
          <w:bCs/>
          <w:sz w:val="20"/>
          <w:szCs w:val="20"/>
        </w:rPr>
        <w:t xml:space="preserve">- środowisko glebowe (gleba):</w:t>
      </w:r>
      <w:r>
        <w:rPr>
          <w:rFonts w:ascii="Arial" w:cs="Arial" w:eastAsia="Arial" w:hAnsi="Arial"/>
          <w:sz w:val="20"/>
          <w:szCs w:val="20"/>
        </w:rPr>
        <w:t xml:space="preserve"> 0,327 mg/kg</w:t>
      </w:r>
    </w:p>
    <w:p>
      <w:pPr>
        <w:spacing w:after="80"/>
      </w:pPr>
      <w:r>
        <w:rPr>
          <w:rFonts w:ascii="Arial" w:cs="Arial" w:eastAsia="Arial" w:hAnsi="Arial"/>
          <w:sz w:val="20"/>
          <w:szCs w:val="20"/>
        </w:rPr>
        <w:t xml:space="preserve">Substancja: salicylan benzylu [CAS: 118-58-1]</w:t>
      </w:r>
    </w:p>
    <w:p>
      <w:pPr>
        <w:spacing w:after="80"/>
      </w:pPr>
      <w:r>
        <w:rPr>
          <w:rFonts w:ascii="Arial" w:cs="Arial" w:eastAsia="Arial" w:hAnsi="Arial"/>
          <w:sz w:val="20"/>
          <w:szCs w:val="20"/>
        </w:rPr>
        <w:t xml:space="preserve">Pochodne poziomy niepowodujące zmian (DNEL):</w:t>
      </w:r>
    </w:p>
    <w:p>
      <w:pPr>
        <w:spacing w:after="60" w:before="60"/>
      </w:pPr>
      <w:r>
        <w:rPr>
          <w:rFonts w:ascii="Arial" w:cs="Arial" w:eastAsia="Arial" w:hAnsi="Arial"/>
          <w:b/>
          <w:bCs/>
          <w:sz w:val="20"/>
          <w:szCs w:val="20"/>
        </w:rPr>
        <w:t xml:space="preserve">- Droga pokarmowa (doustnie):</w:t>
      </w:r>
      <w:r>
        <w:rPr>
          <w:rFonts w:ascii="Arial" w:cs="Arial" w:eastAsia="Arial" w:hAnsi="Arial"/>
          <w:sz w:val="20"/>
          <w:szCs w:val="20"/>
        </w:rPr>
        <w:t xml:space="preserve"> Konsumenci (skutki przewlekłe układowe): 0,45 mg/kg mc/dzień</w:t>
      </w:r>
    </w:p>
    <w:p>
      <w:pPr>
        <w:spacing w:after="60" w:before="60"/>
      </w:pPr>
      <w:r>
        <w:rPr>
          <w:rFonts w:ascii="Arial" w:cs="Arial" w:eastAsia="Arial" w:hAnsi="Arial"/>
          <w:b/>
          <w:bCs/>
          <w:sz w:val="20"/>
          <w:szCs w:val="20"/>
        </w:rPr>
        <w:t xml:space="preserve">- Drogi oddechowe (inhalacyjnie):</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0,78 mg/m³</w:t>
      </w:r>
    </w:p>
    <w:p>
      <w:pPr>
        <w:spacing w:after="60" w:before="60"/>
      </w:pPr>
      <w:r>
        <w:rPr>
          <w:rFonts w:ascii="Arial" w:cs="Arial" w:eastAsia="Arial" w:hAnsi="Arial"/>
          <w:b/>
          <w:bCs/>
          <w:sz w:val="20"/>
          <w:szCs w:val="20"/>
        </w:rPr>
        <w:t xml:space="preserve">* Pracownicy (skutki przewlekłe układowe):</w:t>
      </w:r>
      <w:r>
        <w:rPr>
          <w:rFonts w:ascii="Arial" w:cs="Arial" w:eastAsia="Arial" w:hAnsi="Arial"/>
          <w:sz w:val="20"/>
          <w:szCs w:val="20"/>
        </w:rPr>
        <w:t xml:space="preserve"> 3,17 mg/m³</w:t>
      </w:r>
    </w:p>
    <w:p>
      <w:pPr>
        <w:spacing w:after="60" w:before="60"/>
      </w:pPr>
      <w:r>
        <w:rPr>
          <w:rFonts w:ascii="Arial" w:cs="Arial" w:eastAsia="Arial" w:hAnsi="Arial"/>
          <w:b/>
          <w:bCs/>
          <w:sz w:val="20"/>
          <w:szCs w:val="20"/>
        </w:rPr>
        <w:t xml:space="preserve">- Na skórę:</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0,45 mg/kg mc/dzień</w:t>
      </w:r>
    </w:p>
    <w:p>
      <w:pPr>
        <w:spacing w:after="60" w:before="60"/>
      </w:pPr>
      <w:r>
        <w:rPr>
          <w:rFonts w:ascii="Arial" w:cs="Arial" w:eastAsia="Arial" w:hAnsi="Arial"/>
          <w:b/>
          <w:bCs/>
          <w:sz w:val="20"/>
          <w:szCs w:val="20"/>
        </w:rPr>
        <w:t xml:space="preserve">* Pracownicy (skutki przewlekłe układowe):</w:t>
      </w:r>
      <w:r>
        <w:rPr>
          <w:rFonts w:ascii="Arial" w:cs="Arial" w:eastAsia="Arial" w:hAnsi="Arial"/>
          <w:sz w:val="20"/>
          <w:szCs w:val="20"/>
        </w:rPr>
        <w:t xml:space="preserve"> 0,9 mg/kg mc/dzień</w:t>
      </w:r>
    </w:p>
    <w:p>
      <w:pPr>
        <w:spacing w:after="60" w:before="60"/>
      </w:pPr>
      <w:r>
        <w:rPr>
          <w:rFonts w:ascii="Arial" w:cs="Arial" w:eastAsia="Arial" w:hAnsi="Arial"/>
          <w:b/>
          <w:bCs/>
          <w:sz w:val="20"/>
          <w:szCs w:val="20"/>
        </w:rPr>
        <w:t xml:space="preserve">- Droga pokarmowa (doustnie):</w:t>
      </w:r>
      <w:r>
        <w:rPr>
          <w:rFonts w:ascii="Arial" w:cs="Arial" w:eastAsia="Arial" w:hAnsi="Arial"/>
          <w:sz w:val="20"/>
          <w:szCs w:val="20"/>
        </w:rPr>
        <w:t xml:space="preserve"> Konsumenci (skutki przewlekłe układowe): 0,5 mg/kg mc/dzień</w:t>
      </w:r>
    </w:p>
    <w:p>
      <w:pPr>
        <w:spacing w:after="60" w:before="60"/>
      </w:pPr>
      <w:r>
        <w:rPr>
          <w:rFonts w:ascii="Arial" w:cs="Arial" w:eastAsia="Arial" w:hAnsi="Arial"/>
          <w:b/>
          <w:bCs/>
          <w:sz w:val="20"/>
          <w:szCs w:val="20"/>
        </w:rPr>
        <w:t xml:space="preserve">- Drogi oddechowe (inhalacyjnie):</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1,74 mg/m³</w:t>
      </w:r>
    </w:p>
    <w:p>
      <w:pPr>
        <w:spacing w:after="60" w:before="60"/>
      </w:pPr>
      <w:r>
        <w:rPr>
          <w:rFonts w:ascii="Arial" w:cs="Arial" w:eastAsia="Arial" w:hAnsi="Arial"/>
          <w:b/>
          <w:bCs/>
          <w:sz w:val="20"/>
          <w:szCs w:val="20"/>
        </w:rPr>
        <w:t xml:space="preserve">* Pracownicy (skutki przewlekłe układowe):</w:t>
      </w:r>
      <w:r>
        <w:rPr>
          <w:rFonts w:ascii="Arial" w:cs="Arial" w:eastAsia="Arial" w:hAnsi="Arial"/>
          <w:sz w:val="20"/>
          <w:szCs w:val="20"/>
        </w:rPr>
        <w:t xml:space="preserve"> 9,87 mg/m³</w:t>
      </w:r>
    </w:p>
    <w:p>
      <w:pPr>
        <w:spacing w:after="60" w:before="60"/>
      </w:pPr>
      <w:r>
        <w:rPr>
          <w:rFonts w:ascii="Arial" w:cs="Arial" w:eastAsia="Arial" w:hAnsi="Arial"/>
          <w:b/>
          <w:bCs/>
          <w:sz w:val="20"/>
          <w:szCs w:val="20"/>
        </w:rPr>
        <w:t xml:space="preserve">- Na skórę:</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1 mg/kg mc/dzień</w:t>
      </w:r>
    </w:p>
    <w:p>
      <w:pPr>
        <w:spacing w:after="60" w:before="60"/>
      </w:pPr>
      <w:r>
        <w:rPr>
          <w:rFonts w:ascii="Arial" w:cs="Arial" w:eastAsia="Arial" w:hAnsi="Arial"/>
          <w:b/>
          <w:bCs/>
          <w:sz w:val="20"/>
          <w:szCs w:val="20"/>
        </w:rPr>
        <w:t xml:space="preserve">* Pracownicy (skutki przewlekłe układowe):</w:t>
      </w:r>
      <w:r>
        <w:rPr>
          <w:rFonts w:ascii="Arial" w:cs="Arial" w:eastAsia="Arial" w:hAnsi="Arial"/>
          <w:sz w:val="20"/>
          <w:szCs w:val="20"/>
        </w:rPr>
        <w:t xml:space="preserve"> 2,8 mg/kg mc/dzień</w:t>
      </w:r>
    </w:p>
    <w:p>
      <w:pPr>
        <w:spacing w:after="80"/>
      </w:pPr>
      <w:r>
        <w:rPr>
          <w:rFonts w:ascii="Arial" w:cs="Arial" w:eastAsia="Arial" w:hAnsi="Arial"/>
          <w:sz w:val="20"/>
          <w:szCs w:val="20"/>
        </w:rPr>
        <w:t xml:space="preserve">Przewidywane stężenia niepowodujące zmian w środowisku (PNEC):</w:t>
      </w:r>
    </w:p>
    <w:p>
      <w:pPr>
        <w:spacing w:after="60" w:before="60"/>
      </w:pPr>
      <w:r>
        <w:rPr>
          <w:rFonts w:ascii="Arial" w:cs="Arial" w:eastAsia="Arial" w:hAnsi="Arial"/>
          <w:b/>
          <w:bCs/>
          <w:sz w:val="20"/>
          <w:szCs w:val="20"/>
        </w:rPr>
        <w:t xml:space="preserve">- woda słodka:</w:t>
      </w:r>
      <w:r>
        <w:rPr>
          <w:rFonts w:ascii="Arial" w:cs="Arial" w:eastAsia="Arial" w:hAnsi="Arial"/>
          <w:sz w:val="20"/>
          <w:szCs w:val="20"/>
        </w:rPr>
        <w:t xml:space="preserve"> 0,001 mg/l</w:t>
      </w:r>
    </w:p>
    <w:p>
      <w:pPr>
        <w:spacing w:after="60" w:before="60"/>
      </w:pPr>
      <w:r>
        <w:rPr>
          <w:rFonts w:ascii="Arial" w:cs="Arial" w:eastAsia="Arial" w:hAnsi="Arial"/>
          <w:b/>
          <w:bCs/>
          <w:sz w:val="20"/>
          <w:szCs w:val="20"/>
        </w:rPr>
        <w:t xml:space="preserve">- woda morska:</w:t>
      </w:r>
      <w:r>
        <w:rPr>
          <w:rFonts w:ascii="Arial" w:cs="Arial" w:eastAsia="Arial" w:hAnsi="Arial"/>
          <w:sz w:val="20"/>
          <w:szCs w:val="20"/>
        </w:rPr>
        <w:t xml:space="preserve"> 0 mg/l</w:t>
      </w:r>
    </w:p>
    <w:p>
      <w:pPr>
        <w:spacing w:after="60" w:before="60"/>
      </w:pPr>
      <w:r>
        <w:rPr>
          <w:rFonts w:ascii="Arial" w:cs="Arial" w:eastAsia="Arial" w:hAnsi="Arial"/>
          <w:b/>
          <w:bCs/>
          <w:sz w:val="20"/>
          <w:szCs w:val="20"/>
        </w:rPr>
        <w:t xml:space="preserve">- osady słodkowodne:</w:t>
      </w:r>
      <w:r>
        <w:rPr>
          <w:rFonts w:ascii="Arial" w:cs="Arial" w:eastAsia="Arial" w:hAnsi="Arial"/>
          <w:sz w:val="20"/>
          <w:szCs w:val="20"/>
        </w:rPr>
        <w:t xml:space="preserve"> 0,583 mg/kg</w:t>
      </w:r>
    </w:p>
    <w:p>
      <w:pPr>
        <w:spacing w:after="60" w:before="60"/>
      </w:pPr>
      <w:r>
        <w:rPr>
          <w:rFonts w:ascii="Arial" w:cs="Arial" w:eastAsia="Arial" w:hAnsi="Arial"/>
          <w:b/>
          <w:bCs/>
          <w:sz w:val="20"/>
          <w:szCs w:val="20"/>
        </w:rPr>
        <w:t xml:space="preserve">- osady morskie:</w:t>
      </w:r>
      <w:r>
        <w:rPr>
          <w:rFonts w:ascii="Arial" w:cs="Arial" w:eastAsia="Arial" w:hAnsi="Arial"/>
          <w:sz w:val="20"/>
          <w:szCs w:val="20"/>
        </w:rPr>
        <w:t xml:space="preserve"> 0,058 mg/kg</w:t>
      </w:r>
    </w:p>
    <w:p>
      <w:pPr>
        <w:spacing w:after="60" w:before="60"/>
      </w:pPr>
      <w:r>
        <w:rPr>
          <w:rFonts w:ascii="Arial" w:cs="Arial" w:eastAsia="Arial" w:hAnsi="Arial"/>
          <w:b/>
          <w:bCs/>
          <w:sz w:val="20"/>
          <w:szCs w:val="20"/>
        </w:rPr>
        <w:t xml:space="preserve">- woda (uwalnianie okresowe):</w:t>
      </w:r>
      <w:r>
        <w:rPr>
          <w:rFonts w:ascii="Arial" w:cs="Arial" w:eastAsia="Arial" w:hAnsi="Arial"/>
          <w:sz w:val="20"/>
          <w:szCs w:val="20"/>
        </w:rPr>
        <w:t xml:space="preserve"> 0,01 mg/l</w:t>
      </w:r>
    </w:p>
    <w:p>
      <w:pPr>
        <w:spacing w:after="60" w:before="60"/>
      </w:pPr>
      <w:r>
        <w:rPr>
          <w:rFonts w:ascii="Arial" w:cs="Arial" w:eastAsia="Arial" w:hAnsi="Arial"/>
          <w:b/>
          <w:bCs/>
          <w:sz w:val="20"/>
          <w:szCs w:val="20"/>
        </w:rPr>
        <w:t xml:space="preserve">- mikroorganizmy w oczyszczalni ścieków (STP):</w:t>
      </w:r>
      <w:r>
        <w:rPr>
          <w:rFonts w:ascii="Arial" w:cs="Arial" w:eastAsia="Arial" w:hAnsi="Arial"/>
          <w:sz w:val="20"/>
          <w:szCs w:val="20"/>
        </w:rPr>
        <w:t xml:space="preserve"> 10 mg/l</w:t>
      </w:r>
    </w:p>
    <w:p>
      <w:pPr>
        <w:spacing w:after="60" w:before="60"/>
      </w:pPr>
      <w:r>
        <w:rPr>
          <w:rFonts w:ascii="Arial" w:cs="Arial" w:eastAsia="Arial" w:hAnsi="Arial"/>
          <w:b/>
          <w:bCs/>
          <w:sz w:val="20"/>
          <w:szCs w:val="20"/>
        </w:rPr>
        <w:t xml:space="preserve">- łańcuch pokarmowy (zatrucie wtórne):</w:t>
      </w:r>
      <w:r>
        <w:rPr>
          <w:rFonts w:ascii="Arial" w:cs="Arial" w:eastAsia="Arial" w:hAnsi="Arial"/>
          <w:sz w:val="20"/>
          <w:szCs w:val="20"/>
        </w:rPr>
        <w:t xml:space="preserve"> 80 mg/kg</w:t>
      </w:r>
    </w:p>
    <w:p>
      <w:pPr>
        <w:spacing w:after="60" w:before="60"/>
      </w:pPr>
      <w:r>
        <w:rPr>
          <w:rFonts w:ascii="Arial" w:cs="Arial" w:eastAsia="Arial" w:hAnsi="Arial"/>
          <w:b/>
          <w:bCs/>
          <w:sz w:val="20"/>
          <w:szCs w:val="20"/>
        </w:rPr>
        <w:t xml:space="preserve">- środowisko glebowe (gleba):</w:t>
      </w:r>
      <w:r>
        <w:rPr>
          <w:rFonts w:ascii="Arial" w:cs="Arial" w:eastAsia="Arial" w:hAnsi="Arial"/>
          <w:sz w:val="20"/>
          <w:szCs w:val="20"/>
        </w:rPr>
        <w:t xml:space="preserve"> 1,41 mg/kg</w:t>
      </w:r>
    </w:p>
    <w:p>
      <w:pPr>
        <w:spacing w:after="60" w:before="60"/>
      </w:pPr>
      <w:r>
        <w:rPr>
          <w:rFonts w:ascii="Arial" w:cs="Arial" w:eastAsia="Arial" w:hAnsi="Arial"/>
          <w:b/>
          <w:bCs/>
          <w:sz w:val="20"/>
          <w:szCs w:val="20"/>
        </w:rPr>
        <w:t xml:space="preserve">- woda słodka:</w:t>
      </w:r>
      <w:r>
        <w:rPr>
          <w:rFonts w:ascii="Arial" w:cs="Arial" w:eastAsia="Arial" w:hAnsi="Arial"/>
          <w:sz w:val="20"/>
          <w:szCs w:val="20"/>
        </w:rPr>
        <w:t xml:space="preserve"> 0,0012 mg/l</w:t>
      </w:r>
    </w:p>
    <w:p>
      <w:pPr>
        <w:spacing w:after="60" w:before="60"/>
      </w:pPr>
      <w:r>
        <w:rPr>
          <w:rFonts w:ascii="Arial" w:cs="Arial" w:eastAsia="Arial" w:hAnsi="Arial"/>
          <w:b/>
          <w:bCs/>
          <w:sz w:val="20"/>
          <w:szCs w:val="20"/>
        </w:rPr>
        <w:t xml:space="preserve">- woda morska:</w:t>
      </w:r>
      <w:r>
        <w:rPr>
          <w:rFonts w:ascii="Arial" w:cs="Arial" w:eastAsia="Arial" w:hAnsi="Arial"/>
          <w:sz w:val="20"/>
          <w:szCs w:val="20"/>
        </w:rPr>
        <w:t xml:space="preserve"> 0,00012 mg/l</w:t>
      </w:r>
    </w:p>
    <w:p>
      <w:pPr>
        <w:spacing w:after="60" w:before="60"/>
      </w:pPr>
      <w:r>
        <w:rPr>
          <w:rFonts w:ascii="Arial" w:cs="Arial" w:eastAsia="Arial" w:hAnsi="Arial"/>
          <w:b/>
          <w:bCs/>
          <w:sz w:val="20"/>
          <w:szCs w:val="20"/>
        </w:rPr>
        <w:t xml:space="preserve">- osady słodkowodne:</w:t>
      </w:r>
      <w:r>
        <w:rPr>
          <w:rFonts w:ascii="Arial" w:cs="Arial" w:eastAsia="Arial" w:hAnsi="Arial"/>
          <w:sz w:val="20"/>
          <w:szCs w:val="20"/>
        </w:rPr>
        <w:t xml:space="preserve"> 0,246 mg/kg/d</w:t>
      </w:r>
    </w:p>
    <w:p>
      <w:pPr>
        <w:spacing w:after="60" w:before="60"/>
      </w:pPr>
      <w:r>
        <w:rPr>
          <w:rFonts w:ascii="Arial" w:cs="Arial" w:eastAsia="Arial" w:hAnsi="Arial"/>
          <w:b/>
          <w:bCs/>
          <w:sz w:val="20"/>
          <w:szCs w:val="20"/>
        </w:rPr>
        <w:t xml:space="preserve">- osady morskie:</w:t>
      </w:r>
      <w:r>
        <w:rPr>
          <w:rFonts w:ascii="Arial" w:cs="Arial" w:eastAsia="Arial" w:hAnsi="Arial"/>
          <w:sz w:val="20"/>
          <w:szCs w:val="20"/>
        </w:rPr>
        <w:t xml:space="preserve"> 0,025 mg/kg/d</w:t>
      </w:r>
    </w:p>
    <w:p>
      <w:pPr>
        <w:spacing w:after="60" w:before="60"/>
      </w:pPr>
      <w:r>
        <w:rPr>
          <w:rFonts w:ascii="Arial" w:cs="Arial" w:eastAsia="Arial" w:hAnsi="Arial"/>
          <w:b/>
          <w:bCs/>
          <w:sz w:val="20"/>
          <w:szCs w:val="20"/>
        </w:rPr>
        <w:t xml:space="preserve">- woda (uwalnianie okresowe):</w:t>
      </w:r>
      <w:r>
        <w:rPr>
          <w:rFonts w:ascii="Arial" w:cs="Arial" w:eastAsia="Arial" w:hAnsi="Arial"/>
          <w:sz w:val="20"/>
          <w:szCs w:val="20"/>
        </w:rPr>
        <w:t xml:space="preserve"> 0,012 mg/l</w:t>
      </w:r>
    </w:p>
    <w:p>
      <w:pPr>
        <w:spacing w:after="60" w:before="60"/>
      </w:pPr>
      <w:r>
        <w:rPr>
          <w:rFonts w:ascii="Arial" w:cs="Arial" w:eastAsia="Arial" w:hAnsi="Arial"/>
          <w:b/>
          <w:bCs/>
          <w:sz w:val="20"/>
          <w:szCs w:val="20"/>
        </w:rPr>
        <w:t xml:space="preserve">- mikroorganizmy w oczyszczalni ścieków (STP):</w:t>
      </w:r>
      <w:r>
        <w:rPr>
          <w:rFonts w:ascii="Arial" w:cs="Arial" w:eastAsia="Arial" w:hAnsi="Arial"/>
          <w:sz w:val="20"/>
          <w:szCs w:val="20"/>
        </w:rPr>
        <w:t xml:space="preserve"> 0,1 mg/l</w:t>
      </w:r>
    </w:p>
    <w:p>
      <w:pPr>
        <w:spacing w:after="60" w:before="60"/>
      </w:pPr>
      <w:r>
        <w:rPr>
          <w:rFonts w:ascii="Arial" w:cs="Arial" w:eastAsia="Arial" w:hAnsi="Arial"/>
          <w:b/>
          <w:bCs/>
          <w:sz w:val="20"/>
          <w:szCs w:val="20"/>
        </w:rPr>
        <w:t xml:space="preserve">- łańcuch pokarmowy (zatrucie wtórne):</w:t>
      </w:r>
      <w:r>
        <w:rPr>
          <w:rFonts w:ascii="Arial" w:cs="Arial" w:eastAsia="Arial" w:hAnsi="Arial"/>
          <w:sz w:val="20"/>
          <w:szCs w:val="20"/>
        </w:rPr>
        <w:t xml:space="preserve"> 222,2 mg/kg food</w:t>
      </w:r>
    </w:p>
    <w:p>
      <w:pPr>
        <w:spacing w:after="60" w:before="60"/>
      </w:pPr>
      <w:r>
        <w:rPr>
          <w:rFonts w:ascii="Arial" w:cs="Arial" w:eastAsia="Arial" w:hAnsi="Arial"/>
          <w:b/>
          <w:bCs/>
          <w:sz w:val="20"/>
          <w:szCs w:val="20"/>
        </w:rPr>
        <w:t xml:space="preserve">- środowisko glebowe (gleba):</w:t>
      </w:r>
      <w:r>
        <w:rPr>
          <w:rFonts w:ascii="Arial" w:cs="Arial" w:eastAsia="Arial" w:hAnsi="Arial"/>
          <w:sz w:val="20"/>
          <w:szCs w:val="20"/>
        </w:rPr>
        <w:t xml:space="preserve"> 0,048 mg/kg</w:t>
      </w:r>
    </w:p>
    <w:p>
      <w:pPr>
        <w:spacing w:after="60" w:before="60"/>
      </w:pPr>
      <w:r>
        <w:rPr>
          <w:rFonts w:ascii="Arial" w:cs="Arial" w:eastAsia="Arial" w:hAnsi="Arial"/>
          <w:b/>
          <w:bCs/>
          <w:sz w:val="20"/>
          <w:szCs w:val="20"/>
        </w:rPr>
        <w:t xml:space="preserve">- woda słodka:</w:t>
      </w:r>
      <w:r>
        <w:rPr>
          <w:rFonts w:ascii="Arial" w:cs="Arial" w:eastAsia="Arial" w:hAnsi="Arial"/>
          <w:sz w:val="20"/>
          <w:szCs w:val="20"/>
        </w:rPr>
        <w:t xml:space="preserve"> 0,001 mg/l</w:t>
      </w:r>
    </w:p>
    <w:p>
      <w:pPr>
        <w:spacing w:after="60" w:before="60"/>
      </w:pPr>
      <w:r>
        <w:rPr>
          <w:rFonts w:ascii="Arial" w:cs="Arial" w:eastAsia="Arial" w:hAnsi="Arial"/>
          <w:b/>
          <w:bCs/>
          <w:sz w:val="20"/>
          <w:szCs w:val="20"/>
        </w:rPr>
        <w:t xml:space="preserve">- woda morska:</w:t>
      </w:r>
      <w:r>
        <w:rPr>
          <w:rFonts w:ascii="Arial" w:cs="Arial" w:eastAsia="Arial" w:hAnsi="Arial"/>
          <w:sz w:val="20"/>
          <w:szCs w:val="20"/>
        </w:rPr>
        <w:t xml:space="preserve"> 0 mg/l</w:t>
      </w:r>
    </w:p>
    <w:p>
      <w:pPr>
        <w:spacing w:after="60" w:before="60"/>
      </w:pPr>
      <w:r>
        <w:rPr>
          <w:rFonts w:ascii="Arial" w:cs="Arial" w:eastAsia="Arial" w:hAnsi="Arial"/>
          <w:b/>
          <w:bCs/>
          <w:sz w:val="20"/>
          <w:szCs w:val="20"/>
        </w:rPr>
        <w:t xml:space="preserve">- osady słodkowodne:</w:t>
      </w:r>
      <w:r>
        <w:rPr>
          <w:rFonts w:ascii="Arial" w:cs="Arial" w:eastAsia="Arial" w:hAnsi="Arial"/>
          <w:sz w:val="20"/>
          <w:szCs w:val="20"/>
        </w:rPr>
        <w:t xml:space="preserve"> 0,5 mg/kg/d</w:t>
      </w:r>
    </w:p>
    <w:p>
      <w:pPr>
        <w:spacing w:after="60" w:before="60"/>
      </w:pPr>
      <w:r>
        <w:rPr>
          <w:rFonts w:ascii="Arial" w:cs="Arial" w:eastAsia="Arial" w:hAnsi="Arial"/>
          <w:b/>
          <w:bCs/>
          <w:sz w:val="20"/>
          <w:szCs w:val="20"/>
        </w:rPr>
        <w:t xml:space="preserve">- osady morskie:</w:t>
      </w:r>
      <w:r>
        <w:rPr>
          <w:rFonts w:ascii="Arial" w:cs="Arial" w:eastAsia="Arial" w:hAnsi="Arial"/>
          <w:sz w:val="20"/>
          <w:szCs w:val="20"/>
        </w:rPr>
        <w:t xml:space="preserve"> 0,05 mg/kg/d</w:t>
      </w:r>
    </w:p>
    <w:p>
      <w:pPr>
        <w:spacing w:after="60" w:before="60"/>
      </w:pPr>
      <w:r>
        <w:rPr>
          <w:rFonts w:ascii="Arial" w:cs="Arial" w:eastAsia="Arial" w:hAnsi="Arial"/>
          <w:b/>
          <w:bCs/>
          <w:sz w:val="20"/>
          <w:szCs w:val="20"/>
        </w:rPr>
        <w:t xml:space="preserve">- mikroorganizmy w oczyszczalni ścieków (STP):</w:t>
      </w:r>
      <w:r>
        <w:rPr>
          <w:rFonts w:ascii="Arial" w:cs="Arial" w:eastAsia="Arial" w:hAnsi="Arial"/>
          <w:sz w:val="20"/>
          <w:szCs w:val="20"/>
        </w:rPr>
        <w:t xml:space="preserve"> 100 mg/l</w:t>
      </w:r>
    </w:p>
    <w:p>
      <w:pPr>
        <w:spacing w:after="60" w:before="60"/>
      </w:pPr>
      <w:r>
        <w:rPr>
          <w:rFonts w:ascii="Arial" w:cs="Arial" w:eastAsia="Arial" w:hAnsi="Arial"/>
          <w:b/>
          <w:bCs/>
          <w:sz w:val="20"/>
          <w:szCs w:val="20"/>
        </w:rPr>
        <w:t xml:space="preserve">- środowisko glebowe (gleba):</w:t>
      </w:r>
      <w:r>
        <w:rPr>
          <w:rFonts w:ascii="Arial" w:cs="Arial" w:eastAsia="Arial" w:hAnsi="Arial"/>
          <w:sz w:val="20"/>
          <w:szCs w:val="20"/>
        </w:rPr>
        <w:t xml:space="preserve"> 0,396 mg/kg/d</w:t>
      </w:r>
    </w:p>
    <w:p>
      <w:pPr>
        <w:spacing w:after="80"/>
      </w:pPr>
      <w:r>
        <w:rPr>
          <w:rFonts w:ascii="Arial" w:cs="Arial" w:eastAsia="Arial" w:hAnsi="Arial"/>
          <w:sz w:val="20"/>
          <w:szCs w:val="20"/>
        </w:rPr>
        <w:t xml:space="preserve">Substancja: 2,6-di-tert-butylo-4-metylofenol (BHT) [CAS: 128-37-0]</w:t>
      </w:r>
    </w:p>
    <w:p>
      <w:pPr>
        <w:spacing w:after="80"/>
      </w:pPr>
      <w:r>
        <w:rPr>
          <w:rFonts w:ascii="Arial" w:cs="Arial" w:eastAsia="Arial" w:hAnsi="Arial"/>
          <w:sz w:val="20"/>
          <w:szCs w:val="20"/>
        </w:rPr>
        <w:t xml:space="preserve">Pochodne poziomy niepowodujące zmian (DNEL):</w:t>
      </w:r>
    </w:p>
    <w:p>
      <w:pPr>
        <w:spacing w:after="60" w:before="60"/>
      </w:pPr>
      <w:r>
        <w:rPr>
          <w:rFonts w:ascii="Arial" w:cs="Arial" w:eastAsia="Arial" w:hAnsi="Arial"/>
          <w:b/>
          <w:bCs/>
          <w:sz w:val="20"/>
          <w:szCs w:val="20"/>
        </w:rPr>
        <w:t xml:space="preserve">- Droga pokarmowa (doustnie):</w:t>
      </w:r>
      <w:r>
        <w:rPr>
          <w:rFonts w:ascii="Arial" w:cs="Arial" w:eastAsia="Arial" w:hAnsi="Arial"/>
          <w:sz w:val="20"/>
          <w:szCs w:val="20"/>
        </w:rPr>
        <w:t xml:space="preserve"> Konsumenci (skutki przewlekłe układowe): 0,25 mg/kg mc/dzień</w:t>
      </w:r>
    </w:p>
    <w:p>
      <w:pPr>
        <w:spacing w:after="60" w:before="60"/>
      </w:pPr>
      <w:r>
        <w:rPr>
          <w:rFonts w:ascii="Arial" w:cs="Arial" w:eastAsia="Arial" w:hAnsi="Arial"/>
          <w:b/>
          <w:bCs/>
          <w:sz w:val="20"/>
          <w:szCs w:val="20"/>
        </w:rPr>
        <w:t xml:space="preserve">- Drogi oddechowe (inhalacyjnie):</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0,86 mg/m³</w:t>
      </w:r>
    </w:p>
    <w:p>
      <w:pPr>
        <w:spacing w:after="60" w:before="60"/>
      </w:pPr>
      <w:r>
        <w:rPr>
          <w:rFonts w:ascii="Arial" w:cs="Arial" w:eastAsia="Arial" w:hAnsi="Arial"/>
          <w:b/>
          <w:bCs/>
          <w:sz w:val="20"/>
          <w:szCs w:val="20"/>
        </w:rPr>
        <w:t xml:space="preserve">* Pracownicy (skutki przewlekłe układowe):</w:t>
      </w:r>
      <w:r>
        <w:rPr>
          <w:rFonts w:ascii="Arial" w:cs="Arial" w:eastAsia="Arial" w:hAnsi="Arial"/>
          <w:sz w:val="20"/>
          <w:szCs w:val="20"/>
        </w:rPr>
        <w:t xml:space="preserve"> 3,5 mg/m³</w:t>
      </w:r>
    </w:p>
    <w:p>
      <w:pPr>
        <w:spacing w:after="60" w:before="60"/>
      </w:pPr>
      <w:r>
        <w:rPr>
          <w:rFonts w:ascii="Arial" w:cs="Arial" w:eastAsia="Arial" w:hAnsi="Arial"/>
          <w:b/>
          <w:bCs/>
          <w:sz w:val="20"/>
          <w:szCs w:val="20"/>
        </w:rPr>
        <w:t xml:space="preserve">- Na skórę:</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0,25 mg/kg mc/dzień</w:t>
      </w:r>
    </w:p>
    <w:p>
      <w:pPr>
        <w:spacing w:after="60" w:before="60"/>
      </w:pPr>
      <w:r>
        <w:rPr>
          <w:rFonts w:ascii="Arial" w:cs="Arial" w:eastAsia="Arial" w:hAnsi="Arial"/>
          <w:b/>
          <w:bCs/>
          <w:sz w:val="20"/>
          <w:szCs w:val="20"/>
        </w:rPr>
        <w:t xml:space="preserve">* Pracownicy (skutki przewlekłe układowe):</w:t>
      </w:r>
      <w:r>
        <w:rPr>
          <w:rFonts w:ascii="Arial" w:cs="Arial" w:eastAsia="Arial" w:hAnsi="Arial"/>
          <w:sz w:val="20"/>
          <w:szCs w:val="20"/>
        </w:rPr>
        <w:t xml:space="preserve"> 0,5 mg/kg mc/dzień</w:t>
      </w:r>
    </w:p>
    <w:p>
      <w:pPr>
        <w:spacing w:after="80"/>
      </w:pPr>
      <w:r>
        <w:rPr>
          <w:rFonts w:ascii="Arial" w:cs="Arial" w:eastAsia="Arial" w:hAnsi="Arial"/>
          <w:sz w:val="20"/>
          <w:szCs w:val="20"/>
        </w:rPr>
        <w:t xml:space="preserve">Przewidywane stężenia niepowodujące zmian w środowisku (PNEC):</w:t>
      </w:r>
    </w:p>
    <w:p>
      <w:pPr>
        <w:spacing w:after="60" w:before="60"/>
      </w:pPr>
      <w:r>
        <w:rPr>
          <w:rFonts w:ascii="Arial" w:cs="Arial" w:eastAsia="Arial" w:hAnsi="Arial"/>
          <w:b/>
          <w:bCs/>
          <w:sz w:val="20"/>
          <w:szCs w:val="20"/>
        </w:rPr>
        <w:t xml:space="preserve">- woda słodka:</w:t>
      </w:r>
      <w:r>
        <w:rPr>
          <w:rFonts w:ascii="Arial" w:cs="Arial" w:eastAsia="Arial" w:hAnsi="Arial"/>
          <w:sz w:val="20"/>
          <w:szCs w:val="20"/>
        </w:rPr>
        <w:t xml:space="preserve"> 0,000199 mg/l</w:t>
      </w:r>
    </w:p>
    <w:p>
      <w:pPr>
        <w:spacing w:after="60" w:before="60"/>
      </w:pPr>
      <w:r>
        <w:rPr>
          <w:rFonts w:ascii="Arial" w:cs="Arial" w:eastAsia="Arial" w:hAnsi="Arial"/>
          <w:b/>
          <w:bCs/>
          <w:sz w:val="20"/>
          <w:szCs w:val="20"/>
        </w:rPr>
        <w:t xml:space="preserve">- woda morska:</w:t>
      </w:r>
      <w:r>
        <w:rPr>
          <w:rFonts w:ascii="Arial" w:cs="Arial" w:eastAsia="Arial" w:hAnsi="Arial"/>
          <w:sz w:val="20"/>
          <w:szCs w:val="20"/>
        </w:rPr>
        <w:t xml:space="preserve"> 0,02 µg/l</w:t>
      </w:r>
    </w:p>
    <w:p>
      <w:pPr>
        <w:spacing w:after="60" w:before="60"/>
      </w:pPr>
      <w:r>
        <w:rPr>
          <w:rFonts w:ascii="Arial" w:cs="Arial" w:eastAsia="Arial" w:hAnsi="Arial"/>
          <w:b/>
          <w:bCs/>
          <w:sz w:val="20"/>
          <w:szCs w:val="20"/>
        </w:rPr>
        <w:t xml:space="preserve">- osady słodkowodne:</w:t>
      </w:r>
      <w:r>
        <w:rPr>
          <w:rFonts w:ascii="Arial" w:cs="Arial" w:eastAsia="Arial" w:hAnsi="Arial"/>
          <w:sz w:val="20"/>
          <w:szCs w:val="20"/>
        </w:rPr>
        <w:t xml:space="preserve"> 0,0996 mg/kg</w:t>
      </w:r>
    </w:p>
    <w:p>
      <w:pPr>
        <w:spacing w:after="60" w:before="60"/>
      </w:pPr>
      <w:r>
        <w:rPr>
          <w:rFonts w:ascii="Arial" w:cs="Arial" w:eastAsia="Arial" w:hAnsi="Arial"/>
          <w:b/>
          <w:bCs/>
          <w:sz w:val="20"/>
          <w:szCs w:val="20"/>
        </w:rPr>
        <w:t xml:space="preserve">- osady morskie:</w:t>
      </w:r>
      <w:r>
        <w:rPr>
          <w:rFonts w:ascii="Arial" w:cs="Arial" w:eastAsia="Arial" w:hAnsi="Arial"/>
          <w:sz w:val="20"/>
          <w:szCs w:val="20"/>
        </w:rPr>
        <w:t xml:space="preserve"> 0,00996 mg/kg</w:t>
      </w:r>
    </w:p>
    <w:p>
      <w:pPr>
        <w:spacing w:after="60" w:before="60"/>
      </w:pPr>
      <w:r>
        <w:rPr>
          <w:rFonts w:ascii="Arial" w:cs="Arial" w:eastAsia="Arial" w:hAnsi="Arial"/>
          <w:b/>
          <w:bCs/>
          <w:sz w:val="20"/>
          <w:szCs w:val="20"/>
        </w:rPr>
        <w:t xml:space="preserve">- woda (uwalnianie okresowe):</w:t>
      </w:r>
      <w:r>
        <w:rPr>
          <w:rFonts w:ascii="Arial" w:cs="Arial" w:eastAsia="Arial" w:hAnsi="Arial"/>
          <w:sz w:val="20"/>
          <w:szCs w:val="20"/>
        </w:rPr>
        <w:t xml:space="preserve"> 0,00199 mg/l</w:t>
      </w:r>
    </w:p>
    <w:p>
      <w:pPr>
        <w:spacing w:after="60" w:before="60"/>
      </w:pPr>
      <w:r>
        <w:rPr>
          <w:rFonts w:ascii="Arial" w:cs="Arial" w:eastAsia="Arial" w:hAnsi="Arial"/>
          <w:b/>
          <w:bCs/>
          <w:sz w:val="20"/>
          <w:szCs w:val="20"/>
        </w:rPr>
        <w:t xml:space="preserve">- mikroorganizmy w oczyszczalni ścieków (STP):</w:t>
      </w:r>
      <w:r>
        <w:rPr>
          <w:rFonts w:ascii="Arial" w:cs="Arial" w:eastAsia="Arial" w:hAnsi="Arial"/>
          <w:sz w:val="20"/>
          <w:szCs w:val="20"/>
        </w:rPr>
        <w:t xml:space="preserve"> 0,17 mg/l</w:t>
      </w:r>
    </w:p>
    <w:p>
      <w:pPr>
        <w:spacing w:after="60" w:before="60"/>
      </w:pPr>
      <w:r>
        <w:rPr>
          <w:rFonts w:ascii="Arial" w:cs="Arial" w:eastAsia="Arial" w:hAnsi="Arial"/>
          <w:b/>
          <w:bCs/>
          <w:sz w:val="20"/>
          <w:szCs w:val="20"/>
        </w:rPr>
        <w:t xml:space="preserve">- łańcuch pokarmowy (zatrucie wtórne):</w:t>
      </w:r>
      <w:r>
        <w:rPr>
          <w:rFonts w:ascii="Arial" w:cs="Arial" w:eastAsia="Arial" w:hAnsi="Arial"/>
          <w:sz w:val="20"/>
          <w:szCs w:val="20"/>
        </w:rPr>
        <w:t xml:space="preserve"> 8,33 mg/kg</w:t>
      </w:r>
    </w:p>
    <w:p>
      <w:pPr>
        <w:spacing w:after="60" w:before="60"/>
      </w:pPr>
      <w:r>
        <w:rPr>
          <w:rFonts w:ascii="Arial" w:cs="Arial" w:eastAsia="Arial" w:hAnsi="Arial"/>
          <w:b/>
          <w:bCs/>
          <w:sz w:val="20"/>
          <w:szCs w:val="20"/>
        </w:rPr>
        <w:t xml:space="preserve">- środowisko glebowe (gleba):</w:t>
      </w:r>
      <w:r>
        <w:rPr>
          <w:rFonts w:ascii="Arial" w:cs="Arial" w:eastAsia="Arial" w:hAnsi="Arial"/>
          <w:sz w:val="20"/>
          <w:szCs w:val="20"/>
        </w:rPr>
        <w:t xml:space="preserve"> 0,04769 mg/kg</w:t>
      </w:r>
    </w:p>
    <w:p>
      <w:pPr>
        <w:spacing w:after="80"/>
      </w:pPr>
      <w:r>
        <w:rPr>
          <w:rFonts w:ascii="Arial" w:cs="Arial" w:eastAsia="Arial" w:hAnsi="Arial"/>
          <w:sz w:val="20"/>
          <w:szCs w:val="20"/>
        </w:rPr>
        <w:t xml:space="preserve">Substancja: 1,8-cyneol (eukaliptol) [CAS: 470-82-6]</w:t>
      </w:r>
    </w:p>
    <w:p>
      <w:pPr>
        <w:spacing w:after="80"/>
      </w:pPr>
      <w:r>
        <w:rPr>
          <w:rFonts w:ascii="Arial" w:cs="Arial" w:eastAsia="Arial" w:hAnsi="Arial"/>
          <w:sz w:val="20"/>
          <w:szCs w:val="20"/>
        </w:rPr>
        <w:t xml:space="preserve">Pochodne poziomy niepowodujące zmian (DNEL):</w:t>
      </w:r>
    </w:p>
    <w:p>
      <w:pPr>
        <w:spacing w:after="60" w:before="60"/>
      </w:pPr>
      <w:r>
        <w:rPr>
          <w:rFonts w:ascii="Arial" w:cs="Arial" w:eastAsia="Arial" w:hAnsi="Arial"/>
          <w:b/>
          <w:bCs/>
          <w:sz w:val="20"/>
          <w:szCs w:val="20"/>
        </w:rPr>
        <w:t xml:space="preserve">- Droga pokarmowa (doustnie):</w:t>
      </w:r>
      <w:r>
        <w:rPr>
          <w:rFonts w:ascii="Arial" w:cs="Arial" w:eastAsia="Arial" w:hAnsi="Arial"/>
          <w:sz w:val="20"/>
          <w:szCs w:val="20"/>
        </w:rPr>
        <w:t xml:space="preserve"> Konsumenci (skutki przewlekłe układowe): 600 mg/kg mc/dzień</w:t>
      </w:r>
    </w:p>
    <w:p>
      <w:pPr>
        <w:spacing w:after="60" w:before="60"/>
      </w:pPr>
      <w:r>
        <w:rPr>
          <w:rFonts w:ascii="Arial" w:cs="Arial" w:eastAsia="Arial" w:hAnsi="Arial"/>
          <w:b/>
          <w:bCs/>
          <w:sz w:val="20"/>
          <w:szCs w:val="20"/>
        </w:rPr>
        <w:t xml:space="preserve">- Drogi oddechowe (inhalacyjnie):</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1,74 mg/m³</w:t>
      </w:r>
    </w:p>
    <w:p>
      <w:pPr>
        <w:spacing w:after="60" w:before="60"/>
      </w:pPr>
      <w:r>
        <w:rPr>
          <w:rFonts w:ascii="Arial" w:cs="Arial" w:eastAsia="Arial" w:hAnsi="Arial"/>
          <w:b/>
          <w:bCs/>
          <w:sz w:val="20"/>
          <w:szCs w:val="20"/>
        </w:rPr>
        <w:t xml:space="preserve">* Pracownicy (skutki przewlekłe układowe):</w:t>
      </w:r>
      <w:r>
        <w:rPr>
          <w:rFonts w:ascii="Arial" w:cs="Arial" w:eastAsia="Arial" w:hAnsi="Arial"/>
          <w:sz w:val="20"/>
          <w:szCs w:val="20"/>
        </w:rPr>
        <w:t xml:space="preserve"> 7,05 mg/m³</w:t>
      </w:r>
    </w:p>
    <w:p>
      <w:pPr>
        <w:spacing w:after="60" w:before="60"/>
      </w:pPr>
      <w:r>
        <w:rPr>
          <w:rFonts w:ascii="Arial" w:cs="Arial" w:eastAsia="Arial" w:hAnsi="Arial"/>
          <w:b/>
          <w:bCs/>
          <w:sz w:val="20"/>
          <w:szCs w:val="20"/>
        </w:rPr>
        <w:t xml:space="preserve">- Na skórę:</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1 mg/kg mc/dzień</w:t>
      </w:r>
    </w:p>
    <w:p>
      <w:pPr>
        <w:spacing w:after="60" w:before="60"/>
      </w:pPr>
      <w:r>
        <w:rPr>
          <w:rFonts w:ascii="Arial" w:cs="Arial" w:eastAsia="Arial" w:hAnsi="Arial"/>
          <w:b/>
          <w:bCs/>
          <w:sz w:val="20"/>
          <w:szCs w:val="20"/>
        </w:rPr>
        <w:t xml:space="preserve">* Pracownicy (skutki przewlekłe układowe):</w:t>
      </w:r>
      <w:r>
        <w:rPr>
          <w:rFonts w:ascii="Arial" w:cs="Arial" w:eastAsia="Arial" w:hAnsi="Arial"/>
          <w:sz w:val="20"/>
          <w:szCs w:val="20"/>
        </w:rPr>
        <w:t xml:space="preserve"> 2 mg/kg mc/dzień</w:t>
      </w:r>
    </w:p>
    <w:p>
      <w:pPr>
        <w:spacing w:after="80"/>
      </w:pPr>
      <w:r>
        <w:rPr>
          <w:rFonts w:ascii="Arial" w:cs="Arial" w:eastAsia="Arial" w:hAnsi="Arial"/>
          <w:sz w:val="20"/>
          <w:szCs w:val="20"/>
        </w:rPr>
        <w:t xml:space="preserve">Przewidywane stężenia niepowodujące zmian w środowisku (PNEC):</w:t>
      </w:r>
    </w:p>
    <w:p>
      <w:pPr>
        <w:spacing w:after="60" w:before="60"/>
      </w:pPr>
      <w:r>
        <w:rPr>
          <w:rFonts w:ascii="Arial" w:cs="Arial" w:eastAsia="Arial" w:hAnsi="Arial"/>
          <w:b/>
          <w:bCs/>
          <w:sz w:val="20"/>
          <w:szCs w:val="20"/>
        </w:rPr>
        <w:t xml:space="preserve">- woda słodka:</w:t>
      </w:r>
      <w:r>
        <w:rPr>
          <w:rFonts w:ascii="Arial" w:cs="Arial" w:eastAsia="Arial" w:hAnsi="Arial"/>
          <w:sz w:val="20"/>
          <w:szCs w:val="20"/>
        </w:rPr>
        <w:t xml:space="preserve"> 0,057 mg/l</w:t>
      </w:r>
    </w:p>
    <w:p>
      <w:pPr>
        <w:spacing w:after="60" w:before="60"/>
      </w:pPr>
      <w:r>
        <w:rPr>
          <w:rFonts w:ascii="Arial" w:cs="Arial" w:eastAsia="Arial" w:hAnsi="Arial"/>
          <w:b/>
          <w:bCs/>
          <w:sz w:val="20"/>
          <w:szCs w:val="20"/>
        </w:rPr>
        <w:t xml:space="preserve">- woda morska:</w:t>
      </w:r>
      <w:r>
        <w:rPr>
          <w:rFonts w:ascii="Arial" w:cs="Arial" w:eastAsia="Arial" w:hAnsi="Arial"/>
          <w:sz w:val="20"/>
          <w:szCs w:val="20"/>
        </w:rPr>
        <w:t xml:space="preserve"> 0,0057 mg/l</w:t>
      </w:r>
    </w:p>
    <w:p>
      <w:pPr>
        <w:spacing w:after="60" w:before="60"/>
      </w:pPr>
      <w:r>
        <w:rPr>
          <w:rFonts w:ascii="Arial" w:cs="Arial" w:eastAsia="Arial" w:hAnsi="Arial"/>
          <w:b/>
          <w:bCs/>
          <w:sz w:val="20"/>
          <w:szCs w:val="20"/>
        </w:rPr>
        <w:t xml:space="preserve">- osady słodkowodne:</w:t>
      </w:r>
      <w:r>
        <w:rPr>
          <w:rFonts w:ascii="Arial" w:cs="Arial" w:eastAsia="Arial" w:hAnsi="Arial"/>
          <w:sz w:val="20"/>
          <w:szCs w:val="20"/>
        </w:rPr>
        <w:t xml:space="preserve"> 1,425 mg/kg</w:t>
      </w:r>
    </w:p>
    <w:p>
      <w:pPr>
        <w:spacing w:after="60" w:before="60"/>
      </w:pPr>
      <w:r>
        <w:rPr>
          <w:rFonts w:ascii="Arial" w:cs="Arial" w:eastAsia="Arial" w:hAnsi="Arial"/>
          <w:b/>
          <w:bCs/>
          <w:sz w:val="20"/>
          <w:szCs w:val="20"/>
        </w:rPr>
        <w:t xml:space="preserve">- osady morskie:</w:t>
      </w:r>
      <w:r>
        <w:rPr>
          <w:rFonts w:ascii="Arial" w:cs="Arial" w:eastAsia="Arial" w:hAnsi="Arial"/>
          <w:sz w:val="20"/>
          <w:szCs w:val="20"/>
        </w:rPr>
        <w:t xml:space="preserve"> 0,142 mg/kg</w:t>
      </w:r>
    </w:p>
    <w:p>
      <w:pPr>
        <w:spacing w:after="60" w:before="60"/>
      </w:pPr>
      <w:r>
        <w:rPr>
          <w:rFonts w:ascii="Arial" w:cs="Arial" w:eastAsia="Arial" w:hAnsi="Arial"/>
          <w:b/>
          <w:bCs/>
          <w:sz w:val="20"/>
          <w:szCs w:val="20"/>
        </w:rPr>
        <w:t xml:space="preserve">- woda (uwalnianie okresowe):</w:t>
      </w:r>
      <w:r>
        <w:rPr>
          <w:rFonts w:ascii="Arial" w:cs="Arial" w:eastAsia="Arial" w:hAnsi="Arial"/>
          <w:sz w:val="20"/>
          <w:szCs w:val="20"/>
        </w:rPr>
        <w:t xml:space="preserve"> 0,57 mg/l</w:t>
      </w:r>
    </w:p>
    <w:p>
      <w:pPr>
        <w:spacing w:after="60" w:before="60"/>
      </w:pPr>
      <w:r>
        <w:rPr>
          <w:rFonts w:ascii="Arial" w:cs="Arial" w:eastAsia="Arial" w:hAnsi="Arial"/>
          <w:b/>
          <w:bCs/>
          <w:sz w:val="20"/>
          <w:szCs w:val="20"/>
        </w:rPr>
        <w:t xml:space="preserve">- mikroorganizmy w oczyszczalni ścieków (STP):</w:t>
      </w:r>
      <w:r>
        <w:rPr>
          <w:rFonts w:ascii="Arial" w:cs="Arial" w:eastAsia="Arial" w:hAnsi="Arial"/>
          <w:sz w:val="20"/>
          <w:szCs w:val="20"/>
        </w:rPr>
        <w:t xml:space="preserve"> 10 mg/l</w:t>
      </w:r>
    </w:p>
    <w:p>
      <w:pPr>
        <w:spacing w:after="60" w:before="60"/>
      </w:pPr>
      <w:r>
        <w:rPr>
          <w:rFonts w:ascii="Arial" w:cs="Arial" w:eastAsia="Arial" w:hAnsi="Arial"/>
          <w:b/>
          <w:bCs/>
          <w:sz w:val="20"/>
          <w:szCs w:val="20"/>
        </w:rPr>
        <w:t xml:space="preserve">- łańcuch pokarmowy (zatrucie wtórne):</w:t>
      </w:r>
      <w:r>
        <w:rPr>
          <w:rFonts w:ascii="Arial" w:cs="Arial" w:eastAsia="Arial" w:hAnsi="Arial"/>
          <w:sz w:val="20"/>
          <w:szCs w:val="20"/>
        </w:rPr>
        <w:t xml:space="preserve"> 40 mg/kg</w:t>
      </w:r>
    </w:p>
    <w:p>
      <w:pPr>
        <w:spacing w:after="60" w:before="60"/>
      </w:pPr>
      <w:r>
        <w:rPr>
          <w:rFonts w:ascii="Arial" w:cs="Arial" w:eastAsia="Arial" w:hAnsi="Arial"/>
          <w:b/>
          <w:bCs/>
          <w:sz w:val="20"/>
          <w:szCs w:val="20"/>
        </w:rPr>
        <w:t xml:space="preserve">- środowisko glebowe (gleba):</w:t>
      </w:r>
      <w:r>
        <w:rPr>
          <w:rFonts w:ascii="Arial" w:cs="Arial" w:eastAsia="Arial" w:hAnsi="Arial"/>
          <w:sz w:val="20"/>
          <w:szCs w:val="20"/>
        </w:rPr>
        <w:t xml:space="preserve"> 0,25 mg/kg</w:t>
      </w:r>
    </w:p>
    <w:p>
      <w:pPr>
        <w:spacing w:after="80"/>
      </w:pPr>
      <w:r>
        <w:rPr>
          <w:rFonts w:ascii="Arial" w:cs="Arial" w:eastAsia="Arial" w:hAnsi="Arial"/>
          <w:sz w:val="20"/>
          <w:szCs w:val="20"/>
        </w:rPr>
        <w:t xml:space="preserve">Substancja: aldehyd cynamonowy [CAS: 104-55-2]</w:t>
      </w:r>
    </w:p>
    <w:p>
      <w:pPr>
        <w:spacing w:after="80"/>
      </w:pPr>
      <w:r>
        <w:rPr>
          <w:rFonts w:ascii="Arial" w:cs="Arial" w:eastAsia="Arial" w:hAnsi="Arial"/>
          <w:sz w:val="20"/>
          <w:szCs w:val="20"/>
        </w:rPr>
        <w:t xml:space="preserve">Pochodne poziomy niepowodujące zmian (DNEL):</w:t>
      </w:r>
    </w:p>
    <w:p>
      <w:pPr>
        <w:spacing w:after="60" w:before="60"/>
      </w:pPr>
      <w:r>
        <w:rPr>
          <w:rFonts w:ascii="Arial" w:cs="Arial" w:eastAsia="Arial" w:hAnsi="Arial"/>
          <w:b/>
          <w:bCs/>
          <w:sz w:val="20"/>
          <w:szCs w:val="20"/>
        </w:rPr>
        <w:t xml:space="preserve">- Droga pokarmowa (doustnie):</w:t>
      </w:r>
      <w:r>
        <w:rPr>
          <w:rFonts w:ascii="Arial" w:cs="Arial" w:eastAsia="Arial" w:hAnsi="Arial"/>
          <w:sz w:val="20"/>
          <w:szCs w:val="20"/>
        </w:rPr>
        <w:t xml:space="preserve"> Konsumenci (skutki przewlekłe układowe): 1,37 mg/kg mc/dzień</w:t>
      </w:r>
    </w:p>
    <w:p>
      <w:pPr>
        <w:spacing w:after="60" w:before="60"/>
      </w:pPr>
      <w:r>
        <w:rPr>
          <w:rFonts w:ascii="Arial" w:cs="Arial" w:eastAsia="Arial" w:hAnsi="Arial"/>
          <w:b/>
          <w:bCs/>
          <w:sz w:val="20"/>
          <w:szCs w:val="20"/>
        </w:rPr>
        <w:t xml:space="preserve">- Drogi oddechowe (inhalacyjnie):</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2,4 mg/m³</w:t>
      </w:r>
    </w:p>
    <w:p>
      <w:pPr>
        <w:spacing w:after="60" w:before="60"/>
      </w:pPr>
      <w:r>
        <w:rPr>
          <w:rFonts w:ascii="Arial" w:cs="Arial" w:eastAsia="Arial" w:hAnsi="Arial"/>
          <w:b/>
          <w:bCs/>
          <w:sz w:val="20"/>
          <w:szCs w:val="20"/>
        </w:rPr>
        <w:t xml:space="preserve">* Pracownicy (skutki przewlekłe układowe):</w:t>
      </w:r>
      <w:r>
        <w:rPr>
          <w:rFonts w:ascii="Arial" w:cs="Arial" w:eastAsia="Arial" w:hAnsi="Arial"/>
          <w:sz w:val="20"/>
          <w:szCs w:val="20"/>
        </w:rPr>
        <w:t xml:space="preserve"> 13,6 mg/m³</w:t>
      </w:r>
    </w:p>
    <w:p>
      <w:pPr>
        <w:spacing w:after="60" w:before="60"/>
      </w:pPr>
      <w:r>
        <w:rPr>
          <w:rFonts w:ascii="Arial" w:cs="Arial" w:eastAsia="Arial" w:hAnsi="Arial"/>
          <w:b/>
          <w:bCs/>
          <w:sz w:val="20"/>
          <w:szCs w:val="20"/>
        </w:rPr>
        <w:t xml:space="preserve">- Na skórę:</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1,37 mg/kg mc/dzień</w:t>
      </w:r>
    </w:p>
    <w:p>
      <w:pPr>
        <w:spacing w:after="60" w:before="60"/>
      </w:pPr>
      <w:r>
        <w:rPr>
          <w:rFonts w:ascii="Arial" w:cs="Arial" w:eastAsia="Arial" w:hAnsi="Arial"/>
          <w:b/>
          <w:bCs/>
          <w:sz w:val="20"/>
          <w:szCs w:val="20"/>
        </w:rPr>
        <w:t xml:space="preserve">* Pracownicy (skutki przewlekłe układowe):</w:t>
      </w:r>
      <w:r>
        <w:rPr>
          <w:rFonts w:ascii="Arial" w:cs="Arial" w:eastAsia="Arial" w:hAnsi="Arial"/>
          <w:sz w:val="20"/>
          <w:szCs w:val="20"/>
        </w:rPr>
        <w:t xml:space="preserve"> 3,85 mg/kg mc/dzień</w:t>
      </w:r>
    </w:p>
    <w:p>
      <w:pPr>
        <w:spacing w:after="80"/>
      </w:pPr>
      <w:r>
        <w:rPr>
          <w:rFonts w:ascii="Arial" w:cs="Arial" w:eastAsia="Arial" w:hAnsi="Arial"/>
          <w:sz w:val="20"/>
          <w:szCs w:val="20"/>
        </w:rPr>
        <w:t xml:space="preserve">Przewidywane stężenia niepowodujące zmian w środowisku (PNEC):</w:t>
      </w:r>
    </w:p>
    <w:p>
      <w:pPr>
        <w:spacing w:after="60" w:before="60"/>
      </w:pPr>
      <w:r>
        <w:rPr>
          <w:rFonts w:ascii="Arial" w:cs="Arial" w:eastAsia="Arial" w:hAnsi="Arial"/>
          <w:b/>
          <w:bCs/>
          <w:sz w:val="20"/>
          <w:szCs w:val="20"/>
        </w:rPr>
        <w:t xml:space="preserve">- woda słodka:</w:t>
      </w:r>
      <w:r>
        <w:rPr>
          <w:rFonts w:ascii="Arial" w:cs="Arial" w:eastAsia="Arial" w:hAnsi="Arial"/>
          <w:sz w:val="20"/>
          <w:szCs w:val="20"/>
        </w:rPr>
        <w:t xml:space="preserve"> 0,021 mg/l</w:t>
      </w:r>
    </w:p>
    <w:p>
      <w:pPr>
        <w:spacing w:after="60" w:before="60"/>
      </w:pPr>
      <w:r>
        <w:rPr>
          <w:rFonts w:ascii="Arial" w:cs="Arial" w:eastAsia="Arial" w:hAnsi="Arial"/>
          <w:b/>
          <w:bCs/>
          <w:sz w:val="20"/>
          <w:szCs w:val="20"/>
        </w:rPr>
        <w:t xml:space="preserve">- woda morska:</w:t>
      </w:r>
      <w:r>
        <w:rPr>
          <w:rFonts w:ascii="Arial" w:cs="Arial" w:eastAsia="Arial" w:hAnsi="Arial"/>
          <w:sz w:val="20"/>
          <w:szCs w:val="20"/>
        </w:rPr>
        <w:t xml:space="preserve"> 0,002 mg/l</w:t>
      </w:r>
    </w:p>
    <w:p>
      <w:pPr>
        <w:spacing w:after="60" w:before="60"/>
      </w:pPr>
      <w:r>
        <w:rPr>
          <w:rFonts w:ascii="Arial" w:cs="Arial" w:eastAsia="Arial" w:hAnsi="Arial"/>
          <w:b/>
          <w:bCs/>
          <w:sz w:val="20"/>
          <w:szCs w:val="20"/>
        </w:rPr>
        <w:t xml:space="preserve">- osady słodkowodne:</w:t>
      </w:r>
      <w:r>
        <w:rPr>
          <w:rFonts w:ascii="Arial" w:cs="Arial" w:eastAsia="Arial" w:hAnsi="Arial"/>
          <w:sz w:val="20"/>
          <w:szCs w:val="20"/>
        </w:rPr>
        <w:t xml:space="preserve"> 0,021 mg/kg</w:t>
      </w:r>
    </w:p>
    <w:p>
      <w:pPr>
        <w:spacing w:after="60" w:before="60"/>
      </w:pPr>
      <w:r>
        <w:rPr>
          <w:rFonts w:ascii="Arial" w:cs="Arial" w:eastAsia="Arial" w:hAnsi="Arial"/>
          <w:b/>
          <w:bCs/>
          <w:sz w:val="20"/>
          <w:szCs w:val="20"/>
        </w:rPr>
        <w:t xml:space="preserve">- woda (uwalnianie okresowe):</w:t>
      </w:r>
      <w:r>
        <w:rPr>
          <w:rFonts w:ascii="Arial" w:cs="Arial" w:eastAsia="Arial" w:hAnsi="Arial"/>
          <w:sz w:val="20"/>
          <w:szCs w:val="20"/>
        </w:rPr>
        <w:t xml:space="preserve"> 0,21 mg/l</w:t>
      </w:r>
    </w:p>
    <w:p>
      <w:pPr>
        <w:spacing w:after="60" w:before="60"/>
      </w:pPr>
      <w:r>
        <w:rPr>
          <w:rFonts w:ascii="Arial" w:cs="Arial" w:eastAsia="Arial" w:hAnsi="Arial"/>
          <w:b/>
          <w:bCs/>
          <w:sz w:val="20"/>
          <w:szCs w:val="20"/>
        </w:rPr>
        <w:t xml:space="preserve">- mikroorganizmy w oczyszczalni ścieków (STP):</w:t>
      </w:r>
      <w:r>
        <w:rPr>
          <w:rFonts w:ascii="Arial" w:cs="Arial" w:eastAsia="Arial" w:hAnsi="Arial"/>
          <w:sz w:val="20"/>
          <w:szCs w:val="20"/>
        </w:rPr>
        <w:t xml:space="preserve"> 7,1 mg/l</w:t>
      </w:r>
    </w:p>
    <w:p>
      <w:pPr>
        <w:spacing w:after="60" w:before="60"/>
      </w:pPr>
      <w:r>
        <w:rPr>
          <w:rFonts w:ascii="Arial" w:cs="Arial" w:eastAsia="Arial" w:hAnsi="Arial"/>
          <w:b/>
          <w:bCs/>
          <w:sz w:val="20"/>
          <w:szCs w:val="20"/>
        </w:rPr>
        <w:t xml:space="preserve">- środowisko glebowe (gleba):</w:t>
      </w:r>
      <w:r>
        <w:rPr>
          <w:rFonts w:ascii="Arial" w:cs="Arial" w:eastAsia="Arial" w:hAnsi="Arial"/>
          <w:sz w:val="20"/>
          <w:szCs w:val="20"/>
        </w:rPr>
        <w:t xml:space="preserve"> 0,004 mg/kg</w:t>
      </w:r>
    </w:p>
    <w:p>
      <w:pPr>
        <w:spacing w:after="80"/>
      </w:pPr>
      <w:r>
        <w:rPr>
          <w:rFonts w:ascii="Arial" w:cs="Arial" w:eastAsia="Arial" w:hAnsi="Arial"/>
          <w:sz w:val="20"/>
          <w:szCs w:val="20"/>
        </w:rPr>
        <w:t xml:space="preserve">Substancja: kwas octowy [CAS: 64-19-7]</w:t>
      </w:r>
    </w:p>
    <w:p>
      <w:pPr>
        <w:spacing w:after="80"/>
      </w:pPr>
      <w:r>
        <w:rPr>
          <w:rFonts w:ascii="Arial" w:cs="Arial" w:eastAsia="Arial" w:hAnsi="Arial"/>
          <w:sz w:val="20"/>
          <w:szCs w:val="20"/>
        </w:rPr>
        <w:t xml:space="preserve">Pochodne poziomy niepowodujące zmian (DNEL):</w:t>
      </w:r>
    </w:p>
    <w:p>
      <w:pPr>
        <w:spacing w:after="60" w:before="60"/>
      </w:pPr>
      <w:r>
        <w:rPr>
          <w:rFonts w:ascii="Arial" w:cs="Arial" w:eastAsia="Arial" w:hAnsi="Arial"/>
          <w:b/>
          <w:bCs/>
          <w:sz w:val="20"/>
          <w:szCs w:val="20"/>
        </w:rPr>
        <w:t xml:space="preserve">- Drogi oddechowe (inhalacyjnie):</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w:t>
      </w:r>
      <w:r>
        <w:rPr>
          <w:rFonts w:ascii="Arial" w:cs="Arial" w:eastAsia="Arial" w:hAnsi="Arial"/>
          <w:sz w:val="20"/>
          <w:szCs w:val="20"/>
        </w:rPr>
        <w:t xml:space="preserve"> skutki ostre układowe: 25 mg/m³; skutki przewlekłe układowe: 25 mg/m³</w:t>
      </w:r>
    </w:p>
    <w:p>
      <w:pPr>
        <w:spacing w:after="60" w:before="60"/>
      </w:pPr>
      <w:r>
        <w:rPr>
          <w:rFonts w:ascii="Arial" w:cs="Arial" w:eastAsia="Arial" w:hAnsi="Arial"/>
          <w:b/>
          <w:bCs/>
          <w:sz w:val="20"/>
          <w:szCs w:val="20"/>
        </w:rPr>
        <w:t xml:space="preserve">* Pracownicy:</w:t>
      </w:r>
      <w:r>
        <w:rPr>
          <w:rFonts w:ascii="Arial" w:cs="Arial" w:eastAsia="Arial" w:hAnsi="Arial"/>
          <w:sz w:val="20"/>
          <w:szCs w:val="20"/>
        </w:rPr>
        <w:t xml:space="preserve"> skutki ostre układowe: 25 mg/m³; skutki przewlekłe układowe: 25 mg/m³</w:t>
      </w:r>
    </w:p>
    <w:p>
      <w:pPr>
        <w:spacing w:after="80"/>
      </w:pPr>
      <w:r>
        <w:rPr>
          <w:rFonts w:ascii="Arial" w:cs="Arial" w:eastAsia="Arial" w:hAnsi="Arial"/>
          <w:sz w:val="20"/>
          <w:szCs w:val="20"/>
        </w:rPr>
        <w:t xml:space="preserve">Przewidywane stężenia niepowodujące zmian w środowisku (PNEC):</w:t>
      </w:r>
    </w:p>
    <w:p>
      <w:pPr>
        <w:spacing w:after="60" w:before="60"/>
      </w:pPr>
      <w:r>
        <w:rPr>
          <w:rFonts w:ascii="Arial" w:cs="Arial" w:eastAsia="Arial" w:hAnsi="Arial"/>
          <w:b/>
          <w:bCs/>
          <w:sz w:val="20"/>
          <w:szCs w:val="20"/>
        </w:rPr>
        <w:t xml:space="preserve">- woda słodka:</w:t>
      </w:r>
      <w:r>
        <w:rPr>
          <w:rFonts w:ascii="Arial" w:cs="Arial" w:eastAsia="Arial" w:hAnsi="Arial"/>
          <w:sz w:val="20"/>
          <w:szCs w:val="20"/>
        </w:rPr>
        <w:t xml:space="preserve"> 3,058 mg/l</w:t>
      </w:r>
    </w:p>
    <w:p>
      <w:pPr>
        <w:spacing w:after="60" w:before="60"/>
      </w:pPr>
      <w:r>
        <w:rPr>
          <w:rFonts w:ascii="Arial" w:cs="Arial" w:eastAsia="Arial" w:hAnsi="Arial"/>
          <w:b/>
          <w:bCs/>
          <w:sz w:val="20"/>
          <w:szCs w:val="20"/>
        </w:rPr>
        <w:t xml:space="preserve">- woda morska:</w:t>
      </w:r>
      <w:r>
        <w:rPr>
          <w:rFonts w:ascii="Arial" w:cs="Arial" w:eastAsia="Arial" w:hAnsi="Arial"/>
          <w:sz w:val="20"/>
          <w:szCs w:val="20"/>
        </w:rPr>
        <w:t xml:space="preserve"> 0,306 mg/l</w:t>
      </w:r>
    </w:p>
    <w:p>
      <w:pPr>
        <w:spacing w:after="60" w:before="60"/>
      </w:pPr>
      <w:r>
        <w:rPr>
          <w:rFonts w:ascii="Arial" w:cs="Arial" w:eastAsia="Arial" w:hAnsi="Arial"/>
          <w:b/>
          <w:bCs/>
          <w:sz w:val="20"/>
          <w:szCs w:val="20"/>
        </w:rPr>
        <w:t xml:space="preserve">- osady słodkowodne:</w:t>
      </w:r>
      <w:r>
        <w:rPr>
          <w:rFonts w:ascii="Arial" w:cs="Arial" w:eastAsia="Arial" w:hAnsi="Arial"/>
          <w:sz w:val="20"/>
          <w:szCs w:val="20"/>
        </w:rPr>
        <w:t xml:space="preserve"> 11,36 mg/kg</w:t>
      </w:r>
    </w:p>
    <w:p>
      <w:pPr>
        <w:spacing w:after="60" w:before="60"/>
      </w:pPr>
      <w:r>
        <w:rPr>
          <w:rFonts w:ascii="Arial" w:cs="Arial" w:eastAsia="Arial" w:hAnsi="Arial"/>
          <w:b/>
          <w:bCs/>
          <w:sz w:val="20"/>
          <w:szCs w:val="20"/>
        </w:rPr>
        <w:t xml:space="preserve">- osady morskie:</w:t>
      </w:r>
      <w:r>
        <w:rPr>
          <w:rFonts w:ascii="Arial" w:cs="Arial" w:eastAsia="Arial" w:hAnsi="Arial"/>
          <w:sz w:val="20"/>
          <w:szCs w:val="20"/>
        </w:rPr>
        <w:t xml:space="preserve"> 1,136 mg/kg</w:t>
      </w:r>
    </w:p>
    <w:p>
      <w:pPr>
        <w:spacing w:after="60" w:before="60"/>
      </w:pPr>
      <w:r>
        <w:rPr>
          <w:rFonts w:ascii="Arial" w:cs="Arial" w:eastAsia="Arial" w:hAnsi="Arial"/>
          <w:b/>
          <w:bCs/>
          <w:sz w:val="20"/>
          <w:szCs w:val="20"/>
        </w:rPr>
        <w:t xml:space="preserve">- woda (uwalnianie okresowe):</w:t>
      </w:r>
      <w:r>
        <w:rPr>
          <w:rFonts w:ascii="Arial" w:cs="Arial" w:eastAsia="Arial" w:hAnsi="Arial"/>
          <w:sz w:val="20"/>
          <w:szCs w:val="20"/>
        </w:rPr>
        <w:t xml:space="preserve"> 30,58 mg/l</w:t>
      </w:r>
    </w:p>
    <w:p>
      <w:pPr>
        <w:spacing w:after="60" w:before="60"/>
      </w:pPr>
      <w:r>
        <w:rPr>
          <w:rFonts w:ascii="Arial" w:cs="Arial" w:eastAsia="Arial" w:hAnsi="Arial"/>
          <w:b/>
          <w:bCs/>
          <w:sz w:val="20"/>
          <w:szCs w:val="20"/>
        </w:rPr>
        <w:t xml:space="preserve">- mikroorganizmy w oczyszczalni ścieków (STP):</w:t>
      </w:r>
      <w:r>
        <w:rPr>
          <w:rFonts w:ascii="Arial" w:cs="Arial" w:eastAsia="Arial" w:hAnsi="Arial"/>
          <w:sz w:val="20"/>
          <w:szCs w:val="20"/>
        </w:rPr>
        <w:t xml:space="preserve"> 85 mg/l</w:t>
      </w:r>
    </w:p>
    <w:p>
      <w:pPr>
        <w:spacing w:after="60" w:before="60"/>
      </w:pPr>
      <w:r>
        <w:rPr>
          <w:rFonts w:ascii="Arial" w:cs="Arial" w:eastAsia="Arial" w:hAnsi="Arial"/>
          <w:b/>
          <w:bCs/>
          <w:sz w:val="20"/>
          <w:szCs w:val="20"/>
        </w:rPr>
        <w:t xml:space="preserve">- środowisko glebowe (gleba):</w:t>
      </w:r>
      <w:r>
        <w:rPr>
          <w:rFonts w:ascii="Arial" w:cs="Arial" w:eastAsia="Arial" w:hAnsi="Arial"/>
          <w:sz w:val="20"/>
          <w:szCs w:val="20"/>
        </w:rPr>
        <w:t xml:space="preserve"> 0,47 mg/kg</w:t>
      </w:r>
    </w:p>
    <w:p>
      <w:pPr>
        <w:spacing w:after="80"/>
      </w:pPr>
      <w:r>
        <w:rPr>
          <w:rFonts w:ascii="Arial" w:cs="Arial" w:eastAsia="Arial" w:hAnsi="Arial"/>
          <w:sz w:val="20"/>
          <w:szCs w:val="20"/>
        </w:rPr>
        <w:t xml:space="preserve">Substancja: toluen [CAS: 108-88-3]</w:t>
      </w:r>
    </w:p>
    <w:p>
      <w:pPr>
        <w:spacing w:after="80"/>
      </w:pPr>
      <w:r>
        <w:rPr>
          <w:rFonts w:ascii="Arial" w:cs="Arial" w:eastAsia="Arial" w:hAnsi="Arial"/>
          <w:sz w:val="20"/>
          <w:szCs w:val="20"/>
        </w:rPr>
        <w:t xml:space="preserve">Pochodne poziomy niepowodujące zmian (DNEL):</w:t>
      </w:r>
    </w:p>
    <w:p>
      <w:pPr>
        <w:spacing w:after="60" w:before="60"/>
      </w:pPr>
      <w:r>
        <w:rPr>
          <w:rFonts w:ascii="Arial" w:cs="Arial" w:eastAsia="Arial" w:hAnsi="Arial"/>
          <w:b/>
          <w:bCs/>
          <w:sz w:val="20"/>
          <w:szCs w:val="20"/>
        </w:rPr>
        <w:t xml:space="preserve">- Droga pokarmowa (doustnie):</w:t>
      </w:r>
      <w:r>
        <w:rPr>
          <w:rFonts w:ascii="Arial" w:cs="Arial" w:eastAsia="Arial" w:hAnsi="Arial"/>
          <w:sz w:val="20"/>
          <w:szCs w:val="20"/>
        </w:rPr>
        <w:t xml:space="preserve"> Konsumenci (skutki przewlekłe układowe): 8,13 mg/kg mc/dzień</w:t>
      </w:r>
    </w:p>
    <w:p>
      <w:pPr>
        <w:spacing w:after="60" w:before="60"/>
      </w:pPr>
      <w:r>
        <w:rPr>
          <w:rFonts w:ascii="Arial" w:cs="Arial" w:eastAsia="Arial" w:hAnsi="Arial"/>
          <w:b/>
          <w:bCs/>
          <w:sz w:val="20"/>
          <w:szCs w:val="20"/>
        </w:rPr>
        <w:t xml:space="preserve">- Drogi oddechowe (inhalacyjnie):</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w:t>
      </w:r>
      <w:r>
        <w:rPr>
          <w:rFonts w:ascii="Arial" w:cs="Arial" w:eastAsia="Arial" w:hAnsi="Arial"/>
          <w:sz w:val="20"/>
          <w:szCs w:val="20"/>
        </w:rPr>
        <w:t xml:space="preserve"> ostre miejscowe: 226 mg/m³, ostre układowe: 226 mg/m³, przewlekłe miejscowe: 56,5 mg/m³, przewlekłe układowe: 56,5 mg/m³</w:t>
      </w:r>
    </w:p>
    <w:p>
      <w:pPr>
        <w:spacing w:after="60" w:before="60"/>
      </w:pPr>
      <w:r>
        <w:rPr>
          <w:rFonts w:ascii="Arial" w:cs="Arial" w:eastAsia="Arial" w:hAnsi="Arial"/>
          <w:b/>
          <w:bCs/>
          <w:sz w:val="20"/>
          <w:szCs w:val="20"/>
        </w:rPr>
        <w:t xml:space="preserve">* Pracownicy:</w:t>
      </w:r>
      <w:r>
        <w:rPr>
          <w:rFonts w:ascii="Arial" w:cs="Arial" w:eastAsia="Arial" w:hAnsi="Arial"/>
          <w:sz w:val="20"/>
          <w:szCs w:val="20"/>
        </w:rPr>
        <w:t xml:space="preserve"> ostre miejscowe: 384 mg/m³, ostre układowe: 384 mg/m³, przewlekłe miejscowe: 192 mg/m³, przewlekłe układowe: 192 mg/m³</w:t>
      </w:r>
    </w:p>
    <w:p>
      <w:pPr>
        <w:spacing w:after="60" w:before="60"/>
      </w:pPr>
      <w:r>
        <w:rPr>
          <w:rFonts w:ascii="Arial" w:cs="Arial" w:eastAsia="Arial" w:hAnsi="Arial"/>
          <w:b/>
          <w:bCs/>
          <w:sz w:val="20"/>
          <w:szCs w:val="20"/>
        </w:rPr>
        <w:t xml:space="preserve">- Na skórę:</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226 mg/kg mc/dzień</w:t>
      </w:r>
    </w:p>
    <w:p>
      <w:pPr>
        <w:spacing w:after="60" w:before="60"/>
      </w:pPr>
      <w:r>
        <w:rPr>
          <w:rFonts w:ascii="Arial" w:cs="Arial" w:eastAsia="Arial" w:hAnsi="Arial"/>
          <w:b/>
          <w:bCs/>
          <w:sz w:val="20"/>
          <w:szCs w:val="20"/>
        </w:rPr>
        <w:t xml:space="preserve">* Pracownicy (skutki przewlekłe układowe):</w:t>
      </w:r>
      <w:r>
        <w:rPr>
          <w:rFonts w:ascii="Arial" w:cs="Arial" w:eastAsia="Arial" w:hAnsi="Arial"/>
          <w:sz w:val="20"/>
          <w:szCs w:val="20"/>
        </w:rPr>
        <w:t xml:space="preserve"> 384 mg/kg mc/dzień</w:t>
      </w:r>
    </w:p>
    <w:p>
      <w:pPr>
        <w:spacing w:after="80"/>
      </w:pPr>
      <w:r>
        <w:rPr>
          <w:rFonts w:ascii="Arial" w:cs="Arial" w:eastAsia="Arial" w:hAnsi="Arial"/>
          <w:sz w:val="20"/>
          <w:szCs w:val="20"/>
        </w:rPr>
        <w:t xml:space="preserve">Przewidywane stężenia niepowodujące zmian w środowisku (PNEC):</w:t>
      </w:r>
    </w:p>
    <w:p>
      <w:pPr>
        <w:spacing w:after="60" w:before="60"/>
      </w:pPr>
      <w:r>
        <w:rPr>
          <w:rFonts w:ascii="Arial" w:cs="Arial" w:eastAsia="Arial" w:hAnsi="Arial"/>
          <w:b/>
          <w:bCs/>
          <w:sz w:val="20"/>
          <w:szCs w:val="20"/>
        </w:rPr>
        <w:t xml:space="preserve">- woda słodka:</w:t>
      </w:r>
      <w:r>
        <w:rPr>
          <w:rFonts w:ascii="Arial" w:cs="Arial" w:eastAsia="Arial" w:hAnsi="Arial"/>
          <w:sz w:val="20"/>
          <w:szCs w:val="20"/>
        </w:rPr>
        <w:t xml:space="preserve"> 0,68 mg/l</w:t>
      </w:r>
    </w:p>
    <w:p>
      <w:pPr>
        <w:spacing w:after="60" w:before="60"/>
      </w:pPr>
      <w:r>
        <w:rPr>
          <w:rFonts w:ascii="Arial" w:cs="Arial" w:eastAsia="Arial" w:hAnsi="Arial"/>
          <w:b/>
          <w:bCs/>
          <w:sz w:val="20"/>
          <w:szCs w:val="20"/>
        </w:rPr>
        <w:t xml:space="preserve">- woda morska:</w:t>
      </w:r>
      <w:r>
        <w:rPr>
          <w:rFonts w:ascii="Arial" w:cs="Arial" w:eastAsia="Arial" w:hAnsi="Arial"/>
          <w:sz w:val="20"/>
          <w:szCs w:val="20"/>
        </w:rPr>
        <w:t xml:space="preserve"> 0,68 mg/l</w:t>
      </w:r>
    </w:p>
    <w:p>
      <w:pPr>
        <w:spacing w:after="60" w:before="60"/>
      </w:pPr>
      <w:r>
        <w:rPr>
          <w:rFonts w:ascii="Arial" w:cs="Arial" w:eastAsia="Arial" w:hAnsi="Arial"/>
          <w:b/>
          <w:bCs/>
          <w:sz w:val="20"/>
          <w:szCs w:val="20"/>
        </w:rPr>
        <w:t xml:space="preserve">- osady słodkowodne:</w:t>
      </w:r>
      <w:r>
        <w:rPr>
          <w:rFonts w:ascii="Arial" w:cs="Arial" w:eastAsia="Arial" w:hAnsi="Arial"/>
          <w:sz w:val="20"/>
          <w:szCs w:val="20"/>
        </w:rPr>
        <w:t xml:space="preserve"> 16,39 mg/kg/d</w:t>
      </w:r>
    </w:p>
    <w:p>
      <w:pPr>
        <w:spacing w:after="60" w:before="60"/>
      </w:pPr>
      <w:r>
        <w:rPr>
          <w:rFonts w:ascii="Arial" w:cs="Arial" w:eastAsia="Arial" w:hAnsi="Arial"/>
          <w:b/>
          <w:bCs/>
          <w:sz w:val="20"/>
          <w:szCs w:val="20"/>
        </w:rPr>
        <w:t xml:space="preserve">- osady morskie:</w:t>
      </w:r>
      <w:r>
        <w:rPr>
          <w:rFonts w:ascii="Arial" w:cs="Arial" w:eastAsia="Arial" w:hAnsi="Arial"/>
          <w:sz w:val="20"/>
          <w:szCs w:val="20"/>
        </w:rPr>
        <w:t xml:space="preserve"> 16,39 mg/kg/d</w:t>
      </w:r>
    </w:p>
    <w:p>
      <w:pPr>
        <w:spacing w:after="60" w:before="60"/>
      </w:pPr>
      <w:r>
        <w:rPr>
          <w:rFonts w:ascii="Arial" w:cs="Arial" w:eastAsia="Arial" w:hAnsi="Arial"/>
          <w:b/>
          <w:bCs/>
          <w:sz w:val="20"/>
          <w:szCs w:val="20"/>
        </w:rPr>
        <w:t xml:space="preserve">- woda (uwalnianie okresowe):</w:t>
      </w:r>
      <w:r>
        <w:rPr>
          <w:rFonts w:ascii="Arial" w:cs="Arial" w:eastAsia="Arial" w:hAnsi="Arial"/>
          <w:sz w:val="20"/>
          <w:szCs w:val="20"/>
        </w:rPr>
        <w:t xml:space="preserve"> 0,68 mg/l</w:t>
      </w:r>
    </w:p>
    <w:p>
      <w:pPr>
        <w:spacing w:after="60" w:before="60"/>
      </w:pPr>
      <w:r>
        <w:rPr>
          <w:rFonts w:ascii="Arial" w:cs="Arial" w:eastAsia="Arial" w:hAnsi="Arial"/>
          <w:b/>
          <w:bCs/>
          <w:sz w:val="20"/>
          <w:szCs w:val="20"/>
        </w:rPr>
        <w:t xml:space="preserve">- mikroorganizmy w oczyszczalni ścieków (STP):</w:t>
      </w:r>
      <w:r>
        <w:rPr>
          <w:rFonts w:ascii="Arial" w:cs="Arial" w:eastAsia="Arial" w:hAnsi="Arial"/>
          <w:sz w:val="20"/>
          <w:szCs w:val="20"/>
        </w:rPr>
        <w:t xml:space="preserve"> 13,61 mg/l</w:t>
      </w:r>
    </w:p>
    <w:p>
      <w:pPr>
        <w:spacing w:after="60" w:before="60"/>
      </w:pPr>
      <w:r>
        <w:rPr>
          <w:rFonts w:ascii="Arial" w:cs="Arial" w:eastAsia="Arial" w:hAnsi="Arial"/>
          <w:b/>
          <w:bCs/>
          <w:sz w:val="20"/>
          <w:szCs w:val="20"/>
        </w:rPr>
        <w:t xml:space="preserve">- łańcuch pokarmowy (zatrucie wtórne):</w:t>
      </w:r>
      <w:r>
        <w:rPr>
          <w:rFonts w:ascii="Arial" w:cs="Arial" w:eastAsia="Arial" w:hAnsi="Arial"/>
          <w:sz w:val="20"/>
          <w:szCs w:val="20"/>
        </w:rPr>
        <w:t xml:space="preserve"> 2,89 mg/kg soil dw</w:t>
      </w:r>
    </w:p>
    <w:p>
      <w:pPr>
        <w:spacing w:after="80"/>
      </w:pPr>
      <w:r>
        <w:rPr>
          <w:rFonts w:ascii="Arial" w:cs="Arial" w:eastAsia="Arial" w:hAnsi="Arial"/>
          <w:sz w:val="20"/>
          <w:szCs w:val="20"/>
        </w:rPr>
        <w:t xml:space="preserve">Substancja: fenol [CAS: 108-95-2]</w:t>
      </w:r>
    </w:p>
    <w:p>
      <w:pPr>
        <w:spacing w:after="80"/>
      </w:pPr>
      <w:r>
        <w:rPr>
          <w:rFonts w:ascii="Arial" w:cs="Arial" w:eastAsia="Arial" w:hAnsi="Arial"/>
          <w:sz w:val="20"/>
          <w:szCs w:val="20"/>
        </w:rPr>
        <w:t xml:space="preserve">Pochodne poziomy niepowodujące zmian (DNEL):</w:t>
      </w:r>
    </w:p>
    <w:p>
      <w:pPr>
        <w:spacing w:after="60" w:before="60"/>
      </w:pPr>
      <w:r>
        <w:rPr>
          <w:rFonts w:ascii="Arial" w:cs="Arial" w:eastAsia="Arial" w:hAnsi="Arial"/>
          <w:b/>
          <w:bCs/>
          <w:sz w:val="20"/>
          <w:szCs w:val="20"/>
        </w:rPr>
        <w:t xml:space="preserve">- Droga pokarmowa (doustnie):</w:t>
      </w:r>
      <w:r>
        <w:rPr>
          <w:rFonts w:ascii="Arial" w:cs="Arial" w:eastAsia="Arial" w:hAnsi="Arial"/>
          <w:sz w:val="20"/>
          <w:szCs w:val="20"/>
        </w:rPr>
        <w:t xml:space="preserve"> Konsumenci (skutki przewlekłe układowe): 0,4 mg/kg mc/dzień</w:t>
      </w:r>
    </w:p>
    <w:p>
      <w:pPr>
        <w:spacing w:after="60" w:before="60"/>
      </w:pPr>
      <w:r>
        <w:rPr>
          <w:rFonts w:ascii="Arial" w:cs="Arial" w:eastAsia="Arial" w:hAnsi="Arial"/>
          <w:b/>
          <w:bCs/>
          <w:sz w:val="20"/>
          <w:szCs w:val="20"/>
        </w:rPr>
        <w:t xml:space="preserve">- Drogi oddechowe (inhalacyjnie):</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1,32 mg/m³</w:t>
      </w:r>
    </w:p>
    <w:p>
      <w:pPr>
        <w:spacing w:after="60" w:before="60"/>
      </w:pPr>
      <w:r>
        <w:rPr>
          <w:rFonts w:ascii="Arial" w:cs="Arial" w:eastAsia="Arial" w:hAnsi="Arial"/>
          <w:b/>
          <w:bCs/>
          <w:sz w:val="20"/>
          <w:szCs w:val="20"/>
        </w:rPr>
        <w:t xml:space="preserve">* Pracownicy:</w:t>
      </w:r>
      <w:r>
        <w:rPr>
          <w:rFonts w:ascii="Arial" w:cs="Arial" w:eastAsia="Arial" w:hAnsi="Arial"/>
          <w:sz w:val="20"/>
          <w:szCs w:val="20"/>
        </w:rPr>
        <w:t xml:space="preserve"> skutki przewlekłe układowe: 16 mg/m³; skutki ostre miejscowe: 8 mg/m³</w:t>
      </w:r>
    </w:p>
    <w:p>
      <w:pPr>
        <w:spacing w:after="60" w:before="60"/>
      </w:pPr>
      <w:r>
        <w:rPr>
          <w:rFonts w:ascii="Arial" w:cs="Arial" w:eastAsia="Arial" w:hAnsi="Arial"/>
          <w:b/>
          <w:bCs/>
          <w:sz w:val="20"/>
          <w:szCs w:val="20"/>
        </w:rPr>
        <w:t xml:space="preserve">- Na skórę:</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0,4 mg/kg mc/dzień</w:t>
      </w:r>
    </w:p>
    <w:p>
      <w:pPr>
        <w:spacing w:after="60" w:before="60"/>
      </w:pPr>
      <w:r>
        <w:rPr>
          <w:rFonts w:ascii="Arial" w:cs="Arial" w:eastAsia="Arial" w:hAnsi="Arial"/>
          <w:b/>
          <w:bCs/>
          <w:sz w:val="20"/>
          <w:szCs w:val="20"/>
        </w:rPr>
        <w:t xml:space="preserve">* Pracownicy (skutki przewlekłe układowe):</w:t>
      </w:r>
      <w:r>
        <w:rPr>
          <w:rFonts w:ascii="Arial" w:cs="Arial" w:eastAsia="Arial" w:hAnsi="Arial"/>
          <w:sz w:val="20"/>
          <w:szCs w:val="20"/>
        </w:rPr>
        <w:t xml:space="preserve"> 1,23 mg/kg mc/dzień</w:t>
      </w:r>
    </w:p>
    <w:p>
      <w:pPr>
        <w:spacing w:after="80"/>
      </w:pPr>
      <w:r>
        <w:rPr>
          <w:rFonts w:ascii="Arial" w:cs="Arial" w:eastAsia="Arial" w:hAnsi="Arial"/>
          <w:sz w:val="20"/>
          <w:szCs w:val="20"/>
        </w:rPr>
        <w:t xml:space="preserve">Przewidywane stężenia niepowodujące zmian w środowisku (PNEC):</w:t>
      </w:r>
    </w:p>
    <w:p>
      <w:pPr>
        <w:spacing w:after="60" w:before="60"/>
      </w:pPr>
      <w:r>
        <w:rPr>
          <w:rFonts w:ascii="Arial" w:cs="Arial" w:eastAsia="Arial" w:hAnsi="Arial"/>
          <w:b/>
          <w:bCs/>
          <w:sz w:val="20"/>
          <w:szCs w:val="20"/>
        </w:rPr>
        <w:t xml:space="preserve">- woda słodka:</w:t>
      </w:r>
      <w:r>
        <w:rPr>
          <w:rFonts w:ascii="Arial" w:cs="Arial" w:eastAsia="Arial" w:hAnsi="Arial"/>
          <w:sz w:val="20"/>
          <w:szCs w:val="20"/>
        </w:rPr>
        <w:t xml:space="preserve"> 0,008 mg/l</w:t>
      </w:r>
    </w:p>
    <w:p>
      <w:pPr>
        <w:spacing w:after="60" w:before="60"/>
      </w:pPr>
      <w:r>
        <w:rPr>
          <w:rFonts w:ascii="Arial" w:cs="Arial" w:eastAsia="Arial" w:hAnsi="Arial"/>
          <w:b/>
          <w:bCs/>
          <w:sz w:val="20"/>
          <w:szCs w:val="20"/>
        </w:rPr>
        <w:t xml:space="preserve">- woda morska:</w:t>
      </w:r>
      <w:r>
        <w:rPr>
          <w:rFonts w:ascii="Arial" w:cs="Arial" w:eastAsia="Arial" w:hAnsi="Arial"/>
          <w:sz w:val="20"/>
          <w:szCs w:val="20"/>
        </w:rPr>
        <w:t xml:space="preserve"> 0,001 mg/l</w:t>
      </w:r>
    </w:p>
    <w:p>
      <w:pPr>
        <w:spacing w:after="60" w:before="60"/>
      </w:pPr>
      <w:r>
        <w:rPr>
          <w:rFonts w:ascii="Arial" w:cs="Arial" w:eastAsia="Arial" w:hAnsi="Arial"/>
          <w:b/>
          <w:bCs/>
          <w:sz w:val="20"/>
          <w:szCs w:val="20"/>
        </w:rPr>
        <w:t xml:space="preserve">- osady słodkowodne:</w:t>
      </w:r>
      <w:r>
        <w:rPr>
          <w:rFonts w:ascii="Arial" w:cs="Arial" w:eastAsia="Arial" w:hAnsi="Arial"/>
          <w:sz w:val="20"/>
          <w:szCs w:val="20"/>
        </w:rPr>
        <w:t xml:space="preserve"> 0,091 mg/kg/d</w:t>
      </w:r>
    </w:p>
    <w:p>
      <w:pPr>
        <w:spacing w:after="60" w:before="60"/>
      </w:pPr>
      <w:r>
        <w:rPr>
          <w:rFonts w:ascii="Arial" w:cs="Arial" w:eastAsia="Arial" w:hAnsi="Arial"/>
          <w:b/>
          <w:bCs/>
          <w:sz w:val="20"/>
          <w:szCs w:val="20"/>
        </w:rPr>
        <w:t xml:space="preserve">- osady morskie:</w:t>
      </w:r>
      <w:r>
        <w:rPr>
          <w:rFonts w:ascii="Arial" w:cs="Arial" w:eastAsia="Arial" w:hAnsi="Arial"/>
          <w:sz w:val="20"/>
          <w:szCs w:val="20"/>
        </w:rPr>
        <w:t xml:space="preserve"> 0,009 mg/kg/d</w:t>
      </w:r>
    </w:p>
    <w:p>
      <w:pPr>
        <w:spacing w:after="60" w:before="60"/>
      </w:pPr>
      <w:r>
        <w:rPr>
          <w:rFonts w:ascii="Arial" w:cs="Arial" w:eastAsia="Arial" w:hAnsi="Arial"/>
          <w:b/>
          <w:bCs/>
          <w:sz w:val="20"/>
          <w:szCs w:val="20"/>
        </w:rPr>
        <w:t xml:space="preserve">- woda (uwalnianie okresowe):</w:t>
      </w:r>
      <w:r>
        <w:rPr>
          <w:rFonts w:ascii="Arial" w:cs="Arial" w:eastAsia="Arial" w:hAnsi="Arial"/>
          <w:sz w:val="20"/>
          <w:szCs w:val="20"/>
        </w:rPr>
        <w:t xml:space="preserve"> 0,031 mg/l</w:t>
      </w:r>
    </w:p>
    <w:p>
      <w:pPr>
        <w:spacing w:after="60" w:before="60"/>
      </w:pPr>
      <w:r>
        <w:rPr>
          <w:rFonts w:ascii="Arial" w:cs="Arial" w:eastAsia="Arial" w:hAnsi="Arial"/>
          <w:b/>
          <w:bCs/>
          <w:sz w:val="20"/>
          <w:szCs w:val="20"/>
        </w:rPr>
        <w:t xml:space="preserve">- mikroorganizmy w oczyszczalni ścieków (STP):</w:t>
      </w:r>
      <w:r>
        <w:rPr>
          <w:rFonts w:ascii="Arial" w:cs="Arial" w:eastAsia="Arial" w:hAnsi="Arial"/>
          <w:sz w:val="20"/>
          <w:szCs w:val="20"/>
        </w:rPr>
        <w:t xml:space="preserve"> 2,1 mg/l</w:t>
      </w:r>
    </w:p>
    <w:p>
      <w:pPr>
        <w:spacing w:after="60" w:before="60"/>
      </w:pPr>
      <w:r>
        <w:rPr>
          <w:rFonts w:ascii="Arial" w:cs="Arial" w:eastAsia="Arial" w:hAnsi="Arial"/>
          <w:b/>
          <w:bCs/>
          <w:sz w:val="20"/>
          <w:szCs w:val="20"/>
        </w:rPr>
        <w:t xml:space="preserve">- środowisko glebowe (gleba):</w:t>
      </w:r>
      <w:r>
        <w:rPr>
          <w:rFonts w:ascii="Arial" w:cs="Arial" w:eastAsia="Arial" w:hAnsi="Arial"/>
          <w:sz w:val="20"/>
          <w:szCs w:val="20"/>
        </w:rPr>
        <w:t xml:space="preserve"> 0,136 mg/kg/d</w:t>
      </w:r>
    </w:p>
    <w:p>
      <w:pPr>
        <w:spacing w:after="80" w:before="80"/>
      </w:pPr>
      <w:r>
        <w:rPr>
          <w:rFonts w:ascii="Arial" w:cs="Arial" w:eastAsia="Arial" w:hAnsi="Arial"/>
          <w:b/>
          <w:bCs/>
          <w:sz w:val="20"/>
          <w:szCs w:val="20"/>
        </w:rPr>
        <w:t xml:space="preserve">Zalecane procedury monitorowania:</w:t>
      </w:r>
      <w:r>
        <w:rPr>
          <w:rFonts w:ascii="Arial" w:cs="Arial" w:eastAsia="Arial" w:hAnsi="Arial"/>
          <w:sz w:val="20"/>
          <w:szCs w:val="20"/>
        </w:rPr>
        <w:t xml:space="preserve"> Należy stosować procedury monitorowania stężeń niebezpiecznych substancji w powietrzu na stanowiskach pracy oraz procedury kontroli wentylacji zgodnie z odpowiednimi Polskimi Normami.</w:t>
      </w:r>
    </w:p>
    <w:p>
      <w:pPr>
        <w:spacing w:after="100" w:before="200"/>
      </w:pPr>
      <w:r>
        <w:rPr>
          <w:rFonts w:ascii="Arial" w:cs="Arial" w:eastAsia="Arial" w:hAnsi="Arial"/>
          <w:b/>
          <w:bCs/>
          <w:sz w:val="20"/>
          <w:szCs w:val="20"/>
        </w:rPr>
        <w:t xml:space="preserve">8.2. Kontrola narażenia</w:t>
      </w:r>
    </w:p>
    <w:p>
      <w:pPr>
        <w:spacing w:after="80" w:before="80"/>
      </w:pPr>
      <w:r>
        <w:rPr>
          <w:rFonts w:ascii="Arial" w:cs="Arial" w:eastAsia="Arial" w:hAnsi="Arial"/>
          <w:b/>
          <w:bCs/>
          <w:sz w:val="20"/>
          <w:szCs w:val="20"/>
        </w:rPr>
        <w:t xml:space="preserve">Ochrona oczu:</w:t>
      </w:r>
      <w:r>
        <w:rPr>
          <w:rFonts w:ascii="Arial" w:cs="Arial" w:eastAsia="Arial" w:hAnsi="Arial"/>
          <w:sz w:val="20"/>
          <w:szCs w:val="20"/>
        </w:rPr>
        <w:t xml:space="preserve"> Nosić okulary ochronne w szczelnej obudowie lub gogle ochronne zgodne z normą PN-EN 166.</w:t>
      </w:r>
    </w:p>
    <w:p>
      <w:pPr>
        <w:spacing w:after="80" w:before="80"/>
      </w:pPr>
      <w:r>
        <w:rPr>
          <w:rFonts w:ascii="Arial" w:cs="Arial" w:eastAsia="Arial" w:hAnsi="Arial"/>
          <w:b/>
          <w:bCs/>
          <w:sz w:val="20"/>
          <w:szCs w:val="20"/>
        </w:rPr>
        <w:t xml:space="preserve">Ochrona skóry:</w:t>
      </w:r>
      <w:r>
        <w:rPr>
          <w:rFonts w:ascii="Arial" w:cs="Arial" w:eastAsia="Arial" w:hAnsi="Arial"/>
          <w:sz w:val="20"/>
          <w:szCs w:val="20"/>
        </w:rPr>
        <w:t xml:space="preserve"> Stosować odpowiednią odzież roboczą chroniącą przed kontaktem z chemikaliami.</w:t>
      </w:r>
    </w:p>
    <w:p>
      <w:pPr>
        <w:spacing w:after="80" w:before="80"/>
      </w:pPr>
      <w:r>
        <w:rPr>
          <w:rFonts w:ascii="Arial" w:cs="Arial" w:eastAsia="Arial" w:hAnsi="Arial"/>
          <w:b/>
          <w:bCs/>
          <w:sz w:val="20"/>
          <w:szCs w:val="20"/>
        </w:rPr>
        <w:t xml:space="preserve">Ochrona rąk:</w:t>
      </w:r>
      <w:r>
        <w:rPr>
          <w:rFonts w:ascii="Arial" w:cs="Arial" w:eastAsia="Arial" w:hAnsi="Arial"/>
          <w:sz w:val="20"/>
          <w:szCs w:val="20"/>
        </w:rPr>
        <w:t xml:space="preserve"> Stosować rękawice ochronne odporne na działanie chemikaliów (np. z kauczuku nitrylowego lub neoprenu) zgodne z normą PN-EN ISO 374-1. Czas przebicia i grubość materiału należy skonsultować z dostawcą rękawic.</w:t>
      </w:r>
    </w:p>
    <w:p>
      <w:pPr>
        <w:spacing w:after="80" w:before="80"/>
      </w:pPr>
      <w:r>
        <w:rPr>
          <w:rFonts w:ascii="Arial" w:cs="Arial" w:eastAsia="Arial" w:hAnsi="Arial"/>
          <w:b/>
          <w:bCs/>
          <w:sz w:val="20"/>
          <w:szCs w:val="20"/>
        </w:rPr>
        <w:t xml:space="preserve">Ochrona dróg oddechowych:</w:t>
      </w:r>
      <w:r>
        <w:rPr>
          <w:rFonts w:ascii="Arial" w:cs="Arial" w:eastAsia="Arial" w:hAnsi="Arial"/>
          <w:sz w:val="20"/>
          <w:szCs w:val="20"/>
        </w:rPr>
        <w:t xml:space="preserve"> W normalnych warunkach stosowania przy właściwej wentylacji nie jest wymagana. W przypadku niedostatecznej wentylacji lub przekroczenia dopuszczalnych stężeń NDS stosować odpowiedni sprzęt ochrony dróg oddechowych z pochłaniaczem par typu A (norma PN-EN 14387).</w:t>
      </w:r>
    </w:p>
    <w:p>
      <w:pPr>
        <w:spacing w:after="80" w:before="80"/>
      </w:pPr>
      <w:r>
        <w:rPr>
          <w:rFonts w:ascii="Arial" w:cs="Arial" w:eastAsia="Arial" w:hAnsi="Arial"/>
          <w:b/>
          <w:bCs/>
          <w:sz w:val="20"/>
          <w:szCs w:val="20"/>
        </w:rPr>
        <w:t xml:space="preserve">Zagrożenia termiczne:</w:t>
      </w:r>
      <w:r>
        <w:rPr>
          <w:rFonts w:ascii="Arial" w:cs="Arial" w:eastAsia="Arial" w:hAnsi="Arial"/>
          <w:sz w:val="20"/>
          <w:szCs w:val="20"/>
        </w:rPr>
        <w:t xml:space="preserve"> Nie dotyczy.</w:t>
      </w:r>
    </w:p>
    <w:p>
      <w:pPr>
        <w:spacing w:after="80" w:before="80"/>
      </w:pPr>
      <w:r>
        <w:rPr>
          <w:rFonts w:ascii="Arial" w:cs="Arial" w:eastAsia="Arial" w:hAnsi="Arial"/>
          <w:b/>
          <w:bCs/>
          <w:sz w:val="20"/>
          <w:szCs w:val="20"/>
        </w:rPr>
        <w:t xml:space="preserve">Kontrola narażenia środowiska:</w:t>
      </w:r>
      <w:r>
        <w:rPr>
          <w:rFonts w:ascii="Arial" w:cs="Arial" w:eastAsia="Arial" w:hAnsi="Arial"/>
          <w:sz w:val="20"/>
          <w:szCs w:val="20"/>
        </w:rPr>
        <w:t xml:space="preserve"> Nie dopuścić do przedostania się dużych ilości produktu do kanalizacji, wód powierzchniowych ani gruntowych.</w:t>
      </w:r>
    </w:p>
    <w:p>
      <w:pPr>
        <w:spacing w:after="80" w:before="80"/>
      </w:pPr>
      <w:r>
        <w:rPr>
          <w:rFonts w:ascii="Arial" w:cs="Arial" w:eastAsia="Arial" w:hAnsi="Arial"/>
          <w:b/>
          <w:bCs/>
          <w:sz w:val="20"/>
          <w:szCs w:val="20"/>
        </w:rPr>
        <w:t xml:space="preserve">Środki higieniczne i techniczne:</w:t>
      </w:r>
      <w:r>
        <w:rPr>
          <w:rFonts w:ascii="Arial" w:cs="Arial" w:eastAsia="Arial" w:hAnsi="Arial"/>
          <w:sz w:val="20"/>
          <w:szCs w:val="20"/>
        </w:rPr>
        <w:t xml:space="preserve"> Zapewnić odpowiednią wentylację ogólną i miejscową na stanowiskach pracy. Myć ręce po zakończeniu pracy z produktem. Nie jeść i nie pić podczas stosowania.</w:t>
      </w:r>
    </w:p>
    <w:p>
      <w:pPr>
        <w:pBdr>
          <w:bottom w:color="00A651" w:sz="12" w:space="1"/>
        </w:pBdr>
        <w:spacing w:after="150" w:before="300"/>
      </w:pPr>
      <w:r>
        <w:rPr>
          <w:b/>
          <w:bCs/>
          <w:sz w:val="22"/>
          <w:szCs w:val="22"/>
        </w:rPr>
        <w:t xml:space="preserve">SEKCJA 9: WŁAŚCIWOŚCI FIZYCZNE I CHEMICZNE</w:t>
      </w:r>
    </w:p>
    <w:p>
      <w:pPr>
        <w:spacing w:after="100" w:before="200"/>
      </w:pPr>
      <w:r>
        <w:rPr>
          <w:rFonts w:ascii="Arial" w:cs="Arial" w:eastAsia="Arial" w:hAnsi="Arial"/>
          <w:b/>
          <w:bCs/>
          <w:sz w:val="20"/>
          <w:szCs w:val="20"/>
        </w:rPr>
        <w:t xml:space="preserve">9.1. Informacje na temat podstawowych właściwości fizycznych i chemicznych</w:t>
      </w:r>
    </w:p>
    <w:p>
      <w:pPr>
        <w:spacing w:after="80" w:before="80"/>
      </w:pPr>
      <w:r>
        <w:rPr>
          <w:rFonts w:ascii="Arial" w:cs="Arial" w:eastAsia="Arial" w:hAnsi="Arial"/>
          <w:b/>
          <w:bCs/>
          <w:sz w:val="20"/>
          <w:szCs w:val="20"/>
        </w:rPr>
        <w:t xml:space="preserve">Stan skupienia:</w:t>
      </w:r>
      <w:r>
        <w:rPr>
          <w:rFonts w:ascii="Arial" w:cs="Arial" w:eastAsia="Arial" w:hAnsi="Arial"/>
          <w:sz w:val="20"/>
          <w:szCs w:val="20"/>
        </w:rPr>
        <w:t xml:space="preserve"> ciecz (metoda wewnętrzna)</w:t>
      </w:r>
    </w:p>
    <w:p>
      <w:pPr>
        <w:spacing w:after="80" w:before="80"/>
      </w:pPr>
      <w:r>
        <w:rPr>
          <w:rFonts w:ascii="Arial" w:cs="Arial" w:eastAsia="Arial" w:hAnsi="Arial"/>
          <w:b/>
          <w:bCs/>
          <w:sz w:val="20"/>
          <w:szCs w:val="20"/>
        </w:rPr>
        <w:t xml:space="preserve">Kolor:</w:t>
      </w:r>
      <w:r>
        <w:rPr>
          <w:rFonts w:ascii="Arial" w:cs="Arial" w:eastAsia="Arial" w:hAnsi="Arial"/>
          <w:sz w:val="20"/>
          <w:szCs w:val="20"/>
        </w:rPr>
        <w:t xml:space="preserve"> brązowy (ocena wizualna)</w:t>
      </w:r>
    </w:p>
    <w:p>
      <w:pPr>
        <w:spacing w:after="80" w:before="80"/>
      </w:pPr>
      <w:r>
        <w:rPr>
          <w:rFonts w:ascii="Arial" w:cs="Arial" w:eastAsia="Arial" w:hAnsi="Arial"/>
          <w:b/>
          <w:bCs/>
          <w:sz w:val="20"/>
          <w:szCs w:val="20"/>
        </w:rPr>
        <w:t xml:space="preserve">Zapach:</w:t>
      </w:r>
      <w:r>
        <w:rPr>
          <w:rFonts w:ascii="Arial" w:cs="Arial" w:eastAsia="Arial" w:hAnsi="Arial"/>
          <w:sz w:val="20"/>
          <w:szCs w:val="20"/>
        </w:rPr>
        <w:t xml:space="preserve"> charakterystyczny (metoda wewnętrzna)</w:t>
      </w:r>
    </w:p>
    <w:p>
      <w:pPr>
        <w:spacing w:after="80" w:before="80"/>
      </w:pPr>
      <w:r>
        <w:rPr>
          <w:rFonts w:ascii="Arial" w:cs="Arial" w:eastAsia="Arial" w:hAnsi="Arial"/>
          <w:b/>
          <w:bCs/>
          <w:sz w:val="20"/>
          <w:szCs w:val="20"/>
        </w:rPr>
        <w:t xml:space="preserve">Temperatura topnienia/krzepnięcia:</w:t>
      </w:r>
      <w:r>
        <w:rPr>
          <w:rFonts w:ascii="Arial" w:cs="Arial" w:eastAsia="Arial" w:hAnsi="Arial"/>
          <w:sz w:val="20"/>
          <w:szCs w:val="20"/>
        </w:rPr>
        <w:t xml:space="preserve"> 114 °C (metoda: HSDB 2015; INRS 2011)</w:t>
      </w:r>
    </w:p>
    <w:p>
      <w:pPr>
        <w:spacing w:after="80" w:before="80"/>
      </w:pPr>
      <w:r>
        <w:rPr>
          <w:rFonts w:ascii="Arial" w:cs="Arial" w:eastAsia="Arial" w:hAnsi="Arial"/>
          <w:b/>
          <w:bCs/>
          <w:sz w:val="20"/>
          <w:szCs w:val="20"/>
        </w:rPr>
        <w:t xml:space="preserve">Temperatura wrzenia lub początkowa temperatura wrzenia i zakres temperatur wrzenia:</w:t>
      </w:r>
      <w:r>
        <w:rPr>
          <w:rFonts w:ascii="Arial" w:cs="Arial" w:eastAsia="Arial" w:hAnsi="Arial"/>
          <w:sz w:val="20"/>
          <w:szCs w:val="20"/>
        </w:rPr>
        <w:t xml:space="preserve"> 78,5 °C (metoda: HSDB 2015; INRS 2011)</w:t>
      </w:r>
    </w:p>
    <w:p>
      <w:pPr>
        <w:spacing w:after="80" w:before="80"/>
      </w:pPr>
      <w:r>
        <w:rPr>
          <w:rFonts w:ascii="Arial" w:cs="Arial" w:eastAsia="Arial" w:hAnsi="Arial"/>
          <w:b/>
          <w:bCs/>
          <w:sz w:val="20"/>
          <w:szCs w:val="20"/>
        </w:rPr>
        <w:t xml:space="preserve">Palność materiałów:</w:t>
      </w:r>
      <w:r>
        <w:rPr>
          <w:rFonts w:ascii="Arial" w:cs="Arial" w:eastAsia="Arial" w:hAnsi="Arial"/>
          <w:sz w:val="20"/>
          <w:szCs w:val="20"/>
        </w:rPr>
        <w:t xml:space="preserve"> wysoce łatwopalna ciecz i pary. (metoda: ISO 3679:2023)</w:t>
      </w:r>
    </w:p>
    <w:p>
      <w:pPr>
        <w:spacing w:after="80" w:before="80"/>
      </w:pPr>
      <w:r>
        <w:rPr>
          <w:rFonts w:ascii="Arial" w:cs="Arial" w:eastAsia="Arial" w:hAnsi="Arial"/>
          <w:b/>
          <w:bCs/>
          <w:sz w:val="20"/>
          <w:szCs w:val="20"/>
        </w:rPr>
        <w:t xml:space="preserve">Dolna i górna granica wybuchowości:</w:t>
      </w:r>
      <w:r>
        <w:rPr>
          <w:rFonts w:ascii="Arial" w:cs="Arial" w:eastAsia="Arial" w:hAnsi="Arial"/>
          <w:sz w:val="20"/>
          <w:szCs w:val="20"/>
        </w:rPr>
        <w:t xml:space="preserve"> Dolna granica wybuchowości (DGW):, 3,3 % (v/v), ; Górna granica wybuchowości (GGW):, 19 % (v/v)</w:t>
      </w:r>
    </w:p>
    <w:p>
      <w:pPr>
        <w:spacing w:after="80" w:before="80"/>
      </w:pPr>
      <w:r>
        <w:rPr>
          <w:rFonts w:ascii="Arial" w:cs="Arial" w:eastAsia="Arial" w:hAnsi="Arial"/>
          <w:b/>
          <w:bCs/>
          <w:sz w:val="20"/>
          <w:szCs w:val="20"/>
        </w:rPr>
        <w:t xml:space="preserve">Temperatura zapłonu:</w:t>
      </w:r>
      <w:r>
        <w:rPr>
          <w:rFonts w:ascii="Arial" w:cs="Arial" w:eastAsia="Arial" w:hAnsi="Arial"/>
          <w:sz w:val="20"/>
          <w:szCs w:val="20"/>
        </w:rPr>
        <w:t xml:space="preserve"> 18 °C (metoda: ISO 3679:2023)</w:t>
      </w:r>
    </w:p>
    <w:p>
      <w:pPr>
        <w:spacing w:after="80" w:before="80"/>
      </w:pPr>
      <w:r>
        <w:rPr>
          <w:rFonts w:ascii="Arial" w:cs="Arial" w:eastAsia="Arial" w:hAnsi="Arial"/>
          <w:b/>
          <w:bCs/>
          <w:sz w:val="20"/>
          <w:szCs w:val="20"/>
        </w:rPr>
        <w:t xml:space="preserve">Temperatura samozapłonu:</w:t>
      </w:r>
      <w:r>
        <w:rPr>
          <w:rFonts w:ascii="Arial" w:cs="Arial" w:eastAsia="Arial" w:hAnsi="Arial"/>
          <w:sz w:val="20"/>
          <w:szCs w:val="20"/>
        </w:rPr>
        <w:t xml:space="preserve"> 363 °C (metoda wewnętrzna)</w:t>
      </w:r>
    </w:p>
    <w:p>
      <w:pPr>
        <w:spacing w:after="80" w:before="80"/>
      </w:pPr>
      <w:r>
        <w:rPr>
          <w:rFonts w:ascii="Arial" w:cs="Arial" w:eastAsia="Arial" w:hAnsi="Arial"/>
          <w:b/>
          <w:bCs/>
          <w:sz w:val="20"/>
          <w:szCs w:val="20"/>
        </w:rPr>
        <w:t xml:space="preserve">Temperatura rozkładu:</w:t>
      </w:r>
      <w:r>
        <w:rPr>
          <w:rFonts w:ascii="Arial" w:cs="Arial" w:eastAsia="Arial" w:hAnsi="Arial"/>
          <w:sz w:val="20"/>
          <w:szCs w:val="20"/>
        </w:rPr>
        <w:t xml:space="preserve"> Brak danych (badanie dotyczy wyłącznie substancji ulegających samorzutnemu rozkładowi i nadtlenków organicznych)</w:t>
      </w:r>
    </w:p>
    <w:p>
      <w:pPr>
        <w:spacing w:after="80" w:before="80"/>
      </w:pPr>
      <w:r>
        <w:rPr>
          <w:rFonts w:ascii="Arial" w:cs="Arial" w:eastAsia="Arial" w:hAnsi="Arial"/>
          <w:b/>
          <w:bCs/>
          <w:sz w:val="20"/>
          <w:szCs w:val="20"/>
        </w:rPr>
        <w:t xml:space="preserve">pH:</w:t>
      </w:r>
      <w:r>
        <w:rPr>
          <w:rFonts w:ascii="Arial" w:cs="Arial" w:eastAsia="Arial" w:hAnsi="Arial"/>
          <w:sz w:val="20"/>
          <w:szCs w:val="20"/>
        </w:rPr>
        <w:t xml:space="preserve"> Brak danych (właściwość nie ma znaczenia dla bezpieczeństwa i klasyfikacji produktu)</w:t>
      </w:r>
    </w:p>
    <w:p>
      <w:pPr>
        <w:spacing w:after="80" w:before="80"/>
      </w:pPr>
      <w:r>
        <w:rPr>
          <w:rFonts w:ascii="Arial" w:cs="Arial" w:eastAsia="Arial" w:hAnsi="Arial"/>
          <w:b/>
          <w:bCs/>
          <w:sz w:val="20"/>
          <w:szCs w:val="20"/>
        </w:rPr>
        <w:t xml:space="preserve">Lepkość kinematyczna:</w:t>
      </w:r>
      <w:r>
        <w:rPr>
          <w:rFonts w:ascii="Arial" w:cs="Arial" w:eastAsia="Arial" w:hAnsi="Arial"/>
          <w:sz w:val="20"/>
          <w:szCs w:val="20"/>
        </w:rPr>
        <w:t xml:space="preserve"> Brak danych</w:t>
      </w:r>
    </w:p>
    <w:p>
      <w:pPr>
        <w:spacing w:after="80" w:before="80"/>
      </w:pPr>
      <w:r>
        <w:rPr>
          <w:rFonts w:ascii="Arial" w:cs="Arial" w:eastAsia="Arial" w:hAnsi="Arial"/>
          <w:b/>
          <w:bCs/>
          <w:sz w:val="20"/>
          <w:szCs w:val="20"/>
        </w:rPr>
        <w:t xml:space="preserve">Rozpuszczalność w wodzie:</w:t>
      </w:r>
      <w:r>
        <w:rPr>
          <w:rFonts w:ascii="Arial" w:cs="Arial" w:eastAsia="Arial" w:hAnsi="Arial"/>
          <w:sz w:val="20"/>
          <w:szCs w:val="20"/>
        </w:rPr>
        <w:t xml:space="preserve"> rozpuszczalny w wodzie</w:t>
      </w:r>
    </w:p>
    <w:p>
      <w:pPr>
        <w:spacing w:after="80" w:before="80"/>
      </w:pPr>
      <w:r>
        <w:rPr>
          <w:rFonts w:ascii="Arial" w:cs="Arial" w:eastAsia="Arial" w:hAnsi="Arial"/>
          <w:b/>
          <w:bCs/>
          <w:sz w:val="20"/>
          <w:szCs w:val="20"/>
        </w:rPr>
        <w:t xml:space="preserve">Rozpuszczalność w innych rozpuszczalnikach:</w:t>
      </w:r>
      <w:r>
        <w:rPr>
          <w:rFonts w:ascii="Arial" w:cs="Arial" w:eastAsia="Arial" w:hAnsi="Arial"/>
          <w:sz w:val="20"/>
          <w:szCs w:val="20"/>
        </w:rPr>
        <w:t xml:space="preserve"> Nie dotyczy</w:t>
      </w:r>
    </w:p>
    <w:p>
      <w:pPr>
        <w:spacing w:after="80" w:before="80"/>
      </w:pPr>
      <w:r>
        <w:rPr>
          <w:rFonts w:ascii="Arial" w:cs="Arial" w:eastAsia="Arial" w:hAnsi="Arial"/>
          <w:b/>
          <w:bCs/>
          <w:sz w:val="20"/>
          <w:szCs w:val="20"/>
        </w:rPr>
        <w:t xml:space="preserve">Współczynnik podziału n-oktanol/woda (wartość współczynnika log):</w:t>
      </w:r>
      <w:r>
        <w:rPr>
          <w:rFonts w:ascii="Arial" w:cs="Arial" w:eastAsia="Arial" w:hAnsi="Arial"/>
          <w:sz w:val="20"/>
          <w:szCs w:val="20"/>
        </w:rPr>
        <w:t xml:space="preserve"> 0,35 (metoda wewnętrzna)</w:t>
      </w:r>
    </w:p>
    <w:p>
      <w:pPr>
        <w:spacing w:after="80" w:before="80"/>
      </w:pPr>
      <w:r>
        <w:rPr>
          <w:rFonts w:ascii="Arial" w:cs="Arial" w:eastAsia="Arial" w:hAnsi="Arial"/>
          <w:b/>
          <w:bCs/>
          <w:sz w:val="20"/>
          <w:szCs w:val="20"/>
        </w:rPr>
        <w:t xml:space="preserve">Prężność pary:</w:t>
      </w:r>
      <w:r>
        <w:rPr>
          <w:rFonts w:ascii="Arial" w:cs="Arial" w:eastAsia="Arial" w:hAnsi="Arial"/>
          <w:sz w:val="20"/>
          <w:szCs w:val="20"/>
        </w:rPr>
        <w:t xml:space="preserve"> 5,9 kPa (metoda: INRS, 2011)</w:t>
      </w:r>
    </w:p>
    <w:p>
      <w:pPr>
        <w:spacing w:after="80" w:before="80"/>
      </w:pPr>
      <w:r>
        <w:rPr>
          <w:rFonts w:ascii="Arial" w:cs="Arial" w:eastAsia="Arial" w:hAnsi="Arial"/>
          <w:b/>
          <w:bCs/>
          <w:sz w:val="20"/>
          <w:szCs w:val="20"/>
        </w:rPr>
        <w:t xml:space="preserve">Gęstość lub gęstość względna:</w:t>
      </w:r>
      <w:r>
        <w:rPr>
          <w:rFonts w:ascii="Arial" w:cs="Arial" w:eastAsia="Arial" w:hAnsi="Arial"/>
          <w:sz w:val="20"/>
          <w:szCs w:val="20"/>
        </w:rPr>
        <w:t xml:space="preserve"> Brak danych</w:t>
      </w:r>
    </w:p>
    <w:p>
      <w:pPr>
        <w:spacing w:after="80" w:before="80"/>
      </w:pPr>
      <w:r>
        <w:rPr>
          <w:rFonts w:ascii="Arial" w:cs="Arial" w:eastAsia="Arial" w:hAnsi="Arial"/>
          <w:b/>
          <w:bCs/>
          <w:sz w:val="20"/>
          <w:szCs w:val="20"/>
        </w:rPr>
        <w:t xml:space="preserve">Względna gęstość pary:</w:t>
      </w:r>
      <w:r>
        <w:rPr>
          <w:rFonts w:ascii="Arial" w:cs="Arial" w:eastAsia="Arial" w:hAnsi="Arial"/>
          <w:sz w:val="20"/>
          <w:szCs w:val="20"/>
        </w:rPr>
        <w:t xml:space="preserve"> 1,6 (metoda: HSDB, 2015; INRS, 2011)</w:t>
      </w:r>
    </w:p>
    <w:p>
      <w:pPr>
        <w:spacing w:after="80" w:before="80"/>
      </w:pPr>
      <w:r>
        <w:rPr>
          <w:rFonts w:ascii="Arial" w:cs="Arial" w:eastAsia="Arial" w:hAnsi="Arial"/>
          <w:b/>
          <w:bCs/>
          <w:sz w:val="20"/>
          <w:szCs w:val="20"/>
        </w:rPr>
        <w:t xml:space="preserve">Charakterystyka cząsteczek:</w:t>
      </w:r>
      <w:r>
        <w:rPr>
          <w:rFonts w:ascii="Arial" w:cs="Arial" w:eastAsia="Arial" w:hAnsi="Arial"/>
          <w:sz w:val="20"/>
          <w:szCs w:val="20"/>
        </w:rPr>
        <w:t xml:space="preserve"> Nie dotyczy (produkt płynny)</w:t>
      </w:r>
    </w:p>
    <w:p>
      <w:pPr>
        <w:spacing w:after="100" w:before="200"/>
      </w:pPr>
      <w:r>
        <w:rPr>
          <w:rFonts w:ascii="Arial" w:cs="Arial" w:eastAsia="Arial" w:hAnsi="Arial"/>
          <w:b/>
          <w:bCs/>
          <w:sz w:val="20"/>
          <w:szCs w:val="20"/>
        </w:rPr>
        <w:t xml:space="preserve">9.2. Inne informacje</w:t>
      </w:r>
    </w:p>
    <w:p>
      <w:pPr>
        <w:spacing w:after="80" w:before="80"/>
      </w:pPr>
      <w:r>
        <w:rPr>
          <w:rFonts w:ascii="Arial" w:cs="Arial" w:eastAsia="Arial" w:hAnsi="Arial"/>
          <w:b/>
          <w:bCs/>
          <w:sz w:val="20"/>
          <w:szCs w:val="20"/>
        </w:rPr>
        <w:t xml:space="preserve">Lotne Związki Organiczne (LZO / VOC):</w:t>
      </w:r>
      <w:r>
        <w:rPr>
          <w:rFonts w:ascii="Arial" w:cs="Arial" w:eastAsia="Arial" w:hAnsi="Arial"/>
          <w:sz w:val="20"/>
          <w:szCs w:val="20"/>
        </w:rPr>
        <w:t xml:space="preserve"> ok. 88–90% (ok. 766 g/l)</w:t>
      </w:r>
    </w:p>
    <w:p>
      <w:pPr>
        <w:spacing w:after="100" w:before="200"/>
      </w:pPr>
      <w:r>
        <w:rPr>
          <w:rFonts w:ascii="Arial" w:cs="Arial" w:eastAsia="Arial" w:hAnsi="Arial"/>
          <w:b/>
          <w:bCs/>
          <w:sz w:val="20"/>
          <w:szCs w:val="20"/>
        </w:rPr>
        <w:t xml:space="preserve">9.2.1. Informacje dotyczące klas zagrożenia fizycznego: Brak dodatkowych danych badawczych.</w:t>
      </w:r>
    </w:p>
    <w:p>
      <w:pPr>
        <w:spacing w:after="100" w:before="200"/>
      </w:pPr>
      <w:r>
        <w:rPr>
          <w:rFonts w:ascii="Arial" w:cs="Arial" w:eastAsia="Arial" w:hAnsi="Arial"/>
          <w:b/>
          <w:bCs/>
          <w:sz w:val="20"/>
          <w:szCs w:val="20"/>
        </w:rPr>
        <w:t xml:space="preserve">9.2.2. Inne właściwości bezpieczeństwa: Zawartość LZO (VOC): ok. 88–90% (ok. 766 g/l).</w:t>
      </w:r>
    </w:p>
    <w:p>
      <w:pPr>
        <w:pBdr>
          <w:bottom w:color="00A651" w:sz="12" w:space="1"/>
        </w:pBdr>
        <w:spacing w:after="150" w:before="300"/>
      </w:pPr>
      <w:r>
        <w:rPr>
          <w:b/>
          <w:bCs/>
          <w:sz w:val="22"/>
          <w:szCs w:val="22"/>
        </w:rPr>
        <w:t xml:space="preserve">SEKCJA 10: STABILNOŚĆ I REAKTYWNOŚĆ</w:t>
      </w:r>
    </w:p>
    <w:p>
      <w:pPr>
        <w:spacing w:after="100" w:before="200"/>
      </w:pPr>
      <w:r>
        <w:rPr>
          <w:rFonts w:ascii="Arial" w:cs="Arial" w:eastAsia="Arial" w:hAnsi="Arial"/>
          <w:b/>
          <w:bCs/>
          <w:sz w:val="20"/>
          <w:szCs w:val="20"/>
        </w:rPr>
        <w:t xml:space="preserve">10.1. Reaktywność</w:t>
      </w:r>
    </w:p>
    <w:p>
      <w:pPr>
        <w:spacing w:after="80"/>
      </w:pPr>
      <w:r>
        <w:rPr>
          <w:rFonts w:ascii="Arial" w:cs="Arial" w:eastAsia="Arial" w:hAnsi="Arial"/>
          <w:sz w:val="20"/>
          <w:szCs w:val="20"/>
        </w:rPr>
        <w:t xml:space="preserve">W normalnych warunkach stosowania nie występują szczególne zagrożenia reakcją z innymi substancjami.</w:t>
      </w:r>
    </w:p>
    <w:p>
      <w:pPr>
        <w:spacing w:after="80"/>
      </w:pPr>
      <w:r>
        <w:rPr>
          <w:rFonts w:ascii="Arial" w:cs="Arial" w:eastAsia="Arial" w:hAnsi="Arial"/>
          <w:sz w:val="20"/>
          <w:szCs w:val="20"/>
        </w:rPr>
        <w:t xml:space="preserve">ETER MONOMETYLOWY DIPROPYLENOGLIKOLU: Może reagować z: substancjami utleniającymi. Ogrzany do rozkładu uwalnia: gryzące dymy, stopy cynku.</w:t>
      </w:r>
    </w:p>
    <w:p>
      <w:pPr>
        <w:spacing w:after="80"/>
      </w:pPr>
      <w:r>
        <w:rPr>
          <w:rFonts w:ascii="Arial" w:cs="Arial" w:eastAsia="Arial" w:hAnsi="Arial"/>
          <w:sz w:val="20"/>
          <w:szCs w:val="20"/>
        </w:rPr>
        <w:t xml:space="preserve">ACETON: Rozkłada się pod wpływem ciepła.</w:t>
      </w:r>
    </w:p>
    <w:p>
      <w:pPr>
        <w:spacing w:after="80"/>
      </w:pPr>
      <w:r>
        <w:rPr>
          <w:rFonts w:ascii="Arial" w:cs="Arial" w:eastAsia="Arial" w:hAnsi="Arial"/>
          <w:sz w:val="20"/>
          <w:szCs w:val="20"/>
        </w:rPr>
        <w:t xml:space="preserve">TOLUEN: Unikać narażenia na: światło.</w:t>
      </w:r>
    </w:p>
    <w:p>
      <w:pPr>
        <w:spacing w:after="100" w:before="200"/>
      </w:pPr>
      <w:r>
        <w:rPr>
          <w:rFonts w:ascii="Arial" w:cs="Arial" w:eastAsia="Arial" w:hAnsi="Arial"/>
          <w:b/>
          <w:bCs/>
          <w:sz w:val="20"/>
          <w:szCs w:val="20"/>
        </w:rPr>
        <w:t xml:space="preserve">10.2. Stabilność chemiczna</w:t>
      </w:r>
    </w:p>
    <w:p>
      <w:pPr>
        <w:spacing w:after="80"/>
      </w:pPr>
      <w:r>
        <w:rPr>
          <w:rFonts w:ascii="Arial" w:cs="Arial" w:eastAsia="Arial" w:hAnsi="Arial"/>
          <w:sz w:val="20"/>
          <w:szCs w:val="20"/>
        </w:rPr>
        <w:t xml:space="preserve">Produkt jest stabilny w normalnych warunkach stosowania i magazynowania.</w:t>
      </w:r>
    </w:p>
    <w:p>
      <w:pPr>
        <w:spacing w:after="100" w:before="200"/>
      </w:pPr>
      <w:r>
        <w:rPr>
          <w:rFonts w:ascii="Arial" w:cs="Arial" w:eastAsia="Arial" w:hAnsi="Arial"/>
          <w:b/>
          <w:bCs/>
          <w:sz w:val="20"/>
          <w:szCs w:val="20"/>
        </w:rPr>
        <w:t xml:space="preserve">10.3. Możliwość występowania niebezpiecznych reakcji</w:t>
      </w:r>
    </w:p>
    <w:p>
      <w:pPr>
        <w:spacing w:after="80"/>
      </w:pPr>
      <w:r>
        <w:rPr>
          <w:rFonts w:ascii="Arial" w:cs="Arial" w:eastAsia="Arial" w:hAnsi="Arial"/>
          <w:sz w:val="20"/>
          <w:szCs w:val="20"/>
        </w:rPr>
        <w:t xml:space="preserve">Pary mogą tworzyć mieszaniny wybuchowe z powietrzem.</w:t>
      </w:r>
    </w:p>
    <w:p>
      <w:pPr>
        <w:spacing w:after="80"/>
      </w:pPr>
      <w:r>
        <w:rPr>
          <w:rFonts w:ascii="Arial" w:cs="Arial" w:eastAsia="Arial" w:hAnsi="Arial"/>
          <w:sz w:val="20"/>
          <w:szCs w:val="20"/>
        </w:rPr>
        <w:t xml:space="preserve">ETANOL: Ryzyko wybuchu w kontakcie z: metalami alkalicznymi, tlenkami metali alkalicznych, podchlorynem wapnia, monofluorkiem siarki, bezwodnikiem octowym, kwasami, stężonym nadtlenkiem wodoru, nadchloranami, kwasem nadchlorowym, perchloronitrylem, azotanem rtęci, kwasem azotowym, srebrem, azotanem srebra, amoniakiem, tlenkiem srebra, silnymi utleniaczami, dwutlenkiem azotu. Może reagować niebezpiecznie z: bromoacetylenem, chloroacetylenem, trifluorkiem bromu, tritlenkiem chromu, chlorkiem chromylu, fluorem, tert-butanolanem potasu, wodorkiem litu, tritlenkiem fosforu, czernią platynową, chlorkiem cyrkonu(IV), jodkiem cyrkonu(IV). Tworzy mieszaniny wybuchowe z: powietrzem.</w:t>
      </w:r>
    </w:p>
    <w:p>
      <w:pPr>
        <w:spacing w:after="80"/>
      </w:pPr>
      <w:r>
        <w:rPr>
          <w:rFonts w:ascii="Arial" w:cs="Arial" w:eastAsia="Arial" w:hAnsi="Arial"/>
          <w:sz w:val="20"/>
          <w:szCs w:val="20"/>
        </w:rPr>
        <w:t xml:space="preserve">ACETON: Ryzyko wybuchu w kontakcie z: trifluorkiem bromu, dwutlenkiem fluoru, nadtlenkiem wodoru, chlorkiem nitrozylu, 2-metylobuta-1,3-dienem, nitrometanem, nadchloranem nitrozylu. Może reagować niebezpiecznie z: tert-butanolanem potasu, wodorotlenkami metali alkalicznych, bromem, bromoformem, izoprenem, sodem, dwutlenkiem siarki, tritlenkiem chromu, chlorkiem chromylu, kwasem azotowym, chloroformem, kwasem peroksomonosiarkowym, tlenochlorkiem fosforu, kwasem chromosiarkowym, fluorem, silnymi utleniaczami, silnymi reduktorami. Wydziela łatwopalny gaz w kontakcie z: nadchloranem nitrozylu.</w:t>
      </w:r>
    </w:p>
    <w:p>
      <w:pPr>
        <w:spacing w:after="80"/>
      </w:pPr>
      <w:r>
        <w:rPr>
          <w:rFonts w:ascii="Arial" w:cs="Arial" w:eastAsia="Arial" w:hAnsi="Arial"/>
          <w:sz w:val="20"/>
          <w:szCs w:val="20"/>
        </w:rPr>
        <w:t xml:space="preserve">TOLUEN: Ryzyko wybuchu w kontakcie z: dymiącym kwasem siarkowym, kwasem azotowym, nadchloranem srebra, dwutlenkiem azotu, halogenkami niemetali, kwasem octowym, organicznymi nitrozwiązkami. Może tworzyć mieszaniny wybuchowe z: powietrzem. Może reagować niebezpiecznie z: silnymi utleniaczami, silnymi kwasami, siarką.</w:t>
      </w:r>
    </w:p>
    <w:p>
      <w:pPr>
        <w:spacing w:after="80"/>
      </w:pPr>
      <w:r>
        <w:rPr>
          <w:rFonts w:ascii="Arial" w:cs="Arial" w:eastAsia="Arial" w:hAnsi="Arial"/>
          <w:sz w:val="20"/>
          <w:szCs w:val="20"/>
        </w:rPr>
        <w:t xml:space="preserve">KWAS OCTOWY ...%: Ryzyko wybuchu w kontakcie z: tlenkiem chromu(VI), nadmanganianem potasu, nadtlenkiem sodu, kwasem nadchlorowym, chlorkiem fosforu, nadtlenkiem wodoru. Może reagować niebezpiecznie z: alkoholami, pentafluorkiem bromu, kwasem chlorosulfonowym, kwasem dichromowo-siarkowym, etanodiaminą, glikolem etylenowym, wodorotlenkiem potasu, silnymi zasadami, wodorotlenkiem sodu, silnymi utleniaczami, kwasem azotowym, azotanem amonu, tert-butanolanem potasu, oleum. Tworzy mieszaniny wybuchowe z: powietrzem.</w:t>
      </w:r>
    </w:p>
    <w:p>
      <w:pPr>
        <w:spacing w:after="100" w:before="200"/>
      </w:pPr>
      <w:r>
        <w:rPr>
          <w:rFonts w:ascii="Arial" w:cs="Arial" w:eastAsia="Arial" w:hAnsi="Arial"/>
          <w:b/>
          <w:bCs/>
          <w:sz w:val="20"/>
          <w:szCs w:val="20"/>
        </w:rPr>
        <w:t xml:space="preserve">10.4. Warunki, których należy unikać</w:t>
      </w:r>
    </w:p>
    <w:p>
      <w:pPr>
        <w:spacing w:after="80"/>
      </w:pPr>
      <w:r>
        <w:rPr>
          <w:rFonts w:ascii="Arial" w:cs="Arial" w:eastAsia="Arial" w:hAnsi="Arial"/>
          <w:sz w:val="20"/>
          <w:szCs w:val="20"/>
        </w:rPr>
        <w:t xml:space="preserve">Unikać przegrzania. Unikać gromadzenia ładunków elektrostatycznych. Unikać wszelkich źródeł zapłonu.</w:t>
      </w:r>
    </w:p>
    <w:p>
      <w:pPr>
        <w:spacing w:after="80"/>
      </w:pPr>
      <w:r>
        <w:rPr>
          <w:rFonts w:ascii="Arial" w:cs="Arial" w:eastAsia="Arial" w:hAnsi="Arial"/>
          <w:sz w:val="20"/>
          <w:szCs w:val="20"/>
        </w:rPr>
        <w:t xml:space="preserve">ETANOL: Unikać narażenia na: źródła ciepła, otwarty ogień.</w:t>
      </w:r>
    </w:p>
    <w:p>
      <w:pPr>
        <w:spacing w:after="80"/>
      </w:pPr>
      <w:r>
        <w:rPr>
          <w:rFonts w:ascii="Arial" w:cs="Arial" w:eastAsia="Arial" w:hAnsi="Arial"/>
          <w:sz w:val="20"/>
          <w:szCs w:val="20"/>
        </w:rPr>
        <w:t xml:space="preserve">ACETON: Unikać narażenia na: źródła ciepła, otwarty ogień.</w:t>
      </w:r>
    </w:p>
    <w:p>
      <w:pPr>
        <w:spacing w:after="80"/>
      </w:pPr>
      <w:r>
        <w:rPr>
          <w:rFonts w:ascii="Arial" w:cs="Arial" w:eastAsia="Arial" w:hAnsi="Arial"/>
          <w:sz w:val="20"/>
          <w:szCs w:val="20"/>
        </w:rPr>
        <w:t xml:space="preserve">KWAS OCTOWY ...%: Unikać narażenia na: źródła ciepła, otwarty ogień.</w:t>
      </w:r>
    </w:p>
    <w:p>
      <w:pPr>
        <w:spacing w:after="100" w:before="200"/>
      </w:pPr>
      <w:r>
        <w:rPr>
          <w:rFonts w:ascii="Arial" w:cs="Arial" w:eastAsia="Arial" w:hAnsi="Arial"/>
          <w:b/>
          <w:bCs/>
          <w:sz w:val="20"/>
          <w:szCs w:val="20"/>
        </w:rPr>
        <w:t xml:space="preserve">10.5. Materiały niezgodne</w:t>
      </w:r>
    </w:p>
    <w:p>
      <w:pPr>
        <w:spacing w:after="80"/>
      </w:pPr>
      <w:r>
        <w:rPr>
          <w:rFonts w:ascii="Arial" w:cs="Arial" w:eastAsia="Arial" w:hAnsi="Arial"/>
          <w:sz w:val="20"/>
          <w:szCs w:val="20"/>
        </w:rPr>
        <w:t xml:space="preserve">ACETON: Niezgodny z: kwasami, substancjami utleniającymi.</w:t>
      </w:r>
    </w:p>
    <w:p>
      <w:pPr>
        <w:spacing w:after="80"/>
      </w:pPr>
      <w:r>
        <w:rPr>
          <w:rFonts w:ascii="Arial" w:cs="Arial" w:eastAsia="Arial" w:hAnsi="Arial"/>
          <w:sz w:val="20"/>
          <w:szCs w:val="20"/>
        </w:rPr>
        <w:t xml:space="preserve">KWAS OCTOWY ...%: Niezgodny z: węglanami, wodorotlenkami, fosforanami, substancjami utleniającymi, zasadami.</w:t>
      </w:r>
    </w:p>
    <w:p>
      <w:pPr>
        <w:spacing w:after="100" w:before="200"/>
      </w:pPr>
      <w:r>
        <w:rPr>
          <w:rFonts w:ascii="Arial" w:cs="Arial" w:eastAsia="Arial" w:hAnsi="Arial"/>
          <w:b/>
          <w:bCs/>
          <w:sz w:val="20"/>
          <w:szCs w:val="20"/>
        </w:rPr>
        <w:t xml:space="preserve">10.6. Niebezpieczne produkty rozkładu</w:t>
      </w:r>
    </w:p>
    <w:p>
      <w:pPr>
        <w:spacing w:after="80"/>
      </w:pPr>
      <w:r>
        <w:rPr>
          <w:rFonts w:ascii="Arial" w:cs="Arial" w:eastAsia="Arial" w:hAnsi="Arial"/>
          <w:sz w:val="20"/>
          <w:szCs w:val="20"/>
        </w:rPr>
        <w:t xml:space="preserve">W przypadku rozkładu termicznego lub pożaru mogą uwalniać się gazy i pary potencjalnie niebezpieczne dla zdrowia.</w:t>
      </w:r>
    </w:p>
    <w:p>
      <w:pPr>
        <w:spacing w:after="80"/>
      </w:pPr>
      <w:r>
        <w:rPr>
          <w:rFonts w:ascii="Arial" w:cs="Arial" w:eastAsia="Arial" w:hAnsi="Arial"/>
          <w:sz w:val="20"/>
          <w:szCs w:val="20"/>
        </w:rPr>
        <w:t xml:space="preserve">ACETON: Może wydzielać: keteny, substancje drażniące.</w:t>
      </w:r>
    </w:p>
    <w:p>
      <w:pPr>
        <w:pBdr>
          <w:bottom w:color="00A651" w:sz="12" w:space="1"/>
        </w:pBdr>
        <w:spacing w:after="150" w:before="300"/>
      </w:pPr>
      <w:r>
        <w:rPr>
          <w:b/>
          <w:bCs/>
          <w:sz w:val="22"/>
          <w:szCs w:val="22"/>
        </w:rPr>
        <w:t xml:space="preserve">SEKCJA 11: INFORMACJE TOKSYKOLOGICZNE</w:t>
      </w:r>
    </w:p>
    <w:p>
      <w:pPr>
        <w:spacing w:after="80"/>
      </w:pPr>
      <w:r>
        <w:rPr>
          <w:rFonts w:ascii="Arial" w:cs="Arial" w:eastAsia="Arial" w:hAnsi="Arial"/>
          <w:sz w:val="20"/>
          <w:szCs w:val="20"/>
        </w:rPr>
        <w:t xml:space="preserve">W przypadku braku danych doświadczalnych dla samego produktu, zagrożenia dla zdrowia oceniono na podstawie właściwości substancji w nim zawartych, stosując kryteria określone w obowiązującym rozporządzeniu dotyczącym klasyfikacji.</w:t>
      </w:r>
    </w:p>
    <w:p>
      <w:pPr>
        <w:spacing w:after="80"/>
      </w:pPr>
      <w:r>
        <w:rPr>
          <w:rFonts w:ascii="Arial" w:cs="Arial" w:eastAsia="Arial" w:hAnsi="Arial"/>
          <w:sz w:val="20"/>
          <w:szCs w:val="20"/>
        </w:rPr>
        <w:t xml:space="preserve">Należy zatem wziąć pod uwagę stężenia poszczególnych substancji niebezpiecznych wskazanych w sekcji 3, aby ocenić skutki toksykologiczne narażenia na produkt.</w:t>
      </w:r>
    </w:p>
    <w:p>
      <w:pPr>
        <w:spacing w:after="100" w:before="200"/>
      </w:pPr>
      <w:r>
        <w:rPr>
          <w:rFonts w:ascii="Arial" w:cs="Arial" w:eastAsia="Arial" w:hAnsi="Arial"/>
          <w:b/>
          <w:bCs/>
          <w:sz w:val="20"/>
          <w:szCs w:val="20"/>
        </w:rPr>
        <w:t xml:space="preserve">11.1. Informacje na temat klas zagrożenia zdefiniowanych w rozporządzeniu (WE) nr 1272/2008</w:t>
      </w:r>
    </w:p>
    <w:p>
      <w:pPr>
        <w:spacing w:after="80"/>
      </w:pPr>
      <w:r>
        <w:rPr>
          <w:rFonts w:ascii="Arial" w:cs="Arial" w:eastAsia="Arial" w:hAnsi="Arial"/>
          <w:sz w:val="20"/>
          <w:szCs w:val="20"/>
        </w:rPr>
        <w:t xml:space="preserve">Metabolizm, toksykokinetyka, mechanizm działania i inne informacje</w:t>
      </w:r>
    </w:p>
    <w:p>
      <w:pPr>
        <w:spacing w:after="80"/>
      </w:pPr>
      <w:r>
        <w:rPr>
          <w:rFonts w:ascii="Arial" w:cs="Arial" w:eastAsia="Arial" w:hAnsi="Arial"/>
          <w:sz w:val="20"/>
          <w:szCs w:val="20"/>
        </w:rPr>
        <w:t xml:space="preserve">Brak dostępnych danych</w:t>
      </w:r>
    </w:p>
    <w:p>
      <w:pPr>
        <w:spacing w:after="80"/>
      </w:pPr>
      <w:r>
        <w:rPr>
          <w:rFonts w:ascii="Arial" w:cs="Arial" w:eastAsia="Arial" w:hAnsi="Arial"/>
          <w:sz w:val="20"/>
          <w:szCs w:val="20"/>
        </w:rPr>
        <w:t xml:space="preserve">Informacje dotyczące prawdopodobnych dróg narażenia</w:t>
      </w:r>
    </w:p>
    <w:p>
      <w:pPr>
        <w:spacing w:after="80"/>
      </w:pPr>
      <w:r>
        <w:rPr>
          <w:rFonts w:ascii="Arial" w:cs="Arial" w:eastAsia="Arial" w:hAnsi="Arial"/>
          <w:sz w:val="20"/>
          <w:szCs w:val="20"/>
        </w:rPr>
        <w:t xml:space="preserve">METANOL</w:t>
      </w:r>
    </w:p>
    <w:p>
      <w:pPr>
        <w:spacing w:after="80"/>
      </w:pPr>
      <w:r>
        <w:rPr>
          <w:rFonts w:ascii="Arial" w:cs="Arial" w:eastAsia="Arial" w:hAnsi="Arial"/>
          <w:sz w:val="20"/>
          <w:szCs w:val="20"/>
        </w:rPr>
        <w:t xml:space="preserve">PRACOWNICY: inhalacja; kontakt ze skórą.</w:t>
      </w:r>
    </w:p>
    <w:p>
      <w:pPr>
        <w:spacing w:after="80"/>
      </w:pPr>
      <w:r>
        <w:rPr>
          <w:rFonts w:ascii="Arial" w:cs="Arial" w:eastAsia="Arial" w:hAnsi="Arial"/>
          <w:sz w:val="20"/>
          <w:szCs w:val="20"/>
        </w:rPr>
        <w:t xml:space="preserve">LUDNOŚĆ: spożycie skażonej żywności lub wody; kontakt ze skórą w przypadku produktów zawierających substancję.</w:t>
      </w:r>
    </w:p>
    <w:p>
      <w:pPr>
        <w:spacing w:after="80"/>
      </w:pPr>
      <w:r>
        <w:rPr>
          <w:rFonts w:ascii="Arial" w:cs="Arial" w:eastAsia="Arial" w:hAnsi="Arial"/>
          <w:sz w:val="20"/>
          <w:szCs w:val="20"/>
        </w:rPr>
        <w:t xml:space="preserve">TOLUEN</w:t>
      </w:r>
    </w:p>
    <w:p>
      <w:pPr>
        <w:spacing w:after="80"/>
      </w:pPr>
      <w:r>
        <w:rPr>
          <w:rFonts w:ascii="Arial" w:cs="Arial" w:eastAsia="Arial" w:hAnsi="Arial"/>
          <w:sz w:val="20"/>
          <w:szCs w:val="20"/>
        </w:rPr>
        <w:t xml:space="preserve">PRACOWNICY: inhalacja; kontakt ze skórą.</w:t>
      </w:r>
    </w:p>
    <w:p>
      <w:pPr>
        <w:spacing w:after="80"/>
      </w:pPr>
      <w:r>
        <w:rPr>
          <w:rFonts w:ascii="Arial" w:cs="Arial" w:eastAsia="Arial" w:hAnsi="Arial"/>
          <w:sz w:val="20"/>
          <w:szCs w:val="20"/>
        </w:rPr>
        <w:t xml:space="preserve">LUDNOŚĆ: spożycie skażonej żywności lub wody; wdychanie powietrza otoczenia; kontakt ze skórą w przypadku produktów zawierających substancję.</w:t>
      </w:r>
    </w:p>
    <w:p>
      <w:pPr>
        <w:spacing w:after="80"/>
      </w:pPr>
      <w:r>
        <w:rPr>
          <w:rFonts w:ascii="Arial" w:cs="Arial" w:eastAsia="Arial" w:hAnsi="Arial"/>
          <w:sz w:val="20"/>
          <w:szCs w:val="20"/>
        </w:rPr>
        <w:t xml:space="preserve">Opóźnione, bezpośrednie oraz przewlekłe skutki krótko- i długotrwałego narażenia</w:t>
      </w:r>
    </w:p>
    <w:p>
      <w:pPr>
        <w:spacing w:after="80"/>
      </w:pPr>
      <w:r>
        <w:rPr>
          <w:rFonts w:ascii="Arial" w:cs="Arial" w:eastAsia="Arial" w:hAnsi="Arial"/>
          <w:sz w:val="20"/>
          <w:szCs w:val="20"/>
        </w:rPr>
        <w:t xml:space="preserve">METANOL</w:t>
      </w:r>
    </w:p>
    <w:p>
      <w:pPr>
        <w:spacing w:after="80"/>
      </w:pPr>
      <w:r>
        <w:rPr>
          <w:rFonts w:ascii="Arial" w:cs="Arial" w:eastAsia="Arial" w:hAnsi="Arial"/>
          <w:sz w:val="20"/>
          <w:szCs w:val="20"/>
        </w:rPr>
        <w:t xml:space="preserve">Minimalna dawka śmiertelna dla ludzi drogą pokarmową jest szacowana w zakresie od 300 do 1000 mg/kg. Spożycie 4-10 ml substancji może spowodować trwałą ślepotę u dorosłego człowieka (IPCS).</w:t>
      </w:r>
    </w:p>
    <w:p>
      <w:pPr>
        <w:spacing w:after="80"/>
      </w:pPr>
      <w:r>
        <w:rPr>
          <w:rFonts w:ascii="Arial" w:cs="Arial" w:eastAsia="Arial" w:hAnsi="Arial"/>
          <w:sz w:val="20"/>
          <w:szCs w:val="20"/>
        </w:rPr>
        <w:t xml:space="preserve">TOLUEN</w:t>
      </w:r>
    </w:p>
    <w:p>
      <w:pPr>
        <w:spacing w:after="80"/>
      </w:pPr>
      <w:r>
        <w:rPr>
          <w:rFonts w:ascii="Arial" w:cs="Arial" w:eastAsia="Arial" w:hAnsi="Arial"/>
          <w:sz w:val="20"/>
          <w:szCs w:val="20"/>
        </w:rPr>
        <w:t xml:space="preserve">Działanie toksyczne na ośrodkowy i obwodowy układ nerwowy z encefalopatią i polineuropatią; działa drażniąco na skórę, spojówki, rogówkę i układ oddechowy.</w:t>
      </w:r>
    </w:p>
    <w:p>
      <w:pPr>
        <w:spacing w:after="80"/>
      </w:pPr>
      <w:r>
        <w:rPr>
          <w:rFonts w:ascii="Arial" w:cs="Arial" w:eastAsia="Arial" w:hAnsi="Arial"/>
          <w:sz w:val="20"/>
          <w:szCs w:val="20"/>
        </w:rPr>
        <w:t xml:space="preserve">Skutki wzajemnego oddziaływania</w:t>
      </w:r>
    </w:p>
    <w:p>
      <w:pPr>
        <w:spacing w:after="80"/>
      </w:pPr>
      <w:r>
        <w:rPr>
          <w:rFonts w:ascii="Arial" w:cs="Arial" w:eastAsia="Arial" w:hAnsi="Arial"/>
          <w:sz w:val="20"/>
          <w:szCs w:val="20"/>
        </w:rPr>
        <w:t xml:space="preserve">TOLUEN</w:t>
      </w:r>
    </w:p>
    <w:p>
      <w:pPr>
        <w:spacing w:after="80"/>
      </w:pPr>
      <w:r>
        <w:rPr>
          <w:rFonts w:ascii="Arial" w:cs="Arial" w:eastAsia="Arial" w:hAnsi="Arial"/>
          <w:sz w:val="20"/>
          <w:szCs w:val="20"/>
        </w:rPr>
        <w:t xml:space="preserve">Niektóre leki i inne produkty przemysłowe mogą zakłócać metabolizm toluenu.</w:t>
      </w:r>
    </w:p>
    <w:p>
      <w:pPr>
        <w:spacing w:after="80"/>
      </w:pPr>
      <w:r>
        <w:rPr>
          <w:rFonts w:ascii="Arial" w:cs="Arial" w:eastAsia="Arial" w:hAnsi="Arial"/>
          <w:sz w:val="20"/>
          <w:szCs w:val="20"/>
        </w:rPr>
        <w:t xml:space="preserve">TOKSYCZNOŚĆ OSTRA</w:t>
      </w:r>
    </w:p>
    <w:p>
      <w:pPr>
        <w:spacing w:after="80"/>
      </w:pPr>
      <w:r>
        <w:rPr>
          <w:rFonts w:ascii="Arial" w:cs="Arial" w:eastAsia="Arial" w:hAnsi="Arial"/>
          <w:sz w:val="20"/>
          <w:szCs w:val="20"/>
        </w:rPr>
        <w:t xml:space="preserve">ATE (przez drogi oddechowe) mieszaniny: Nieklasyfikowane (brak istotnego składnika)</w:t>
      </w:r>
    </w:p>
    <w:p>
      <w:pPr>
        <w:spacing w:after="80"/>
      </w:pPr>
      <w:r>
        <w:rPr>
          <w:rFonts w:ascii="Arial" w:cs="Arial" w:eastAsia="Arial" w:hAnsi="Arial"/>
          <w:sz w:val="20"/>
          <w:szCs w:val="20"/>
        </w:rPr>
        <w:t xml:space="preserve">ATE (droga pokarmowa) mieszaniny: Nieklasyfikowane (brak istotnego składnika)</w:t>
      </w:r>
    </w:p>
    <w:p>
      <w:pPr>
        <w:spacing w:after="80"/>
      </w:pPr>
      <w:r>
        <w:rPr>
          <w:rFonts w:ascii="Arial" w:cs="Arial" w:eastAsia="Arial" w:hAnsi="Arial"/>
          <w:sz w:val="20"/>
          <w:szCs w:val="20"/>
        </w:rPr>
        <w:t xml:space="preserve">ATE (na skórę) mieszaniny: Nieklasyfikowane (brak istotnego składnika)</w:t>
      </w:r>
    </w:p>
    <w:p>
      <w:pPr>
        <w:spacing w:after="80"/>
      </w:pPr>
      <w:r>
        <w:rPr>
          <w:rFonts w:ascii="Arial" w:cs="Arial" w:eastAsia="Arial" w:hAnsi="Arial"/>
          <w:sz w:val="20"/>
          <w:szCs w:val="20"/>
        </w:rPr>
        <w:t xml:space="preserve">ETANOL</w:t>
      </w:r>
    </w:p>
    <w:p>
      <w:pPr>
        <w:spacing w:after="80"/>
      </w:pPr>
      <w:r>
        <w:rPr>
          <w:rFonts w:ascii="Arial" w:cs="Arial" w:eastAsia="Arial" w:hAnsi="Arial"/>
          <w:sz w:val="20"/>
          <w:szCs w:val="20"/>
        </w:rPr>
        <w:t xml:space="preserve">LD50 (droga pokarmowa): &gt; 5000 mg/kg szczur</w:t>
      </w:r>
    </w:p>
    <w:p>
      <w:pPr>
        <w:spacing w:after="80"/>
      </w:pPr>
      <w:r>
        <w:rPr>
          <w:rFonts w:ascii="Arial" w:cs="Arial" w:eastAsia="Arial" w:hAnsi="Arial"/>
          <w:sz w:val="20"/>
          <w:szCs w:val="20"/>
        </w:rPr>
        <w:t xml:space="preserve">LC50 (drogi oddechowe, pary, szczur): 120 mg/l/4h</w:t>
      </w:r>
    </w:p>
    <w:p>
      <w:pPr>
        <w:spacing w:after="80"/>
      </w:pPr>
      <w:r>
        <w:rPr>
          <w:rFonts w:ascii="Arial" w:cs="Arial" w:eastAsia="Arial" w:hAnsi="Arial"/>
          <w:sz w:val="20"/>
          <w:szCs w:val="20"/>
        </w:rPr>
        <w:t xml:space="preserve">OCTAN (4-TERT-BUTYLOCYKLOHEKSYLU)</w:t>
      </w:r>
    </w:p>
    <w:p>
      <w:pPr>
        <w:spacing w:after="80"/>
      </w:pPr>
      <w:r>
        <w:rPr>
          <w:rFonts w:ascii="Arial" w:cs="Arial" w:eastAsia="Arial" w:hAnsi="Arial"/>
          <w:sz w:val="20"/>
          <w:szCs w:val="20"/>
        </w:rPr>
        <w:t xml:space="preserve">LD50 (na skórę): &gt; 5000 mg/kg królik</w:t>
      </w:r>
    </w:p>
    <w:p>
      <w:pPr>
        <w:spacing w:after="80"/>
      </w:pPr>
      <w:r>
        <w:rPr>
          <w:rFonts w:ascii="Arial" w:cs="Arial" w:eastAsia="Arial" w:hAnsi="Arial"/>
          <w:sz w:val="20"/>
          <w:szCs w:val="20"/>
        </w:rPr>
        <w:t xml:space="preserve">LD50 (droga pokarmowa): 3,6 mg/kg szczur</w:t>
      </w:r>
    </w:p>
    <w:p>
      <w:pPr>
        <w:spacing w:after="80"/>
      </w:pPr>
      <w:r>
        <w:rPr>
          <w:rFonts w:ascii="Arial" w:cs="Arial" w:eastAsia="Arial" w:hAnsi="Arial"/>
          <w:sz w:val="20"/>
          <w:szCs w:val="20"/>
        </w:rPr>
        <w:t xml:space="preserve">ETER MONOMETYLOWY DIPROPYLENOGLIKOLU</w:t>
      </w:r>
    </w:p>
    <w:p>
      <w:pPr>
        <w:spacing w:after="80"/>
      </w:pPr>
      <w:r>
        <w:rPr>
          <w:rFonts w:ascii="Arial" w:cs="Arial" w:eastAsia="Arial" w:hAnsi="Arial"/>
          <w:sz w:val="20"/>
          <w:szCs w:val="20"/>
        </w:rPr>
        <w:t xml:space="preserve">LD50 (na skórę): 10 mL/kg królik</w:t>
      </w:r>
    </w:p>
    <w:p>
      <w:pPr>
        <w:spacing w:after="80"/>
      </w:pPr>
      <w:r>
        <w:rPr>
          <w:rFonts w:ascii="Arial" w:cs="Arial" w:eastAsia="Arial" w:hAnsi="Arial"/>
          <w:sz w:val="20"/>
          <w:szCs w:val="20"/>
        </w:rPr>
        <w:t xml:space="preserve">LD50 (droga pokarmowa): &gt; 5000 mg/kg szczur</w:t>
      </w:r>
    </w:p>
    <w:p>
      <w:pPr>
        <w:spacing w:after="80"/>
      </w:pPr>
      <w:r>
        <w:rPr>
          <w:rFonts w:ascii="Arial" w:cs="Arial" w:eastAsia="Arial" w:hAnsi="Arial"/>
          <w:sz w:val="20"/>
          <w:szCs w:val="20"/>
        </w:rPr>
        <w:t xml:space="preserve">LC50 (inhalacja par): 3,35 mg/L 7h</w:t>
      </w:r>
    </w:p>
    <w:p>
      <w:pPr>
        <w:spacing w:after="80"/>
      </w:pPr>
      <w:r>
        <w:rPr>
          <w:rFonts w:ascii="Arial" w:cs="Arial" w:eastAsia="Arial" w:hAnsi="Arial"/>
          <w:sz w:val="20"/>
          <w:szCs w:val="20"/>
        </w:rPr>
        <w:t xml:space="preserve">MASA POREAKCYJNA SALICYLANU 2-METYLOBUTYLU I SALICYLANU PENTYLU</w:t>
      </w:r>
    </w:p>
    <w:p>
      <w:pPr>
        <w:spacing w:after="80"/>
      </w:pPr>
      <w:r>
        <w:rPr>
          <w:rFonts w:ascii="Arial" w:cs="Arial" w:eastAsia="Arial" w:hAnsi="Arial"/>
          <w:sz w:val="20"/>
          <w:szCs w:val="20"/>
        </w:rPr>
        <w:t xml:space="preserve">LD50 (na skórę): &gt; 2000 mg/kg królik</w:t>
      </w:r>
    </w:p>
    <w:p>
      <w:pPr>
        <w:spacing w:after="80"/>
      </w:pPr>
      <w:r>
        <w:rPr>
          <w:rFonts w:ascii="Arial" w:cs="Arial" w:eastAsia="Arial" w:hAnsi="Arial"/>
          <w:sz w:val="20"/>
          <w:szCs w:val="20"/>
        </w:rPr>
        <w:t xml:space="preserve">LD50 (droga pokarmowa): 2000 mg/kg szczur</w:t>
      </w:r>
    </w:p>
    <w:p>
      <w:pPr>
        <w:spacing w:after="80"/>
      </w:pPr>
      <w:r>
        <w:rPr>
          <w:rFonts w:ascii="Arial" w:cs="Arial" w:eastAsia="Arial" w:hAnsi="Arial"/>
          <w:sz w:val="20"/>
          <w:szCs w:val="20"/>
        </w:rPr>
        <w:t xml:space="preserve">LINALOL</w:t>
      </w:r>
    </w:p>
    <w:p>
      <w:pPr>
        <w:spacing w:after="80"/>
      </w:pPr>
      <w:r>
        <w:rPr>
          <w:rFonts w:ascii="Arial" w:cs="Arial" w:eastAsia="Arial" w:hAnsi="Arial"/>
          <w:sz w:val="20"/>
          <w:szCs w:val="20"/>
        </w:rPr>
        <w:t xml:space="preserve">LD50 (na skórę): 5610 mg/kg królik</w:t>
      </w:r>
    </w:p>
    <w:p>
      <w:pPr>
        <w:spacing w:after="80"/>
      </w:pPr>
      <w:r>
        <w:rPr>
          <w:rFonts w:ascii="Arial" w:cs="Arial" w:eastAsia="Arial" w:hAnsi="Arial"/>
          <w:sz w:val="20"/>
          <w:szCs w:val="20"/>
        </w:rPr>
        <w:t xml:space="preserve">LD50 (droga pokarmowa): 2200 mg/kg mysz</w:t>
      </w:r>
    </w:p>
    <w:p>
      <w:pPr>
        <w:spacing w:after="80"/>
      </w:pPr>
      <w:r>
        <w:rPr>
          <w:rFonts w:ascii="Arial" w:cs="Arial" w:eastAsia="Arial" w:hAnsi="Arial"/>
          <w:sz w:val="20"/>
          <w:szCs w:val="20"/>
        </w:rPr>
        <w:t xml:space="preserve">LC50 (inhalacja par): &gt; 3,2 mg/l 90 min mysz</w:t>
      </w:r>
    </w:p>
    <w:p>
      <w:pPr>
        <w:spacing w:after="80"/>
      </w:pPr>
      <w:r>
        <w:rPr>
          <w:rFonts w:ascii="Arial" w:cs="Arial" w:eastAsia="Arial" w:hAnsi="Arial"/>
          <w:sz w:val="20"/>
          <w:szCs w:val="20"/>
        </w:rPr>
        <w:t xml:space="preserve">SALICYLAN BENZYLU</w:t>
      </w:r>
    </w:p>
    <w:p>
      <w:pPr>
        <w:spacing w:after="80"/>
      </w:pPr>
      <w:r>
        <w:rPr>
          <w:rFonts w:ascii="Arial" w:cs="Arial" w:eastAsia="Arial" w:hAnsi="Arial"/>
          <w:sz w:val="20"/>
          <w:szCs w:val="20"/>
        </w:rPr>
        <w:t xml:space="preserve">LD50 (na skórę): &gt; 2000 mg/kg m.c. królik</w:t>
      </w:r>
    </w:p>
    <w:p>
      <w:pPr>
        <w:spacing w:after="80"/>
      </w:pPr>
      <w:r>
        <w:rPr>
          <w:rFonts w:ascii="Arial" w:cs="Arial" w:eastAsia="Arial" w:hAnsi="Arial"/>
          <w:sz w:val="20"/>
          <w:szCs w:val="20"/>
        </w:rPr>
        <w:t xml:space="preserve">LD50 (droga pokarmowa): &gt; 2000 mg/kg szczur</w:t>
      </w:r>
    </w:p>
    <w:p>
      <w:pPr>
        <w:spacing w:after="80"/>
      </w:pPr>
      <w:r>
        <w:rPr>
          <w:rFonts w:ascii="Arial" w:cs="Arial" w:eastAsia="Arial" w:hAnsi="Arial"/>
          <w:sz w:val="20"/>
          <w:szCs w:val="20"/>
        </w:rPr>
        <w:t xml:space="preserve">(±) trans-3,3-dimetylo-5-(2,2,3-trimetylocyklopent-3-en-1-ylo)-pent-4-en-2-ol</w:t>
      </w:r>
    </w:p>
    <w:p>
      <w:pPr>
        <w:spacing w:after="80"/>
      </w:pPr>
      <w:r>
        <w:rPr>
          <w:rFonts w:ascii="Arial" w:cs="Arial" w:eastAsia="Arial" w:hAnsi="Arial"/>
          <w:sz w:val="20"/>
          <w:szCs w:val="20"/>
        </w:rPr>
        <w:t xml:space="preserve">LD50 (na skórę): &gt; 2000 mg/kg szczur</w:t>
      </w:r>
    </w:p>
    <w:p>
      <w:pPr>
        <w:spacing w:after="80"/>
      </w:pPr>
      <w:r>
        <w:rPr>
          <w:rFonts w:ascii="Arial" w:cs="Arial" w:eastAsia="Arial" w:hAnsi="Arial"/>
          <w:sz w:val="20"/>
          <w:szCs w:val="20"/>
        </w:rPr>
        <w:t xml:space="preserve">LD50 (droga pokarmowa): &gt; 5000 mg/kg szczur</w:t>
      </w:r>
    </w:p>
    <w:p>
      <w:pPr>
        <w:spacing w:after="80"/>
      </w:pPr>
      <w:r>
        <w:rPr>
          <w:rFonts w:ascii="Arial" w:cs="Arial" w:eastAsia="Arial" w:hAnsi="Arial"/>
          <w:sz w:val="20"/>
          <w:szCs w:val="20"/>
        </w:rPr>
        <w:t xml:space="preserve">Masa poreakcyjna 1-[(1R*,6S*)-2,2,6-trimetylocykloheksylo]heksan-3-olu i 1-[(1S*,6S*)-2,2,6-trimetylocykloheksylo]heksan-3-olu</w:t>
      </w:r>
    </w:p>
    <w:p>
      <w:pPr>
        <w:spacing w:after="80"/>
      </w:pPr>
      <w:r>
        <w:rPr>
          <w:rFonts w:ascii="Arial" w:cs="Arial" w:eastAsia="Arial" w:hAnsi="Arial"/>
          <w:sz w:val="20"/>
          <w:szCs w:val="20"/>
        </w:rPr>
        <w:t xml:space="preserve">LD50 (na skórę): &gt; 2000 mg/kg szczur</w:t>
      </w:r>
    </w:p>
    <w:p>
      <w:pPr>
        <w:spacing w:after="80"/>
      </w:pPr>
      <w:r>
        <w:rPr>
          <w:rFonts w:ascii="Arial" w:cs="Arial" w:eastAsia="Arial" w:hAnsi="Arial"/>
          <w:sz w:val="20"/>
          <w:szCs w:val="20"/>
        </w:rPr>
        <w:t xml:space="preserve">LD50 (droga pokarmowa): &gt; 18000 mg/kg szczur</w:t>
      </w:r>
    </w:p>
    <w:p>
      <w:pPr>
        <w:spacing w:after="80"/>
      </w:pPr>
      <w:r>
        <w:rPr>
          <w:rFonts w:ascii="Arial" w:cs="Arial" w:eastAsia="Arial" w:hAnsi="Arial"/>
          <w:sz w:val="20"/>
          <w:szCs w:val="20"/>
        </w:rPr>
        <w:t xml:space="preserve">CYNEOL</w:t>
      </w:r>
    </w:p>
    <w:p>
      <w:pPr>
        <w:spacing w:after="80"/>
      </w:pPr>
      <w:r>
        <w:rPr>
          <w:rFonts w:ascii="Arial" w:cs="Arial" w:eastAsia="Arial" w:hAnsi="Arial"/>
          <w:sz w:val="20"/>
          <w:szCs w:val="20"/>
        </w:rPr>
        <w:t xml:space="preserve">LD50 (na skórę): &gt; 2 g/kg szczur</w:t>
      </w:r>
    </w:p>
    <w:p>
      <w:pPr>
        <w:spacing w:after="80"/>
      </w:pPr>
      <w:r>
        <w:rPr>
          <w:rFonts w:ascii="Arial" w:cs="Arial" w:eastAsia="Arial" w:hAnsi="Arial"/>
          <w:sz w:val="20"/>
          <w:szCs w:val="20"/>
        </w:rPr>
        <w:t xml:space="preserve">LD50 (droga pokarmowa): 4,3 g/kg szczur</w:t>
      </w:r>
    </w:p>
    <w:p>
      <w:pPr>
        <w:spacing w:after="80"/>
      </w:pPr>
      <w:r>
        <w:rPr>
          <w:rFonts w:ascii="Arial" w:cs="Arial" w:eastAsia="Arial" w:hAnsi="Arial"/>
          <w:sz w:val="20"/>
          <w:szCs w:val="20"/>
        </w:rPr>
        <w:t xml:space="preserve">2,6-DI-TERT-BUTYLO-4-METYLOFENOL (BHT)</w:t>
      </w:r>
    </w:p>
    <w:p>
      <w:pPr>
        <w:spacing w:after="80"/>
      </w:pPr>
      <w:r>
        <w:rPr>
          <w:rFonts w:ascii="Arial" w:cs="Arial" w:eastAsia="Arial" w:hAnsi="Arial"/>
          <w:sz w:val="20"/>
          <w:szCs w:val="20"/>
        </w:rPr>
        <w:t xml:space="preserve">LD50 (na skórę): &gt; 2000 mg/kg szczur</w:t>
      </w:r>
    </w:p>
    <w:p>
      <w:pPr>
        <w:spacing w:after="80"/>
      </w:pPr>
      <w:r>
        <w:rPr>
          <w:rFonts w:ascii="Arial" w:cs="Arial" w:eastAsia="Arial" w:hAnsi="Arial"/>
          <w:sz w:val="20"/>
          <w:szCs w:val="20"/>
        </w:rPr>
        <w:t xml:space="preserve">LD50 (droga pokarmowa): 2930 mg/kg szczur</w:t>
      </w:r>
    </w:p>
    <w:p>
      <w:pPr>
        <w:spacing w:after="80"/>
      </w:pPr>
      <w:r>
        <w:rPr>
          <w:rFonts w:ascii="Arial" w:cs="Arial" w:eastAsia="Arial" w:hAnsi="Arial"/>
          <w:sz w:val="20"/>
          <w:szCs w:val="20"/>
        </w:rPr>
        <w:t xml:space="preserve">ALDEHYD CYNAMONOWY</w:t>
      </w:r>
    </w:p>
    <w:p>
      <w:pPr>
        <w:spacing w:after="80"/>
      </w:pPr>
      <w:r>
        <w:rPr>
          <w:rFonts w:ascii="Arial" w:cs="Arial" w:eastAsia="Arial" w:hAnsi="Arial"/>
          <w:sz w:val="20"/>
          <w:szCs w:val="20"/>
        </w:rPr>
        <w:t xml:space="preserve">LD50 (na skórę): 620 mg/kg królik</w:t>
      </w:r>
    </w:p>
    <w:p>
      <w:pPr>
        <w:spacing w:after="80"/>
      </w:pPr>
      <w:r>
        <w:rPr>
          <w:rFonts w:ascii="Arial" w:cs="Arial" w:eastAsia="Arial" w:hAnsi="Arial"/>
          <w:sz w:val="20"/>
          <w:szCs w:val="20"/>
        </w:rPr>
        <w:t xml:space="preserve">LD50 (droga pokarmowa): 1160 mg/kg świnka morska</w:t>
      </w:r>
    </w:p>
    <w:p>
      <w:pPr>
        <w:spacing w:after="80"/>
      </w:pPr>
      <w:r>
        <w:rPr>
          <w:rFonts w:ascii="Arial" w:cs="Arial" w:eastAsia="Arial" w:hAnsi="Arial"/>
          <w:sz w:val="20"/>
          <w:szCs w:val="20"/>
        </w:rPr>
        <w:t xml:space="preserve">LC50 (inhalacja par): 68,889 mg/l/4h szczur</w:t>
      </w:r>
    </w:p>
    <w:p>
      <w:pPr>
        <w:spacing w:after="80"/>
      </w:pPr>
      <w:r>
        <w:rPr>
          <w:rFonts w:ascii="Arial" w:cs="Arial" w:eastAsia="Arial" w:hAnsi="Arial"/>
          <w:sz w:val="20"/>
          <w:szCs w:val="20"/>
        </w:rPr>
        <w:t xml:space="preserve">METANOL</w:t>
      </w:r>
    </w:p>
    <w:p>
      <w:pPr>
        <w:spacing w:after="80"/>
      </w:pPr>
      <w:r>
        <w:rPr>
          <w:rFonts w:ascii="Arial" w:cs="Arial" w:eastAsia="Arial" w:hAnsi="Arial"/>
          <w:sz w:val="20"/>
          <w:szCs w:val="20"/>
        </w:rPr>
        <w:t xml:space="preserve">LD50 (droga pokarmowa): &gt; 1187 mg/kg szczur</w:t>
      </w:r>
    </w:p>
    <w:p>
      <w:pPr>
        <w:spacing w:after="80"/>
      </w:pPr>
      <w:r>
        <w:rPr>
          <w:rFonts w:ascii="Arial" w:cs="Arial" w:eastAsia="Arial" w:hAnsi="Arial"/>
          <w:sz w:val="20"/>
          <w:szCs w:val="20"/>
        </w:rPr>
        <w:t xml:space="preserve">LC50 (inhalacja par): 43,68 mg/l/6h szczur</w:t>
      </w:r>
    </w:p>
    <w:p>
      <w:pPr>
        <w:spacing w:after="80"/>
      </w:pPr>
      <w:r>
        <w:rPr>
          <w:rFonts w:ascii="Arial" w:cs="Arial" w:eastAsia="Arial" w:hAnsi="Arial"/>
          <w:sz w:val="20"/>
          <w:szCs w:val="20"/>
        </w:rPr>
        <w:t xml:space="preserve">TOLUEN</w:t>
      </w:r>
    </w:p>
    <w:p>
      <w:pPr>
        <w:spacing w:after="80"/>
      </w:pPr>
      <w:r>
        <w:rPr>
          <w:rFonts w:ascii="Arial" w:cs="Arial" w:eastAsia="Arial" w:hAnsi="Arial"/>
          <w:sz w:val="20"/>
          <w:szCs w:val="20"/>
        </w:rPr>
        <w:t xml:space="preserve">LD50 (na skórę): &gt; 5000 mg/kg m.c. królik</w:t>
      </w:r>
    </w:p>
    <w:p>
      <w:pPr>
        <w:spacing w:after="80"/>
      </w:pPr>
      <w:r>
        <w:rPr>
          <w:rFonts w:ascii="Arial" w:cs="Arial" w:eastAsia="Arial" w:hAnsi="Arial"/>
          <w:sz w:val="20"/>
          <w:szCs w:val="20"/>
        </w:rPr>
        <w:t xml:space="preserve">LD50 (droga pokarmowa): &gt; 5000 mg/kg m.c. szczur</w:t>
      </w:r>
    </w:p>
    <w:p>
      <w:pPr>
        <w:spacing w:after="80"/>
      </w:pPr>
      <w:r>
        <w:rPr>
          <w:rFonts w:ascii="Arial" w:cs="Arial" w:eastAsia="Arial" w:hAnsi="Arial"/>
          <w:sz w:val="20"/>
          <w:szCs w:val="20"/>
        </w:rPr>
        <w:t xml:space="preserve">LC50 (inhalacja par): 100 ppm człowiek</w:t>
      </w:r>
    </w:p>
    <w:p>
      <w:pPr>
        <w:spacing w:after="80"/>
      </w:pPr>
      <w:r>
        <w:rPr>
          <w:rFonts w:ascii="Arial" w:cs="Arial" w:eastAsia="Arial" w:hAnsi="Arial"/>
          <w:sz w:val="20"/>
          <w:szCs w:val="20"/>
        </w:rPr>
        <w:t xml:space="preserve">FENOL</w:t>
      </w:r>
    </w:p>
    <w:p>
      <w:pPr>
        <w:spacing w:after="80"/>
      </w:pPr>
      <w:r>
        <w:rPr>
          <w:rFonts w:ascii="Arial" w:cs="Arial" w:eastAsia="Arial" w:hAnsi="Arial"/>
          <w:sz w:val="20"/>
          <w:szCs w:val="20"/>
        </w:rPr>
        <w:t xml:space="preserve">LD50 (na skórę): 525 mg/kg m.c. szczur</w:t>
      </w:r>
    </w:p>
    <w:p>
      <w:pPr>
        <w:spacing w:after="80"/>
      </w:pPr>
      <w:r>
        <w:rPr>
          <w:rFonts w:ascii="Arial" w:cs="Arial" w:eastAsia="Arial" w:hAnsi="Arial"/>
          <w:sz w:val="20"/>
          <w:szCs w:val="20"/>
        </w:rPr>
        <w:t xml:space="preserve">LD50 (droga pokarmowa): 282 mg/kg m.c. mysz</w:t>
      </w:r>
    </w:p>
    <w:p>
      <w:pPr>
        <w:spacing w:after="80"/>
      </w:pPr>
      <w:r>
        <w:rPr>
          <w:rFonts w:ascii="Arial" w:cs="Arial" w:eastAsia="Arial" w:hAnsi="Arial"/>
          <w:sz w:val="20"/>
          <w:szCs w:val="20"/>
        </w:rPr>
        <w:t xml:space="preserve">KWAS OCTOWY ...%</w:t>
      </w:r>
    </w:p>
    <w:p>
      <w:pPr>
        <w:spacing w:after="80"/>
      </w:pPr>
      <w:r>
        <w:rPr>
          <w:rFonts w:ascii="Arial" w:cs="Arial" w:eastAsia="Arial" w:hAnsi="Arial"/>
          <w:sz w:val="20"/>
          <w:szCs w:val="20"/>
        </w:rPr>
        <w:t xml:space="preserve">LD50 (na skórę): 1060 mg/kg królik</w:t>
      </w:r>
    </w:p>
    <w:p>
      <w:pPr>
        <w:spacing w:after="80"/>
      </w:pPr>
      <w:r>
        <w:rPr>
          <w:rFonts w:ascii="Arial" w:cs="Arial" w:eastAsia="Arial" w:hAnsi="Arial"/>
          <w:sz w:val="20"/>
          <w:szCs w:val="20"/>
        </w:rPr>
        <w:t xml:space="preserve">LD50 (droga pokarmowa): 3310 mg/kg szczur</w:t>
      </w:r>
    </w:p>
    <w:p>
      <w:pPr>
        <w:spacing w:after="80"/>
      </w:pPr>
      <w:r>
        <w:rPr>
          <w:rFonts w:ascii="Arial" w:cs="Arial" w:eastAsia="Arial" w:hAnsi="Arial"/>
          <w:sz w:val="20"/>
          <w:szCs w:val="20"/>
        </w:rPr>
        <w:t xml:space="preserve">LC50 (inhalacja par): 11,4 mg/l/4h szczur</w:t>
      </w:r>
    </w:p>
    <w:p>
      <w:pPr>
        <w:spacing w:after="80"/>
      </w:pPr>
      <w:r>
        <w:rPr>
          <w:rFonts w:ascii="Arial" w:cs="Arial" w:eastAsia="Arial" w:hAnsi="Arial"/>
          <w:sz w:val="20"/>
          <w:szCs w:val="20"/>
        </w:rPr>
        <w:t xml:space="preserve">DZIAŁANIE ŻRĄCE / DRAŻNIĄCE NA SKÓRĘ</w:t>
      </w:r>
    </w:p>
    <w:p>
      <w:pPr>
        <w:spacing w:after="80"/>
      </w:pPr>
      <w:r>
        <w:rPr>
          <w:rFonts w:ascii="Arial" w:cs="Arial" w:eastAsia="Arial" w:hAnsi="Arial"/>
          <w:sz w:val="20"/>
          <w:szCs w:val="20"/>
        </w:rPr>
        <w:t xml:space="preserve">Nie spełnia kryteriów klasyfikacji dla tej klasy zagrożenia</w:t>
      </w:r>
    </w:p>
    <w:p>
      <w:pPr>
        <w:spacing w:after="80"/>
      </w:pPr>
      <w:r>
        <w:rPr>
          <w:rFonts w:ascii="Arial" w:cs="Arial" w:eastAsia="Arial" w:hAnsi="Arial"/>
          <w:sz w:val="20"/>
          <w:szCs w:val="20"/>
        </w:rPr>
        <w:t xml:space="preserve">POWAŻNE USZKODZENIE OCZU / DZIAŁANIE DRAŻNIĄCE NA OCZY</w:t>
      </w:r>
    </w:p>
    <w:p>
      <w:pPr>
        <w:spacing w:after="80"/>
      </w:pPr>
      <w:r>
        <w:rPr>
          <w:rFonts w:ascii="Arial" w:cs="Arial" w:eastAsia="Arial" w:hAnsi="Arial"/>
          <w:sz w:val="20"/>
          <w:szCs w:val="20"/>
        </w:rPr>
        <w:t xml:space="preserve">Działa drażniąco na oczy</w:t>
      </w:r>
    </w:p>
    <w:p>
      <w:pPr>
        <w:spacing w:after="80"/>
      </w:pPr>
      <w:r>
        <w:rPr>
          <w:rFonts w:ascii="Arial" w:cs="Arial" w:eastAsia="Arial" w:hAnsi="Arial"/>
          <w:sz w:val="20"/>
          <w:szCs w:val="20"/>
        </w:rPr>
        <w:t xml:space="preserve">DZIAŁANIE UCZULAJĄCE NA DROGI ODDECHOWE LUB SKÓRĘ</w:t>
      </w:r>
    </w:p>
    <w:p>
      <w:pPr>
        <w:spacing w:after="80"/>
      </w:pPr>
      <w:r>
        <w:rPr>
          <w:rFonts w:ascii="Arial" w:cs="Arial" w:eastAsia="Arial" w:hAnsi="Arial"/>
          <w:sz w:val="20"/>
          <w:szCs w:val="20"/>
        </w:rPr>
        <w:t xml:space="preserve">Działa uczulająco na skórę</w:t>
      </w:r>
    </w:p>
    <w:p>
      <w:pPr>
        <w:spacing w:after="80"/>
      </w:pPr>
      <w:r>
        <w:rPr>
          <w:rFonts w:ascii="Arial" w:cs="Arial" w:eastAsia="Arial" w:hAnsi="Arial"/>
          <w:sz w:val="20"/>
          <w:szCs w:val="20"/>
        </w:rPr>
        <w:t xml:space="preserve">DZIAŁANIE MUTAGENNE NA KOMÓRKI ROZRODCZE</w:t>
      </w:r>
    </w:p>
    <w:p>
      <w:pPr>
        <w:spacing w:after="80"/>
      </w:pPr>
      <w:r>
        <w:rPr>
          <w:rFonts w:ascii="Arial" w:cs="Arial" w:eastAsia="Arial" w:hAnsi="Arial"/>
          <w:sz w:val="20"/>
          <w:szCs w:val="20"/>
        </w:rPr>
        <w:t xml:space="preserve">Nie spełnia kryteriów klasyfikacji dla tej klasy zagrożenia</w:t>
      </w:r>
    </w:p>
    <w:p>
      <w:pPr>
        <w:spacing w:after="80"/>
      </w:pPr>
      <w:r>
        <w:rPr>
          <w:rFonts w:ascii="Arial" w:cs="Arial" w:eastAsia="Arial" w:hAnsi="Arial"/>
          <w:sz w:val="20"/>
          <w:szCs w:val="20"/>
        </w:rPr>
        <w:t xml:space="preserve">RAKOTWÓRCZOŚĆ</w:t>
      </w:r>
    </w:p>
    <w:p>
      <w:pPr>
        <w:spacing w:after="80"/>
      </w:pPr>
      <w:r>
        <w:rPr>
          <w:rFonts w:ascii="Arial" w:cs="Arial" w:eastAsia="Arial" w:hAnsi="Arial"/>
          <w:sz w:val="20"/>
          <w:szCs w:val="20"/>
        </w:rPr>
        <w:t xml:space="preserve">Nie spełnia kryteriów klasyfikacji dla tej klasy zagrożenia</w:t>
      </w:r>
    </w:p>
    <w:p>
      <w:pPr>
        <w:spacing w:after="80"/>
      </w:pPr>
      <w:r>
        <w:rPr>
          <w:rFonts w:ascii="Arial" w:cs="Arial" w:eastAsia="Arial" w:hAnsi="Arial"/>
          <w:sz w:val="20"/>
          <w:szCs w:val="20"/>
        </w:rPr>
        <w:t xml:space="preserve">TOLUEN: Sklasyfikowany w grupie 3 (nieklasyfikowany jako rakotwórczy dla ludzi) przez Międzynarodową Agencję Badań nad Rakiem (IARC) - (IARC, 1999). Agencja Ochrony Środowiska USA (EPA) stwierdza, że „dane są niewystarczające do oceny potencjału rakotwórczego”.</w:t>
      </w:r>
    </w:p>
    <w:p>
      <w:pPr>
        <w:spacing w:after="80"/>
      </w:pPr>
      <w:r>
        <w:rPr>
          <w:rFonts w:ascii="Arial" w:cs="Arial" w:eastAsia="Arial" w:hAnsi="Arial"/>
          <w:sz w:val="20"/>
          <w:szCs w:val="20"/>
        </w:rPr>
        <w:t xml:space="preserve">SZKODLIWE DZIAŁANIE NA ROZRODCZOŚĆ</w:t>
      </w:r>
    </w:p>
    <w:p>
      <w:pPr>
        <w:spacing w:after="80"/>
      </w:pPr>
      <w:r>
        <w:rPr>
          <w:rFonts w:ascii="Arial" w:cs="Arial" w:eastAsia="Arial" w:hAnsi="Arial"/>
          <w:sz w:val="20"/>
          <w:szCs w:val="20"/>
        </w:rPr>
        <w:t xml:space="preserve">Nie spełnia kryteriów klasyfikacji dla tej klasy zagrożenia</w:t>
      </w:r>
    </w:p>
    <w:p>
      <w:pPr>
        <w:spacing w:after="80"/>
      </w:pPr>
      <w:r>
        <w:rPr>
          <w:rFonts w:ascii="Arial" w:cs="Arial" w:eastAsia="Arial" w:hAnsi="Arial"/>
          <w:sz w:val="20"/>
          <w:szCs w:val="20"/>
        </w:rPr>
        <w:t xml:space="preserve">DZIAŁANIE TOKSYCZNE NA NARZĄDY DOCELOWE – NARAŻENIE JEDNORAZOWE</w:t>
      </w:r>
    </w:p>
    <w:p>
      <w:pPr>
        <w:spacing w:after="80"/>
      </w:pPr>
      <w:r>
        <w:rPr>
          <w:rFonts w:ascii="Arial" w:cs="Arial" w:eastAsia="Arial" w:hAnsi="Arial"/>
          <w:sz w:val="20"/>
          <w:szCs w:val="20"/>
        </w:rPr>
        <w:t xml:space="preserve">Nie spełnia kryteriów klasyfikacji dla tej klasy zagrożenia</w:t>
      </w:r>
    </w:p>
    <w:p>
      <w:pPr>
        <w:spacing w:after="80"/>
      </w:pPr>
      <w:r>
        <w:rPr>
          <w:rFonts w:ascii="Arial" w:cs="Arial" w:eastAsia="Arial" w:hAnsi="Arial"/>
          <w:sz w:val="20"/>
          <w:szCs w:val="20"/>
        </w:rPr>
        <w:t xml:space="preserve">DZIAŁANIE TOKSYCZNE NA NARZĄDY DOCELOWE – NARAŻENIE POWTARZANE</w:t>
      </w:r>
    </w:p>
    <w:p>
      <w:pPr>
        <w:spacing w:after="80"/>
      </w:pPr>
      <w:r>
        <w:rPr>
          <w:rFonts w:ascii="Arial" w:cs="Arial" w:eastAsia="Arial" w:hAnsi="Arial"/>
          <w:sz w:val="20"/>
          <w:szCs w:val="20"/>
        </w:rPr>
        <w:t xml:space="preserve">Nie spełnia kryteriów klasyfikacji dla tej klasy zagrożenia</w:t>
      </w:r>
    </w:p>
    <w:p>
      <w:pPr>
        <w:spacing w:after="80"/>
      </w:pPr>
      <w:r>
        <w:rPr>
          <w:rFonts w:ascii="Arial" w:cs="Arial" w:eastAsia="Arial" w:hAnsi="Arial"/>
          <w:sz w:val="20"/>
          <w:szCs w:val="20"/>
        </w:rPr>
        <w:t xml:space="preserve">ZAGROŻENIE SPOWODOWANE ASPIRACJĄ</w:t>
      </w:r>
    </w:p>
    <w:p>
      <w:pPr>
        <w:spacing w:after="80"/>
      </w:pPr>
      <w:r>
        <w:rPr>
          <w:rFonts w:ascii="Arial" w:cs="Arial" w:eastAsia="Arial" w:hAnsi="Arial"/>
          <w:sz w:val="20"/>
          <w:szCs w:val="20"/>
        </w:rPr>
        <w:t xml:space="preserve">Nie spełnia kryteriów klasyfikacji dla tej klasy zagrożenia</w:t>
      </w:r>
    </w:p>
    <w:p>
      <w:pPr>
        <w:spacing w:after="100" w:before="200"/>
      </w:pPr>
      <w:r>
        <w:rPr>
          <w:rFonts w:ascii="Arial" w:cs="Arial" w:eastAsia="Arial" w:hAnsi="Arial"/>
          <w:b/>
          <w:bCs/>
          <w:sz w:val="20"/>
          <w:szCs w:val="20"/>
        </w:rPr>
        <w:t xml:space="preserve">11.2. Informacje o innych zagrożeniach</w:t>
      </w:r>
    </w:p>
    <w:p>
      <w:pPr>
        <w:spacing w:after="80"/>
      </w:pPr>
      <w:r>
        <w:rPr>
          <w:rFonts w:ascii="Arial" w:cs="Arial" w:eastAsia="Arial" w:hAnsi="Arial"/>
          <w:sz w:val="20"/>
          <w:szCs w:val="20"/>
        </w:rPr>
        <w:t xml:space="preserve">Na podstawie dostępnych danych produkt nie zawiera substancji wymienionych w głównych europejskich wykazach potencjalnych lub podejrzewanych substancji zaburzających gospodarkę hormonalną o ocenianym wpływie na zdrowie ludzkie.</w:t>
      </w:r>
    </w:p>
    <w:p>
      <w:pPr>
        <w:pBdr>
          <w:bottom w:color="00A651" w:sz="12" w:space="1"/>
        </w:pBdr>
        <w:spacing w:after="150" w:before="300"/>
      </w:pPr>
      <w:r>
        <w:rPr>
          <w:b/>
          <w:bCs/>
          <w:sz w:val="22"/>
          <w:szCs w:val="22"/>
        </w:rPr>
        <w:t xml:space="preserve">SEKCJA 12: INFORMACJE EKOLOGICZNE</w:t>
      </w:r>
    </w:p>
    <w:p>
      <w:pPr>
        <w:spacing w:after="100" w:before="200"/>
      </w:pPr>
      <w:r>
        <w:rPr>
          <w:rFonts w:ascii="Arial" w:cs="Arial" w:eastAsia="Arial" w:hAnsi="Arial"/>
          <w:b/>
          <w:bCs/>
          <w:sz w:val="20"/>
          <w:szCs w:val="20"/>
        </w:rPr>
        <w:t xml:space="preserve">12.1. Toksyczność</w:t>
      </w:r>
    </w:p>
    <w:p>
      <w:pPr>
        <w:spacing w:after="80"/>
      </w:pPr>
      <w:r>
        <w:rPr>
          <w:rFonts w:ascii="Arial" w:cs="Arial" w:eastAsia="Arial" w:hAnsi="Arial"/>
          <w:sz w:val="20"/>
          <w:szCs w:val="20"/>
        </w:rPr>
        <w:t xml:space="preserve">Stosować dobrą praktykę zawodową, unikając przedostawania się produktu do środowiska.</w:t>
      </w:r>
    </w:p>
    <w:p>
      <w:pPr>
        <w:spacing w:after="80" w:before="150"/>
      </w:pPr>
      <w:r>
        <w:rPr>
          <w:rFonts w:ascii="Arial" w:cs="Arial" w:eastAsia="Arial" w:hAnsi="Arial"/>
          <w:b/>
          <w:bCs/>
          <w:sz w:val="20"/>
          <w:szCs w:val="20"/>
        </w:rPr>
        <w:t xml:space="preserve">Właściwości ekotoksykologiczne mieszaniny:</w:t>
      </w:r>
    </w:p>
    <w:p>
      <w:pPr>
        <w:spacing w:after="80"/>
      </w:pPr>
      <w:r>
        <w:rPr>
          <w:rFonts w:ascii="Arial" w:cs="Arial" w:eastAsia="Arial" w:hAnsi="Arial"/>
          <w:sz w:val="20"/>
          <w:szCs w:val="20"/>
        </w:rPr>
        <w:t xml:space="preserve">Mieszanina została zaklasyfikowana jako stwarzająca zagrożenie dla środowiska wodnego – kategoria przewlekła 3 (Aquatic Chronic 3, H412: Działa szkodliwie na organizmy wodne, powodując długotrwałe skutki).</w:t>
      </w:r>
    </w:p>
    <w:p>
      <w:pPr>
        <w:spacing w:after="80"/>
      </w:pPr>
      <w:r>
        <w:rPr>
          <w:rFonts w:ascii="Arial" w:cs="Arial" w:eastAsia="Arial" w:hAnsi="Arial"/>
          <w:sz w:val="20"/>
          <w:szCs w:val="20"/>
        </w:rPr>
        <w:t xml:space="preserve">Brak danych doświadczalnych z badań ekotoksykologicznych dla samego produktu; klasyfikacji dokonano metodą obliczeniową na podstawie zawartości składników.</w:t>
      </w:r>
    </w:p>
    <w:p>
      <w:pPr>
        <w:spacing w:after="80" w:before="150"/>
      </w:pPr>
      <w:r>
        <w:rPr>
          <w:rFonts w:ascii="Arial" w:cs="Arial" w:eastAsia="Arial" w:hAnsi="Arial"/>
          <w:b/>
          <w:bCs/>
          <w:sz w:val="20"/>
          <w:szCs w:val="20"/>
        </w:rPr>
        <w:t xml:space="preserve">Informacje ekotoksykologiczne o składnikach:</w:t>
      </w:r>
    </w:p>
    <w:p>
      <w:pPr>
        <w:spacing w:after="80"/>
      </w:pPr>
      <w:r>
        <w:rPr>
          <w:rFonts w:ascii="Arial" w:cs="Arial" w:eastAsia="Arial" w:hAnsi="Arial"/>
          <w:sz w:val="20"/>
          <w:szCs w:val="20"/>
        </w:rPr>
        <w:t xml:space="preserve">Masa poreakcyjna 1-[(1R*,6S*)-2,2,6-trimetylocykloheksylo]heksan-3-olu i 1-[(1S*,6S*)-2,2,6-trimetylocykloheksylo]heksan-3-olu:</w:t>
      </w:r>
    </w:p>
    <w:p>
      <w:pPr>
        <w:spacing w:after="60" w:before="60"/>
      </w:pPr>
      <w:r>
        <w:rPr>
          <w:rFonts w:ascii="Arial" w:cs="Arial" w:eastAsia="Arial" w:hAnsi="Arial"/>
          <w:b/>
          <w:bCs/>
          <w:sz w:val="20"/>
          <w:szCs w:val="20"/>
        </w:rPr>
        <w:t xml:space="preserve">- LC50 (ryby):</w:t>
      </w:r>
      <w:r>
        <w:rPr>
          <w:rFonts w:ascii="Arial" w:cs="Arial" w:eastAsia="Arial" w:hAnsi="Arial"/>
          <w:sz w:val="20"/>
          <w:szCs w:val="20"/>
        </w:rPr>
        <w:t xml:space="preserve"> | 999 mg/l/(96 h)</w:t>
      </w:r>
    </w:p>
    <w:p>
      <w:pPr>
        <w:spacing w:after="60" w:before="60"/>
      </w:pPr>
      <w:r>
        <w:rPr>
          <w:rFonts w:ascii="Arial" w:cs="Arial" w:eastAsia="Arial" w:hAnsi="Arial"/>
          <w:b/>
          <w:bCs/>
          <w:sz w:val="20"/>
          <w:szCs w:val="20"/>
        </w:rPr>
        <w:t xml:space="preserve">- EC50 (skorupiaki):</w:t>
      </w:r>
      <w:r>
        <w:rPr>
          <w:rFonts w:ascii="Arial" w:cs="Arial" w:eastAsia="Arial" w:hAnsi="Arial"/>
          <w:sz w:val="20"/>
          <w:szCs w:val="20"/>
        </w:rPr>
        <w:t xml:space="preserve"> | 696 mg/l/(48 h)</w:t>
      </w:r>
    </w:p>
    <w:p>
      <w:pPr>
        <w:spacing w:after="80" w:before="150"/>
      </w:pPr>
      <w:r>
        <w:rPr>
          <w:rFonts w:ascii="Arial" w:cs="Arial" w:eastAsia="Arial" w:hAnsi="Arial"/>
          <w:b/>
          <w:bCs/>
          <w:sz w:val="20"/>
          <w:szCs w:val="20"/>
        </w:rPr>
        <w:t xml:space="preserve">aldehyd cynamonowy (CAS: 104-55-2):</w:t>
      </w:r>
    </w:p>
    <w:p>
      <w:pPr>
        <w:spacing w:after="60" w:before="60"/>
      </w:pPr>
      <w:r>
        <w:rPr>
          <w:rFonts w:ascii="Arial" w:cs="Arial" w:eastAsia="Arial" w:hAnsi="Arial"/>
          <w:b/>
          <w:bCs/>
          <w:sz w:val="20"/>
          <w:szCs w:val="20"/>
        </w:rPr>
        <w:t xml:space="preserve">- LC50 (ryby):</w:t>
      </w:r>
      <w:r>
        <w:rPr>
          <w:rFonts w:ascii="Arial" w:cs="Arial" w:eastAsia="Arial" w:hAnsi="Arial"/>
          <w:sz w:val="20"/>
          <w:szCs w:val="20"/>
        </w:rPr>
        <w:t xml:space="preserve"> | &gt; 3,5 mg/l/(96 h)</w:t>
      </w:r>
    </w:p>
    <w:p>
      <w:pPr>
        <w:spacing w:after="60" w:before="60"/>
      </w:pPr>
      <w:r>
        <w:rPr>
          <w:rFonts w:ascii="Arial" w:cs="Arial" w:eastAsia="Arial" w:hAnsi="Arial"/>
          <w:b/>
          <w:bCs/>
          <w:sz w:val="20"/>
          <w:szCs w:val="20"/>
        </w:rPr>
        <w:t xml:space="preserve">- EC50 (skorupiaki):</w:t>
      </w:r>
      <w:r>
        <w:rPr>
          <w:rFonts w:ascii="Arial" w:cs="Arial" w:eastAsia="Arial" w:hAnsi="Arial"/>
          <w:sz w:val="20"/>
          <w:szCs w:val="20"/>
        </w:rPr>
        <w:t xml:space="preserve"> | 3,21 mg/l/(48 h)</w:t>
      </w:r>
    </w:p>
    <w:p>
      <w:pPr>
        <w:spacing w:after="60" w:before="60"/>
      </w:pPr>
      <w:r>
        <w:rPr>
          <w:rFonts w:ascii="Arial" w:cs="Arial" w:eastAsia="Arial" w:hAnsi="Arial"/>
          <w:b/>
          <w:bCs/>
          <w:sz w:val="20"/>
          <w:szCs w:val="20"/>
        </w:rPr>
        <w:t xml:space="preserve">- EC50 (glony / rośliny wodne):</w:t>
      </w:r>
      <w:r>
        <w:rPr>
          <w:rFonts w:ascii="Arial" w:cs="Arial" w:eastAsia="Arial" w:hAnsi="Arial"/>
          <w:sz w:val="20"/>
          <w:szCs w:val="20"/>
        </w:rPr>
        <w:t xml:space="preserve"> | 16,09 mg/l/(72 h)</w:t>
      </w:r>
    </w:p>
    <w:p>
      <w:pPr>
        <w:spacing w:after="60" w:before="60"/>
      </w:pPr>
      <w:r>
        <w:rPr>
          <w:rFonts w:ascii="Arial" w:cs="Arial" w:eastAsia="Arial" w:hAnsi="Arial"/>
          <w:b/>
          <w:bCs/>
          <w:sz w:val="20"/>
          <w:szCs w:val="20"/>
        </w:rPr>
        <w:t xml:space="preserve">- NOEC (przewlekła, skorupiaki):</w:t>
      </w:r>
      <w:r>
        <w:rPr>
          <w:rFonts w:ascii="Arial" w:cs="Arial" w:eastAsia="Arial" w:hAnsi="Arial"/>
          <w:sz w:val="20"/>
          <w:szCs w:val="20"/>
        </w:rPr>
        <w:t xml:space="preserve"> | 0,049 mg/l</w:t>
      </w:r>
    </w:p>
    <w:p>
      <w:pPr>
        <w:spacing w:after="80" w:before="150"/>
      </w:pPr>
      <w:r>
        <w:rPr>
          <w:rFonts w:ascii="Arial" w:cs="Arial" w:eastAsia="Arial" w:hAnsi="Arial"/>
          <w:b/>
          <w:bCs/>
          <w:sz w:val="20"/>
          <w:szCs w:val="20"/>
        </w:rPr>
        <w:t xml:space="preserve">(±) trans-3,3-dimetylo-5-(2,2,3-trimetylocyklopent-3-en-1-ylo)pent-4-en-2-ol (CAS: 107898-54-4):</w:t>
      </w:r>
    </w:p>
    <w:p>
      <w:pPr>
        <w:spacing w:after="60" w:before="60"/>
      </w:pPr>
      <w:r>
        <w:rPr>
          <w:rFonts w:ascii="Arial" w:cs="Arial" w:eastAsia="Arial" w:hAnsi="Arial"/>
          <w:b/>
          <w:bCs/>
          <w:sz w:val="20"/>
          <w:szCs w:val="20"/>
        </w:rPr>
        <w:t xml:space="preserve">- LC50 (ryby):</w:t>
      </w:r>
      <w:r>
        <w:rPr>
          <w:rFonts w:ascii="Arial" w:cs="Arial" w:eastAsia="Arial" w:hAnsi="Arial"/>
          <w:sz w:val="20"/>
          <w:szCs w:val="20"/>
        </w:rPr>
        <w:t xml:space="preserve"> | 1,2 mg/l/(96 h) Oncorhynchus mykiss</w:t>
      </w:r>
    </w:p>
    <w:p>
      <w:pPr>
        <w:spacing w:after="60" w:before="60"/>
      </w:pPr>
      <w:r>
        <w:rPr>
          <w:rFonts w:ascii="Arial" w:cs="Arial" w:eastAsia="Arial" w:hAnsi="Arial"/>
          <w:b/>
          <w:bCs/>
          <w:sz w:val="20"/>
          <w:szCs w:val="20"/>
        </w:rPr>
        <w:t xml:space="preserve">- EC50 (skorupiaki):</w:t>
      </w:r>
      <w:r>
        <w:rPr>
          <w:rFonts w:ascii="Arial" w:cs="Arial" w:eastAsia="Arial" w:hAnsi="Arial"/>
          <w:sz w:val="20"/>
          <w:szCs w:val="20"/>
        </w:rPr>
        <w:t xml:space="preserve"> | 1 mg/l/(48 h)</w:t>
      </w:r>
    </w:p>
    <w:p>
      <w:pPr>
        <w:spacing w:after="60" w:before="60"/>
      </w:pPr>
      <w:r>
        <w:rPr>
          <w:rFonts w:ascii="Arial" w:cs="Arial" w:eastAsia="Arial" w:hAnsi="Arial"/>
          <w:b/>
          <w:bCs/>
          <w:sz w:val="20"/>
          <w:szCs w:val="20"/>
        </w:rPr>
        <w:t xml:space="preserve">- EC50 (glony / rośliny wodne):</w:t>
      </w:r>
      <w:r>
        <w:rPr>
          <w:rFonts w:ascii="Arial" w:cs="Arial" w:eastAsia="Arial" w:hAnsi="Arial"/>
          <w:sz w:val="20"/>
          <w:szCs w:val="20"/>
        </w:rPr>
        <w:t xml:space="preserve"> | 0,88 mg/l/(72 h)</w:t>
      </w:r>
    </w:p>
    <w:p>
      <w:pPr>
        <w:spacing w:after="60" w:before="60"/>
      </w:pPr>
      <w:r>
        <w:rPr>
          <w:rFonts w:ascii="Arial" w:cs="Arial" w:eastAsia="Arial" w:hAnsi="Arial"/>
          <w:b/>
          <w:bCs/>
          <w:sz w:val="20"/>
          <w:szCs w:val="20"/>
        </w:rPr>
        <w:t xml:space="preserve">- NOEC (przewlekła, skorupiaki):</w:t>
      </w:r>
      <w:r>
        <w:rPr>
          <w:rFonts w:ascii="Arial" w:cs="Arial" w:eastAsia="Arial" w:hAnsi="Arial"/>
          <w:sz w:val="20"/>
          <w:szCs w:val="20"/>
        </w:rPr>
        <w:t xml:space="preserve"> | 0,56 mg/l</w:t>
      </w:r>
    </w:p>
    <w:p>
      <w:pPr>
        <w:spacing w:after="60" w:before="60"/>
      </w:pPr>
      <w:r>
        <w:rPr>
          <w:rFonts w:ascii="Arial" w:cs="Arial" w:eastAsia="Arial" w:hAnsi="Arial"/>
          <w:b/>
          <w:bCs/>
          <w:sz w:val="20"/>
          <w:szCs w:val="20"/>
        </w:rPr>
        <w:t xml:space="preserve">- NOEC (przewlekła, glony):</w:t>
      </w:r>
      <w:r>
        <w:rPr>
          <w:rFonts w:ascii="Arial" w:cs="Arial" w:eastAsia="Arial" w:hAnsi="Arial"/>
          <w:sz w:val="20"/>
          <w:szCs w:val="20"/>
        </w:rPr>
        <w:t xml:space="preserve"> | 0,45 mg/l</w:t>
      </w:r>
    </w:p>
    <w:p>
      <w:pPr>
        <w:spacing w:after="80" w:before="150"/>
      </w:pPr>
      <w:r>
        <w:rPr>
          <w:rFonts w:ascii="Arial" w:cs="Arial" w:eastAsia="Arial" w:hAnsi="Arial"/>
          <w:b/>
          <w:bCs/>
          <w:sz w:val="20"/>
          <w:szCs w:val="20"/>
        </w:rPr>
        <w:t xml:space="preserve">toluen (CAS: 108-88-3):</w:t>
      </w:r>
    </w:p>
    <w:p>
      <w:pPr>
        <w:spacing w:after="60" w:before="60"/>
      </w:pPr>
      <w:r>
        <w:rPr>
          <w:rFonts w:ascii="Arial" w:cs="Arial" w:eastAsia="Arial" w:hAnsi="Arial"/>
          <w:b/>
          <w:bCs/>
          <w:sz w:val="20"/>
          <w:szCs w:val="20"/>
        </w:rPr>
        <w:t xml:space="preserve">- LC50 (ryby):</w:t>
      </w:r>
      <w:r>
        <w:rPr>
          <w:rFonts w:ascii="Arial" w:cs="Arial" w:eastAsia="Arial" w:hAnsi="Arial"/>
          <w:sz w:val="20"/>
          <w:szCs w:val="20"/>
        </w:rPr>
        <w:t xml:space="preserve"> | 5,5 mg/l/(96 h) Oncorhynchus kisutch</w:t>
      </w:r>
    </w:p>
    <w:p>
      <w:pPr>
        <w:spacing w:after="60" w:before="60"/>
      </w:pPr>
      <w:r>
        <w:rPr>
          <w:rFonts w:ascii="Arial" w:cs="Arial" w:eastAsia="Arial" w:hAnsi="Arial"/>
          <w:b/>
          <w:bCs/>
          <w:sz w:val="20"/>
          <w:szCs w:val="20"/>
        </w:rPr>
        <w:t xml:space="preserve">- EC50 (skorupiaki):</w:t>
      </w:r>
      <w:r>
        <w:rPr>
          <w:rFonts w:ascii="Arial" w:cs="Arial" w:eastAsia="Arial" w:hAnsi="Arial"/>
          <w:sz w:val="20"/>
          <w:szCs w:val="20"/>
        </w:rPr>
        <w:t xml:space="preserve"> | 3,78 mg/l</w:t>
      </w:r>
    </w:p>
    <w:p>
      <w:pPr>
        <w:spacing w:after="60" w:before="60"/>
      </w:pPr>
      <w:r>
        <w:rPr>
          <w:rFonts w:ascii="Arial" w:cs="Arial" w:eastAsia="Arial" w:hAnsi="Arial"/>
          <w:b/>
          <w:bCs/>
          <w:sz w:val="20"/>
          <w:szCs w:val="20"/>
        </w:rPr>
        <w:t xml:space="preserve">- EC50 (glony / rośliny wodne):</w:t>
      </w:r>
      <w:r>
        <w:rPr>
          <w:rFonts w:ascii="Arial" w:cs="Arial" w:eastAsia="Arial" w:hAnsi="Arial"/>
          <w:sz w:val="20"/>
          <w:szCs w:val="20"/>
        </w:rPr>
        <w:t xml:space="preserve"> | 134 mg/l/(3 h) Chlorella vulgaris and Chlamydomonas angulosa</w:t>
      </w:r>
    </w:p>
    <w:p>
      <w:pPr>
        <w:spacing w:after="60" w:before="60"/>
      </w:pPr>
      <w:r>
        <w:rPr>
          <w:rFonts w:ascii="Arial" w:cs="Arial" w:eastAsia="Arial" w:hAnsi="Arial"/>
          <w:b/>
          <w:bCs/>
          <w:sz w:val="20"/>
          <w:szCs w:val="20"/>
        </w:rPr>
        <w:t xml:space="preserve">- NOEC (przewlekła, glony):</w:t>
      </w:r>
      <w:r>
        <w:rPr>
          <w:rFonts w:ascii="Arial" w:cs="Arial" w:eastAsia="Arial" w:hAnsi="Arial"/>
          <w:sz w:val="20"/>
          <w:szCs w:val="20"/>
        </w:rPr>
        <w:t xml:space="preserve"> | 10 mg/l/(72 h) Skeletonema costatum</w:t>
      </w:r>
    </w:p>
    <w:p>
      <w:pPr>
        <w:spacing w:after="80" w:before="150"/>
      </w:pPr>
      <w:r>
        <w:rPr>
          <w:rFonts w:ascii="Arial" w:cs="Arial" w:eastAsia="Arial" w:hAnsi="Arial"/>
          <w:b/>
          <w:bCs/>
          <w:sz w:val="20"/>
          <w:szCs w:val="20"/>
        </w:rPr>
        <w:t xml:space="preserve">fenol (CAS: 108-95-2):</w:t>
      </w:r>
    </w:p>
    <w:p>
      <w:pPr>
        <w:spacing w:after="60" w:before="60"/>
      </w:pPr>
      <w:r>
        <w:rPr>
          <w:rFonts w:ascii="Arial" w:cs="Arial" w:eastAsia="Arial" w:hAnsi="Arial"/>
          <w:b/>
          <w:bCs/>
          <w:sz w:val="20"/>
          <w:szCs w:val="20"/>
        </w:rPr>
        <w:t xml:space="preserve">- LC50 (ryby):</w:t>
      </w:r>
      <w:r>
        <w:rPr>
          <w:rFonts w:ascii="Arial" w:cs="Arial" w:eastAsia="Arial" w:hAnsi="Arial"/>
          <w:sz w:val="20"/>
          <w:szCs w:val="20"/>
        </w:rPr>
        <w:t xml:space="preserve"> | 21,93 mg/l/(14 dni) Poecilia reticulata</w:t>
      </w:r>
    </w:p>
    <w:p>
      <w:pPr>
        <w:spacing w:after="60" w:before="60"/>
      </w:pPr>
      <w:r>
        <w:rPr>
          <w:rFonts w:ascii="Arial" w:cs="Arial" w:eastAsia="Arial" w:hAnsi="Arial"/>
          <w:b/>
          <w:bCs/>
          <w:sz w:val="20"/>
          <w:szCs w:val="20"/>
        </w:rPr>
        <w:t xml:space="preserve">- EC50 (skorupiaki):</w:t>
      </w:r>
      <w:r>
        <w:rPr>
          <w:rFonts w:ascii="Arial" w:cs="Arial" w:eastAsia="Arial" w:hAnsi="Arial"/>
          <w:sz w:val="20"/>
          <w:szCs w:val="20"/>
        </w:rPr>
        <w:t xml:space="preserve"> | 3,1 mg/l/(48 h) Ceriodaphnia dubia</w:t>
      </w:r>
    </w:p>
    <w:p>
      <w:pPr>
        <w:spacing w:after="60" w:before="60"/>
      </w:pPr>
      <w:r>
        <w:rPr>
          <w:rFonts w:ascii="Arial" w:cs="Arial" w:eastAsia="Arial" w:hAnsi="Arial"/>
          <w:b/>
          <w:bCs/>
          <w:sz w:val="20"/>
          <w:szCs w:val="20"/>
        </w:rPr>
        <w:t xml:space="preserve">- EC50 (glony / rośliny wodne):</w:t>
      </w:r>
      <w:r>
        <w:rPr>
          <w:rFonts w:ascii="Arial" w:cs="Arial" w:eastAsia="Arial" w:hAnsi="Arial"/>
          <w:sz w:val="20"/>
          <w:szCs w:val="20"/>
        </w:rPr>
        <w:t xml:space="preserve"> | 61,1 mg/l/(96 h) (96 h) EC50 (cell number increase): 61,1 mg phenol/L (95 % confidence limits: 37,1 - 84,5 mg/l)</w:t>
      </w:r>
    </w:p>
    <w:p>
      <w:pPr>
        <w:spacing w:after="60" w:before="60"/>
      </w:pPr>
      <w:r>
        <w:rPr>
          <w:rFonts w:ascii="Arial" w:cs="Arial" w:eastAsia="Arial" w:hAnsi="Arial"/>
          <w:b/>
          <w:bCs/>
          <w:sz w:val="20"/>
          <w:szCs w:val="20"/>
        </w:rPr>
        <w:t xml:space="preserve">- NOEC (przewlekła, ryby):</w:t>
      </w:r>
      <w:r>
        <w:rPr>
          <w:rFonts w:ascii="Arial" w:cs="Arial" w:eastAsia="Arial" w:hAnsi="Arial"/>
          <w:sz w:val="20"/>
          <w:szCs w:val="20"/>
        </w:rPr>
        <w:t xml:space="preserve"> | 4 mg/l/(14 dni) Poecilia reticulata</w:t>
      </w:r>
    </w:p>
    <w:p>
      <w:pPr>
        <w:spacing w:after="60" w:before="60"/>
      </w:pPr>
      <w:r>
        <w:rPr>
          <w:rFonts w:ascii="Arial" w:cs="Arial" w:eastAsia="Arial" w:hAnsi="Arial"/>
          <w:b/>
          <w:bCs/>
          <w:sz w:val="20"/>
          <w:szCs w:val="20"/>
        </w:rPr>
        <w:t xml:space="preserve">- NOEC (przewlekła, skorupiaki):</w:t>
      </w:r>
      <w:r>
        <w:rPr>
          <w:rFonts w:ascii="Arial" w:cs="Arial" w:eastAsia="Arial" w:hAnsi="Arial"/>
          <w:sz w:val="20"/>
          <w:szCs w:val="20"/>
        </w:rPr>
        <w:t xml:space="preserve"> | 0,16 mg/l</w:t>
      </w:r>
    </w:p>
    <w:p>
      <w:pPr>
        <w:spacing w:after="80" w:before="150"/>
      </w:pPr>
      <w:r>
        <w:rPr>
          <w:rFonts w:ascii="Arial" w:cs="Arial" w:eastAsia="Arial" w:hAnsi="Arial"/>
          <w:b/>
          <w:bCs/>
          <w:sz w:val="20"/>
          <w:szCs w:val="20"/>
        </w:rPr>
        <w:t xml:space="preserve">salicylan benzylu (CAS: 118-58-1):</w:t>
      </w:r>
    </w:p>
    <w:p>
      <w:pPr>
        <w:spacing w:after="60" w:before="60"/>
      </w:pPr>
      <w:r>
        <w:rPr>
          <w:rFonts w:ascii="Arial" w:cs="Arial" w:eastAsia="Arial" w:hAnsi="Arial"/>
          <w:b/>
          <w:bCs/>
          <w:sz w:val="20"/>
          <w:szCs w:val="20"/>
        </w:rPr>
        <w:t xml:space="preserve">- LC50 (ryby):</w:t>
      </w:r>
      <w:r>
        <w:rPr>
          <w:rFonts w:ascii="Arial" w:cs="Arial" w:eastAsia="Arial" w:hAnsi="Arial"/>
          <w:sz w:val="20"/>
          <w:szCs w:val="20"/>
        </w:rPr>
        <w:t xml:space="preserve"> | 1,03 mg/l/(96 h) Danio rerio</w:t>
      </w:r>
    </w:p>
    <w:p>
      <w:pPr>
        <w:spacing w:after="60" w:before="60"/>
      </w:pPr>
      <w:r>
        <w:rPr>
          <w:rFonts w:ascii="Arial" w:cs="Arial" w:eastAsia="Arial" w:hAnsi="Arial"/>
          <w:b/>
          <w:bCs/>
          <w:sz w:val="20"/>
          <w:szCs w:val="20"/>
        </w:rPr>
        <w:t xml:space="preserve">- EC50 (skorupiaki):</w:t>
      </w:r>
      <w:r>
        <w:rPr>
          <w:rFonts w:ascii="Arial" w:cs="Arial" w:eastAsia="Arial" w:hAnsi="Arial"/>
          <w:sz w:val="20"/>
          <w:szCs w:val="20"/>
        </w:rPr>
        <w:t xml:space="preserve"> | 1,16 mg/l/(48 h) Daphnia magna</w:t>
      </w:r>
    </w:p>
    <w:p>
      <w:pPr>
        <w:spacing w:after="60" w:before="60"/>
      </w:pPr>
      <w:r>
        <w:rPr>
          <w:rFonts w:ascii="Arial" w:cs="Arial" w:eastAsia="Arial" w:hAnsi="Arial"/>
          <w:b/>
          <w:bCs/>
          <w:sz w:val="20"/>
          <w:szCs w:val="20"/>
        </w:rPr>
        <w:t xml:space="preserve">- EC50 (glony / rośliny wodne):</w:t>
      </w:r>
      <w:r>
        <w:rPr>
          <w:rFonts w:ascii="Arial" w:cs="Arial" w:eastAsia="Arial" w:hAnsi="Arial"/>
          <w:sz w:val="20"/>
          <w:szCs w:val="20"/>
        </w:rPr>
        <w:t xml:space="preserve"> | 1,29 mg/l/(72 h) Pseudokirchneriella subcapitata</w:t>
      </w:r>
    </w:p>
    <w:p>
      <w:pPr>
        <w:spacing w:after="60" w:before="60"/>
      </w:pPr>
      <w:r>
        <w:rPr>
          <w:rFonts w:ascii="Arial" w:cs="Arial" w:eastAsia="Arial" w:hAnsi="Arial"/>
          <w:b/>
          <w:bCs/>
          <w:sz w:val="20"/>
          <w:szCs w:val="20"/>
        </w:rPr>
        <w:t xml:space="preserve">- NOEC (przewlekła, skorupiaki):</w:t>
      </w:r>
      <w:r>
        <w:rPr>
          <w:rFonts w:ascii="Arial" w:cs="Arial" w:eastAsia="Arial" w:hAnsi="Arial"/>
          <w:sz w:val="20"/>
          <w:szCs w:val="20"/>
        </w:rPr>
        <w:t xml:space="preserve"> | 0,894 mg/l Daphnia magna</w:t>
      </w:r>
    </w:p>
    <w:p>
      <w:pPr>
        <w:spacing w:after="60" w:before="60"/>
      </w:pPr>
      <w:r>
        <w:rPr>
          <w:rFonts w:ascii="Arial" w:cs="Arial" w:eastAsia="Arial" w:hAnsi="Arial"/>
          <w:b/>
          <w:bCs/>
          <w:sz w:val="20"/>
          <w:szCs w:val="20"/>
        </w:rPr>
        <w:t xml:space="preserve">- NOEC (przewlekła, glony):</w:t>
      </w:r>
      <w:r>
        <w:rPr>
          <w:rFonts w:ascii="Arial" w:cs="Arial" w:eastAsia="Arial" w:hAnsi="Arial"/>
          <w:sz w:val="20"/>
          <w:szCs w:val="20"/>
        </w:rPr>
        <w:t xml:space="preserve"> | 0,502 mg/l Pseudokirchneriella subcapitata</w:t>
      </w:r>
    </w:p>
    <w:p>
      <w:pPr>
        <w:spacing w:after="80" w:before="150"/>
      </w:pPr>
      <w:r>
        <w:rPr>
          <w:rFonts w:ascii="Arial" w:cs="Arial" w:eastAsia="Arial" w:hAnsi="Arial"/>
          <w:b/>
          <w:bCs/>
          <w:sz w:val="20"/>
          <w:szCs w:val="20"/>
        </w:rPr>
        <w:t xml:space="preserve">2,6-di-tert-butylo-4-metylofenol (BHT) (CAS: 128-37-0):</w:t>
      </w:r>
    </w:p>
    <w:p>
      <w:pPr>
        <w:spacing w:after="60" w:before="60"/>
      </w:pPr>
      <w:r>
        <w:rPr>
          <w:rFonts w:ascii="Arial" w:cs="Arial" w:eastAsia="Arial" w:hAnsi="Arial"/>
          <w:b/>
          <w:bCs/>
          <w:sz w:val="20"/>
          <w:szCs w:val="20"/>
        </w:rPr>
        <w:t xml:space="preserve">- LC50 (ryby):</w:t>
      </w:r>
      <w:r>
        <w:rPr>
          <w:rFonts w:ascii="Arial" w:cs="Arial" w:eastAsia="Arial" w:hAnsi="Arial"/>
          <w:sz w:val="20"/>
          <w:szCs w:val="20"/>
        </w:rPr>
        <w:t xml:space="preserve"> | 0,199 mg/l/(96 h)</w:t>
      </w:r>
    </w:p>
    <w:p>
      <w:pPr>
        <w:spacing w:after="60" w:before="60"/>
      </w:pPr>
      <w:r>
        <w:rPr>
          <w:rFonts w:ascii="Arial" w:cs="Arial" w:eastAsia="Arial" w:hAnsi="Arial"/>
          <w:b/>
          <w:bCs/>
          <w:sz w:val="20"/>
          <w:szCs w:val="20"/>
        </w:rPr>
        <w:t xml:space="preserve">- EC50 (skorupiaki):</w:t>
      </w:r>
      <w:r>
        <w:rPr>
          <w:rFonts w:ascii="Arial" w:cs="Arial" w:eastAsia="Arial" w:hAnsi="Arial"/>
          <w:sz w:val="20"/>
          <w:szCs w:val="20"/>
        </w:rPr>
        <w:t xml:space="preserve"> | 0,48 mg/l/(48 h)</w:t>
      </w:r>
    </w:p>
    <w:p>
      <w:pPr>
        <w:spacing w:after="60" w:before="60"/>
      </w:pPr>
      <w:r>
        <w:rPr>
          <w:rFonts w:ascii="Arial" w:cs="Arial" w:eastAsia="Arial" w:hAnsi="Arial"/>
          <w:b/>
          <w:bCs/>
          <w:sz w:val="20"/>
          <w:szCs w:val="20"/>
        </w:rPr>
        <w:t xml:space="preserve">- EC50 (glony / rośliny wodne):</w:t>
      </w:r>
      <w:r>
        <w:rPr>
          <w:rFonts w:ascii="Arial" w:cs="Arial" w:eastAsia="Arial" w:hAnsi="Arial"/>
          <w:sz w:val="20"/>
          <w:szCs w:val="20"/>
        </w:rPr>
        <w:t xml:space="preserve"> | &gt; 0,4 mg/l/(72 h)</w:t>
      </w:r>
    </w:p>
    <w:p>
      <w:pPr>
        <w:spacing w:after="60" w:before="60"/>
      </w:pPr>
      <w:r>
        <w:rPr>
          <w:rFonts w:ascii="Arial" w:cs="Arial" w:eastAsia="Arial" w:hAnsi="Arial"/>
          <w:b/>
          <w:bCs/>
          <w:sz w:val="20"/>
          <w:szCs w:val="20"/>
        </w:rPr>
        <w:t xml:space="preserve">- NOEC (przewlekła, ryby):</w:t>
      </w:r>
      <w:r>
        <w:rPr>
          <w:rFonts w:ascii="Arial" w:cs="Arial" w:eastAsia="Arial" w:hAnsi="Arial"/>
          <w:sz w:val="20"/>
          <w:szCs w:val="20"/>
        </w:rPr>
        <w:t xml:space="preserve"> | 0,053 mg/l</w:t>
      </w:r>
    </w:p>
    <w:p>
      <w:pPr>
        <w:spacing w:after="60" w:before="60"/>
      </w:pPr>
      <w:r>
        <w:rPr>
          <w:rFonts w:ascii="Arial" w:cs="Arial" w:eastAsia="Arial" w:hAnsi="Arial"/>
          <w:b/>
          <w:bCs/>
          <w:sz w:val="20"/>
          <w:szCs w:val="20"/>
        </w:rPr>
        <w:t xml:space="preserve">- NOEC (przewlekła, skorupiaki):</w:t>
      </w:r>
      <w:r>
        <w:rPr>
          <w:rFonts w:ascii="Arial" w:cs="Arial" w:eastAsia="Arial" w:hAnsi="Arial"/>
          <w:sz w:val="20"/>
          <w:szCs w:val="20"/>
        </w:rPr>
        <w:t xml:space="preserve"> | 0,15 mg/l</w:t>
      </w:r>
    </w:p>
    <w:p>
      <w:pPr>
        <w:spacing w:after="80" w:before="150"/>
      </w:pPr>
      <w:r>
        <w:rPr>
          <w:rFonts w:ascii="Arial" w:cs="Arial" w:eastAsia="Arial" w:hAnsi="Arial"/>
          <w:b/>
          <w:bCs/>
          <w:sz w:val="20"/>
          <w:szCs w:val="20"/>
        </w:rPr>
        <w:t xml:space="preserve">heptan (CAS: 142-82-5):</w:t>
      </w:r>
    </w:p>
    <w:p>
      <w:pPr>
        <w:spacing w:after="60" w:before="60"/>
      </w:pPr>
      <w:r>
        <w:rPr>
          <w:rFonts w:ascii="Arial" w:cs="Arial" w:eastAsia="Arial" w:hAnsi="Arial"/>
          <w:b/>
          <w:bCs/>
          <w:sz w:val="20"/>
          <w:szCs w:val="20"/>
        </w:rPr>
        <w:t xml:space="preserve">- LC50 (ryby):</w:t>
      </w:r>
      <w:r>
        <w:rPr>
          <w:rFonts w:ascii="Arial" w:cs="Arial" w:eastAsia="Arial" w:hAnsi="Arial"/>
          <w:sz w:val="20"/>
          <w:szCs w:val="20"/>
        </w:rPr>
        <w:t xml:space="preserve"> | 375 mg/l/(96 h) Tilapia mossambica</w:t>
      </w:r>
    </w:p>
    <w:p>
      <w:pPr>
        <w:spacing w:after="60" w:before="60"/>
      </w:pPr>
      <w:r>
        <w:rPr>
          <w:rFonts w:ascii="Arial" w:cs="Arial" w:eastAsia="Arial" w:hAnsi="Arial"/>
          <w:b/>
          <w:bCs/>
          <w:sz w:val="20"/>
          <w:szCs w:val="20"/>
        </w:rPr>
        <w:t xml:space="preserve">- EC50 (skorupiaki):</w:t>
      </w:r>
      <w:r>
        <w:rPr>
          <w:rFonts w:ascii="Arial" w:cs="Arial" w:eastAsia="Arial" w:hAnsi="Arial"/>
          <w:sz w:val="20"/>
          <w:szCs w:val="20"/>
        </w:rPr>
        <w:t xml:space="preserve"> | 82,5 mg/l/(48 h) Daphnia magna</w:t>
      </w:r>
    </w:p>
    <w:p>
      <w:pPr>
        <w:spacing w:after="60" w:before="60"/>
      </w:pPr>
      <w:r>
        <w:rPr>
          <w:rFonts w:ascii="Arial" w:cs="Arial" w:eastAsia="Arial" w:hAnsi="Arial"/>
          <w:b/>
          <w:bCs/>
          <w:sz w:val="20"/>
          <w:szCs w:val="20"/>
        </w:rPr>
        <w:t xml:space="preserve">- EC50 (glony / rośliny wodne):</w:t>
      </w:r>
      <w:r>
        <w:rPr>
          <w:rFonts w:ascii="Arial" w:cs="Arial" w:eastAsia="Arial" w:hAnsi="Arial"/>
          <w:sz w:val="20"/>
          <w:szCs w:val="20"/>
        </w:rPr>
        <w:t xml:space="preserve"> | 1,5 mg/l/(72 h) Algae</w:t>
      </w:r>
    </w:p>
    <w:p>
      <w:pPr>
        <w:spacing w:after="80" w:before="150"/>
      </w:pPr>
      <w:r>
        <w:rPr>
          <w:rFonts w:ascii="Arial" w:cs="Arial" w:eastAsia="Arial" w:hAnsi="Arial"/>
          <w:b/>
          <w:bCs/>
          <w:sz w:val="20"/>
          <w:szCs w:val="20"/>
        </w:rPr>
        <w:t xml:space="preserve">octan 4-tert-butylocykloheksylu (CAS: 32210-23-4):</w:t>
      </w:r>
    </w:p>
    <w:p>
      <w:pPr>
        <w:spacing w:after="60" w:before="60"/>
      </w:pPr>
      <w:r>
        <w:rPr>
          <w:rFonts w:ascii="Arial" w:cs="Arial" w:eastAsia="Arial" w:hAnsi="Arial"/>
          <w:b/>
          <w:bCs/>
          <w:sz w:val="20"/>
          <w:szCs w:val="20"/>
        </w:rPr>
        <w:t xml:space="preserve">- LC50 (ryby):</w:t>
      </w:r>
      <w:r>
        <w:rPr>
          <w:rFonts w:ascii="Arial" w:cs="Arial" w:eastAsia="Arial" w:hAnsi="Arial"/>
          <w:sz w:val="20"/>
          <w:szCs w:val="20"/>
        </w:rPr>
        <w:t xml:space="preserve"> | 8,6 mg/l/(96 h) Cyprinus carpio</w:t>
      </w:r>
    </w:p>
    <w:p>
      <w:pPr>
        <w:spacing w:after="60" w:before="60"/>
      </w:pPr>
      <w:r>
        <w:rPr>
          <w:rFonts w:ascii="Arial" w:cs="Arial" w:eastAsia="Arial" w:hAnsi="Arial"/>
          <w:b/>
          <w:bCs/>
          <w:sz w:val="20"/>
          <w:szCs w:val="20"/>
        </w:rPr>
        <w:t xml:space="preserve">- EC50 (skorupiaki):</w:t>
      </w:r>
      <w:r>
        <w:rPr>
          <w:rFonts w:ascii="Arial" w:cs="Arial" w:eastAsia="Arial" w:hAnsi="Arial"/>
          <w:sz w:val="20"/>
          <w:szCs w:val="20"/>
        </w:rPr>
        <w:t xml:space="preserve"> | 5,3 mg/l/(48 h) Daphnia magna</w:t>
      </w:r>
    </w:p>
    <w:p>
      <w:pPr>
        <w:spacing w:after="60" w:before="60"/>
      </w:pPr>
      <w:r>
        <w:rPr>
          <w:rFonts w:ascii="Arial" w:cs="Arial" w:eastAsia="Arial" w:hAnsi="Arial"/>
          <w:b/>
          <w:bCs/>
          <w:sz w:val="20"/>
          <w:szCs w:val="20"/>
        </w:rPr>
        <w:t xml:space="preserve">- EC50 (glony / rośliny wodne):</w:t>
      </w:r>
      <w:r>
        <w:rPr>
          <w:rFonts w:ascii="Arial" w:cs="Arial" w:eastAsia="Arial" w:hAnsi="Arial"/>
          <w:sz w:val="20"/>
          <w:szCs w:val="20"/>
        </w:rPr>
        <w:t xml:space="preserve"> | 22 mg/l/(72 h) Desmodesmus subspicatus</w:t>
      </w:r>
    </w:p>
    <w:p>
      <w:pPr>
        <w:spacing w:after="60" w:before="60"/>
      </w:pPr>
      <w:r>
        <w:rPr>
          <w:rFonts w:ascii="Arial" w:cs="Arial" w:eastAsia="Arial" w:hAnsi="Arial"/>
          <w:b/>
          <w:bCs/>
          <w:sz w:val="20"/>
          <w:szCs w:val="20"/>
        </w:rPr>
        <w:t xml:space="preserve">- NOEC (przewlekła, glony):</w:t>
      </w:r>
      <w:r>
        <w:rPr>
          <w:rFonts w:ascii="Arial" w:cs="Arial" w:eastAsia="Arial" w:hAnsi="Arial"/>
          <w:sz w:val="20"/>
          <w:szCs w:val="20"/>
        </w:rPr>
        <w:t xml:space="preserve"> | 6,8 mg/l Desmodesmus subspicatus</w:t>
      </w:r>
    </w:p>
    <w:p>
      <w:pPr>
        <w:spacing w:after="80" w:before="150"/>
      </w:pPr>
      <w:r>
        <w:rPr>
          <w:rFonts w:ascii="Arial" w:cs="Arial" w:eastAsia="Arial" w:hAnsi="Arial"/>
          <w:b/>
          <w:bCs/>
          <w:sz w:val="20"/>
          <w:szCs w:val="20"/>
        </w:rPr>
        <w:t xml:space="preserve">(2-metoksymetyloetoksy)propanol (CAS: 34590-94-8):</w:t>
      </w:r>
    </w:p>
    <w:p>
      <w:pPr>
        <w:spacing w:after="60" w:before="60"/>
      </w:pPr>
      <w:r>
        <w:rPr>
          <w:rFonts w:ascii="Arial" w:cs="Arial" w:eastAsia="Arial" w:hAnsi="Arial"/>
          <w:b/>
          <w:bCs/>
          <w:sz w:val="20"/>
          <w:szCs w:val="20"/>
        </w:rPr>
        <w:t xml:space="preserve">- LC50 (ryby):</w:t>
      </w:r>
      <w:r>
        <w:rPr>
          <w:rFonts w:ascii="Arial" w:cs="Arial" w:eastAsia="Arial" w:hAnsi="Arial"/>
          <w:sz w:val="20"/>
          <w:szCs w:val="20"/>
        </w:rPr>
        <w:t xml:space="preserve"> | &gt; 150 mg/l/(96 h)</w:t>
      </w:r>
    </w:p>
    <w:p>
      <w:pPr>
        <w:spacing w:after="60" w:before="60"/>
      </w:pPr>
      <w:r>
        <w:rPr>
          <w:rFonts w:ascii="Arial" w:cs="Arial" w:eastAsia="Arial" w:hAnsi="Arial"/>
          <w:b/>
          <w:bCs/>
          <w:sz w:val="20"/>
          <w:szCs w:val="20"/>
        </w:rPr>
        <w:t xml:space="preserve">- EC50 (skorupiaki):</w:t>
      </w:r>
      <w:r>
        <w:rPr>
          <w:rFonts w:ascii="Arial" w:cs="Arial" w:eastAsia="Arial" w:hAnsi="Arial"/>
          <w:sz w:val="20"/>
          <w:szCs w:val="20"/>
        </w:rPr>
        <w:t xml:space="preserve"> | &gt; 1000 mg/l/(48 h)</w:t>
      </w:r>
    </w:p>
    <w:p>
      <w:pPr>
        <w:spacing w:after="60" w:before="60"/>
      </w:pPr>
      <w:r>
        <w:rPr>
          <w:rFonts w:ascii="Arial" w:cs="Arial" w:eastAsia="Arial" w:hAnsi="Arial"/>
          <w:b/>
          <w:bCs/>
          <w:sz w:val="20"/>
          <w:szCs w:val="20"/>
        </w:rPr>
        <w:t xml:space="preserve">- EC50 (glony / rośliny wodne):</w:t>
      </w:r>
      <w:r>
        <w:rPr>
          <w:rFonts w:ascii="Arial" w:cs="Arial" w:eastAsia="Arial" w:hAnsi="Arial"/>
          <w:sz w:val="20"/>
          <w:szCs w:val="20"/>
        </w:rPr>
        <w:t xml:space="preserve"> | &gt; 969 mg/l/(72 h)</w:t>
      </w:r>
    </w:p>
    <w:p>
      <w:pPr>
        <w:spacing w:after="60" w:before="60"/>
      </w:pPr>
      <w:r>
        <w:rPr>
          <w:rFonts w:ascii="Arial" w:cs="Arial" w:eastAsia="Arial" w:hAnsi="Arial"/>
          <w:b/>
          <w:bCs/>
          <w:sz w:val="20"/>
          <w:szCs w:val="20"/>
        </w:rPr>
        <w:t xml:space="preserve">- NOEC (przewlekła, skorupiaki):</w:t>
      </w:r>
      <w:r>
        <w:rPr>
          <w:rFonts w:ascii="Arial" w:cs="Arial" w:eastAsia="Arial" w:hAnsi="Arial"/>
          <w:sz w:val="20"/>
          <w:szCs w:val="20"/>
        </w:rPr>
        <w:t xml:space="preserve"> | 1000 mg/l (48 h)</w:t>
      </w:r>
    </w:p>
    <w:p>
      <w:pPr>
        <w:spacing w:after="60" w:before="60"/>
      </w:pPr>
      <w:r>
        <w:rPr>
          <w:rFonts w:ascii="Arial" w:cs="Arial" w:eastAsia="Arial" w:hAnsi="Arial"/>
          <w:b/>
          <w:bCs/>
          <w:sz w:val="20"/>
          <w:szCs w:val="20"/>
        </w:rPr>
        <w:t xml:space="preserve">- NOEC (przewlekła, glony):</w:t>
      </w:r>
      <w:r>
        <w:rPr>
          <w:rFonts w:ascii="Arial" w:cs="Arial" w:eastAsia="Arial" w:hAnsi="Arial"/>
          <w:sz w:val="20"/>
          <w:szCs w:val="20"/>
        </w:rPr>
        <w:t xml:space="preserve"> | 969 mg/l</w:t>
      </w:r>
    </w:p>
    <w:p>
      <w:pPr>
        <w:spacing w:after="80" w:before="150"/>
      </w:pPr>
      <w:r>
        <w:rPr>
          <w:rFonts w:ascii="Arial" w:cs="Arial" w:eastAsia="Arial" w:hAnsi="Arial"/>
          <w:b/>
          <w:bCs/>
          <w:sz w:val="20"/>
          <w:szCs w:val="20"/>
        </w:rPr>
        <w:t xml:space="preserve">1,8-cyneol (eukaliptol) (CAS: 470-82-6):</w:t>
      </w:r>
    </w:p>
    <w:p>
      <w:pPr>
        <w:spacing w:after="60" w:before="60"/>
      </w:pPr>
      <w:r>
        <w:rPr>
          <w:rFonts w:ascii="Arial" w:cs="Arial" w:eastAsia="Arial" w:hAnsi="Arial"/>
          <w:b/>
          <w:bCs/>
          <w:sz w:val="20"/>
          <w:szCs w:val="20"/>
        </w:rPr>
        <w:t xml:space="preserve">- LC50 (ryby):</w:t>
      </w:r>
      <w:r>
        <w:rPr>
          <w:rFonts w:ascii="Arial" w:cs="Arial" w:eastAsia="Arial" w:hAnsi="Arial"/>
          <w:sz w:val="20"/>
          <w:szCs w:val="20"/>
        </w:rPr>
        <w:t xml:space="preserve"> | 57 mg/l/(96 h) Oncorhynchus mykiss</w:t>
      </w:r>
    </w:p>
    <w:p>
      <w:pPr>
        <w:spacing w:after="60" w:before="60"/>
      </w:pPr>
      <w:r>
        <w:rPr>
          <w:rFonts w:ascii="Arial" w:cs="Arial" w:eastAsia="Arial" w:hAnsi="Arial"/>
          <w:b/>
          <w:bCs/>
          <w:sz w:val="20"/>
          <w:szCs w:val="20"/>
        </w:rPr>
        <w:t xml:space="preserve">- EC50 (skorupiaki):</w:t>
      </w:r>
      <w:r>
        <w:rPr>
          <w:rFonts w:ascii="Arial" w:cs="Arial" w:eastAsia="Arial" w:hAnsi="Arial"/>
          <w:sz w:val="20"/>
          <w:szCs w:val="20"/>
        </w:rPr>
        <w:t xml:space="preserve"> | &gt; 100 mg/l/(48 h) Daphnia magna</w:t>
      </w:r>
    </w:p>
    <w:p>
      <w:pPr>
        <w:spacing w:after="60" w:before="60"/>
      </w:pPr>
      <w:r>
        <w:rPr>
          <w:rFonts w:ascii="Arial" w:cs="Arial" w:eastAsia="Arial" w:hAnsi="Arial"/>
          <w:b/>
          <w:bCs/>
          <w:sz w:val="20"/>
          <w:szCs w:val="20"/>
        </w:rPr>
        <w:t xml:space="preserve">- EC50 (glony / rośliny wodne):</w:t>
      </w:r>
      <w:r>
        <w:rPr>
          <w:rFonts w:ascii="Arial" w:cs="Arial" w:eastAsia="Arial" w:hAnsi="Arial"/>
          <w:sz w:val="20"/>
          <w:szCs w:val="20"/>
        </w:rPr>
        <w:t xml:space="preserve"> | 74 mg/l/(72 h)</w:t>
      </w:r>
    </w:p>
    <w:p>
      <w:pPr>
        <w:spacing w:after="60" w:before="60"/>
      </w:pPr>
      <w:r>
        <w:rPr>
          <w:rFonts w:ascii="Arial" w:cs="Arial" w:eastAsia="Arial" w:hAnsi="Arial"/>
          <w:b/>
          <w:bCs/>
          <w:sz w:val="20"/>
          <w:szCs w:val="20"/>
        </w:rPr>
        <w:t xml:space="preserve">- NOEC (przewlekła, ryby):</w:t>
      </w:r>
      <w:r>
        <w:rPr>
          <w:rFonts w:ascii="Arial" w:cs="Arial" w:eastAsia="Arial" w:hAnsi="Arial"/>
          <w:sz w:val="20"/>
          <w:szCs w:val="20"/>
        </w:rPr>
        <w:t xml:space="preserve"> | 32 mg/l Oncorhynchus mykiss</w:t>
      </w:r>
    </w:p>
    <w:p>
      <w:pPr>
        <w:spacing w:after="60" w:before="60"/>
      </w:pPr>
      <w:r>
        <w:rPr>
          <w:rFonts w:ascii="Arial" w:cs="Arial" w:eastAsia="Arial" w:hAnsi="Arial"/>
          <w:b/>
          <w:bCs/>
          <w:sz w:val="20"/>
          <w:szCs w:val="20"/>
        </w:rPr>
        <w:t xml:space="preserve">- NOEC (przewlekła, skorupiaki):</w:t>
      </w:r>
      <w:r>
        <w:rPr>
          <w:rFonts w:ascii="Arial" w:cs="Arial" w:eastAsia="Arial" w:hAnsi="Arial"/>
          <w:sz w:val="20"/>
          <w:szCs w:val="20"/>
        </w:rPr>
        <w:t xml:space="preserve"> | 100 mg/l Daphnia magna</w:t>
      </w:r>
    </w:p>
    <w:p>
      <w:pPr>
        <w:spacing w:after="60" w:before="60"/>
      </w:pPr>
      <w:r>
        <w:rPr>
          <w:rFonts w:ascii="Arial" w:cs="Arial" w:eastAsia="Arial" w:hAnsi="Arial"/>
          <w:b/>
          <w:bCs/>
          <w:sz w:val="20"/>
          <w:szCs w:val="20"/>
        </w:rPr>
        <w:t xml:space="preserve">- NOEC (przewlekła, glony):</w:t>
      </w:r>
      <w:r>
        <w:rPr>
          <w:rFonts w:ascii="Arial" w:cs="Arial" w:eastAsia="Arial" w:hAnsi="Arial"/>
          <w:sz w:val="20"/>
          <w:szCs w:val="20"/>
        </w:rPr>
        <w:t xml:space="preserve"> | 9,1 mg/l</w:t>
      </w:r>
    </w:p>
    <w:p>
      <w:pPr>
        <w:spacing w:after="80" w:before="150"/>
      </w:pPr>
      <w:r>
        <w:rPr>
          <w:rFonts w:ascii="Arial" w:cs="Arial" w:eastAsia="Arial" w:hAnsi="Arial"/>
          <w:b/>
          <w:bCs/>
          <w:sz w:val="20"/>
          <w:szCs w:val="20"/>
        </w:rPr>
        <w:t xml:space="preserve">etanol (CAS: 64-17-5):</w:t>
      </w:r>
    </w:p>
    <w:p>
      <w:pPr>
        <w:spacing w:after="60" w:before="60"/>
      </w:pPr>
      <w:r>
        <w:rPr>
          <w:rFonts w:ascii="Arial" w:cs="Arial" w:eastAsia="Arial" w:hAnsi="Arial"/>
          <w:b/>
          <w:bCs/>
          <w:sz w:val="20"/>
          <w:szCs w:val="20"/>
        </w:rPr>
        <w:t xml:space="preserve">- LC50 (ryby):</w:t>
      </w:r>
      <w:r>
        <w:rPr>
          <w:rFonts w:ascii="Arial" w:cs="Arial" w:eastAsia="Arial" w:hAnsi="Arial"/>
          <w:sz w:val="20"/>
          <w:szCs w:val="20"/>
        </w:rPr>
        <w:t xml:space="preserve"> | 14200 mg/l/(96 h)</w:t>
      </w:r>
    </w:p>
    <w:p>
      <w:pPr>
        <w:spacing w:after="60" w:before="60"/>
      </w:pPr>
      <w:r>
        <w:rPr>
          <w:rFonts w:ascii="Arial" w:cs="Arial" w:eastAsia="Arial" w:hAnsi="Arial"/>
          <w:b/>
          <w:bCs/>
          <w:sz w:val="20"/>
          <w:szCs w:val="20"/>
        </w:rPr>
        <w:t xml:space="preserve">- EC50 (skorupiaki):</w:t>
      </w:r>
      <w:r>
        <w:rPr>
          <w:rFonts w:ascii="Arial" w:cs="Arial" w:eastAsia="Arial" w:hAnsi="Arial"/>
          <w:sz w:val="20"/>
          <w:szCs w:val="20"/>
        </w:rPr>
        <w:t xml:space="preserve"> | 454 mg/l/(48 h)</w:t>
      </w:r>
    </w:p>
    <w:p>
      <w:pPr>
        <w:spacing w:after="60" w:before="60"/>
      </w:pPr>
      <w:r>
        <w:rPr>
          <w:rFonts w:ascii="Arial" w:cs="Arial" w:eastAsia="Arial" w:hAnsi="Arial"/>
          <w:b/>
          <w:bCs/>
          <w:sz w:val="20"/>
          <w:szCs w:val="20"/>
        </w:rPr>
        <w:t xml:space="preserve">- EC50 (glony / rośliny wodne):</w:t>
      </w:r>
      <w:r>
        <w:rPr>
          <w:rFonts w:ascii="Arial" w:cs="Arial" w:eastAsia="Arial" w:hAnsi="Arial"/>
          <w:sz w:val="20"/>
          <w:szCs w:val="20"/>
        </w:rPr>
        <w:t xml:space="preserve"> | 275 mg/l/(72 h)</w:t>
      </w:r>
    </w:p>
    <w:p>
      <w:pPr>
        <w:spacing w:after="60" w:before="60"/>
      </w:pPr>
      <w:r>
        <w:rPr>
          <w:rFonts w:ascii="Arial" w:cs="Arial" w:eastAsia="Arial" w:hAnsi="Arial"/>
          <w:b/>
          <w:bCs/>
          <w:sz w:val="20"/>
          <w:szCs w:val="20"/>
        </w:rPr>
        <w:t xml:space="preserve">- NOEC (przewlekła, ryby):</w:t>
      </w:r>
      <w:r>
        <w:rPr>
          <w:rFonts w:ascii="Arial" w:cs="Arial" w:eastAsia="Arial" w:hAnsi="Arial"/>
          <w:sz w:val="20"/>
          <w:szCs w:val="20"/>
        </w:rPr>
        <w:t xml:space="preserve"> | 250 mg/l</w:t>
      </w:r>
    </w:p>
    <w:p>
      <w:pPr>
        <w:spacing w:after="60" w:before="60"/>
      </w:pPr>
      <w:r>
        <w:rPr>
          <w:rFonts w:ascii="Arial" w:cs="Arial" w:eastAsia="Arial" w:hAnsi="Arial"/>
          <w:b/>
          <w:bCs/>
          <w:sz w:val="20"/>
          <w:szCs w:val="20"/>
        </w:rPr>
        <w:t xml:space="preserve">- NOEC (przewlekła, skorupiaki):</w:t>
      </w:r>
      <w:r>
        <w:rPr>
          <w:rFonts w:ascii="Arial" w:cs="Arial" w:eastAsia="Arial" w:hAnsi="Arial"/>
          <w:sz w:val="20"/>
          <w:szCs w:val="20"/>
        </w:rPr>
        <w:t xml:space="preserve"> | 96 mg/l</w:t>
      </w:r>
    </w:p>
    <w:p>
      <w:pPr>
        <w:spacing w:after="60" w:before="60"/>
      </w:pPr>
      <w:r>
        <w:rPr>
          <w:rFonts w:ascii="Arial" w:cs="Arial" w:eastAsia="Arial" w:hAnsi="Arial"/>
          <w:b/>
          <w:bCs/>
          <w:sz w:val="20"/>
          <w:szCs w:val="20"/>
        </w:rPr>
        <w:t xml:space="preserve">- NOEC (przewlekła, glony):</w:t>
      </w:r>
      <w:r>
        <w:rPr>
          <w:rFonts w:ascii="Arial" w:cs="Arial" w:eastAsia="Arial" w:hAnsi="Arial"/>
          <w:sz w:val="20"/>
          <w:szCs w:val="20"/>
        </w:rPr>
        <w:t xml:space="preserve"> | 11,5 mg/l</w:t>
      </w:r>
    </w:p>
    <w:p>
      <w:pPr>
        <w:spacing w:after="80" w:before="150"/>
      </w:pPr>
      <w:r>
        <w:rPr>
          <w:rFonts w:ascii="Arial" w:cs="Arial" w:eastAsia="Arial" w:hAnsi="Arial"/>
          <w:b/>
          <w:bCs/>
          <w:sz w:val="20"/>
          <w:szCs w:val="20"/>
        </w:rPr>
        <w:t xml:space="preserve">kwas octowy (CAS: 64-19-7):</w:t>
      </w:r>
    </w:p>
    <w:p>
      <w:pPr>
        <w:spacing w:after="60" w:before="60"/>
      </w:pPr>
      <w:r>
        <w:rPr>
          <w:rFonts w:ascii="Arial" w:cs="Arial" w:eastAsia="Arial" w:hAnsi="Arial"/>
          <w:b/>
          <w:bCs/>
          <w:sz w:val="20"/>
          <w:szCs w:val="20"/>
        </w:rPr>
        <w:t xml:space="preserve">- LC50 (ryby):</w:t>
      </w:r>
      <w:r>
        <w:rPr>
          <w:rFonts w:ascii="Arial" w:cs="Arial" w:eastAsia="Arial" w:hAnsi="Arial"/>
          <w:sz w:val="20"/>
          <w:szCs w:val="20"/>
        </w:rPr>
        <w:t xml:space="preserve"> | &gt; 1000 mg/l/(96 h)</w:t>
      </w:r>
    </w:p>
    <w:p>
      <w:pPr>
        <w:spacing w:after="60" w:before="60"/>
      </w:pPr>
      <w:r>
        <w:rPr>
          <w:rFonts w:ascii="Arial" w:cs="Arial" w:eastAsia="Arial" w:hAnsi="Arial"/>
          <w:b/>
          <w:bCs/>
          <w:sz w:val="20"/>
          <w:szCs w:val="20"/>
        </w:rPr>
        <w:t xml:space="preserve">- EC50 (skorupiaki):</w:t>
      </w:r>
      <w:r>
        <w:rPr>
          <w:rFonts w:ascii="Arial" w:cs="Arial" w:eastAsia="Arial" w:hAnsi="Arial"/>
          <w:sz w:val="20"/>
          <w:szCs w:val="20"/>
        </w:rPr>
        <w:t xml:space="preserve"> | &gt; 300,82 mg/l/(48 h)</w:t>
      </w:r>
    </w:p>
    <w:p>
      <w:pPr>
        <w:spacing w:after="60" w:before="60"/>
      </w:pPr>
      <w:r>
        <w:rPr>
          <w:rFonts w:ascii="Arial" w:cs="Arial" w:eastAsia="Arial" w:hAnsi="Arial"/>
          <w:b/>
          <w:bCs/>
          <w:sz w:val="20"/>
          <w:szCs w:val="20"/>
        </w:rPr>
        <w:t xml:space="preserve">- EC50 (glony / rośliny wodne):</w:t>
      </w:r>
      <w:r>
        <w:rPr>
          <w:rFonts w:ascii="Arial" w:cs="Arial" w:eastAsia="Arial" w:hAnsi="Arial"/>
          <w:sz w:val="20"/>
          <w:szCs w:val="20"/>
        </w:rPr>
        <w:t xml:space="preserve"> | &gt; 1000 mg/l/(72 h)</w:t>
      </w:r>
    </w:p>
    <w:p>
      <w:pPr>
        <w:spacing w:after="80" w:before="150"/>
      </w:pPr>
      <w:r>
        <w:rPr>
          <w:rFonts w:ascii="Arial" w:cs="Arial" w:eastAsia="Arial" w:hAnsi="Arial"/>
          <w:b/>
          <w:bCs/>
          <w:sz w:val="20"/>
          <w:szCs w:val="20"/>
        </w:rPr>
        <w:t xml:space="preserve">metanol (CAS: 67-56-1):</w:t>
      </w:r>
    </w:p>
    <w:p>
      <w:pPr>
        <w:spacing w:after="60" w:before="60"/>
      </w:pPr>
      <w:r>
        <w:rPr>
          <w:rFonts w:ascii="Arial" w:cs="Arial" w:eastAsia="Arial" w:hAnsi="Arial"/>
          <w:b/>
          <w:bCs/>
          <w:sz w:val="20"/>
          <w:szCs w:val="20"/>
        </w:rPr>
        <w:t xml:space="preserve">- LC50 (ryby):</w:t>
      </w:r>
      <w:r>
        <w:rPr>
          <w:rFonts w:ascii="Arial" w:cs="Arial" w:eastAsia="Arial" w:hAnsi="Arial"/>
          <w:sz w:val="20"/>
          <w:szCs w:val="20"/>
        </w:rPr>
        <w:t xml:space="preserve"> | 15320 mg/l/(96 h) Leuciscus idus melanotus</w:t>
      </w:r>
    </w:p>
    <w:p>
      <w:pPr>
        <w:spacing w:after="60" w:before="60"/>
      </w:pPr>
      <w:r>
        <w:rPr>
          <w:rFonts w:ascii="Arial" w:cs="Arial" w:eastAsia="Arial" w:hAnsi="Arial"/>
          <w:b/>
          <w:bCs/>
          <w:sz w:val="20"/>
          <w:szCs w:val="20"/>
        </w:rPr>
        <w:t xml:space="preserve">- EC50 (skorupiaki):</w:t>
      </w:r>
      <w:r>
        <w:rPr>
          <w:rFonts w:ascii="Arial" w:cs="Arial" w:eastAsia="Arial" w:hAnsi="Arial"/>
          <w:sz w:val="20"/>
          <w:szCs w:val="20"/>
        </w:rPr>
        <w:t xml:space="preserve"> | 18260 mg/l/(96 h) Daphnia magna</w:t>
      </w:r>
    </w:p>
    <w:p>
      <w:pPr>
        <w:spacing w:after="60" w:before="60"/>
      </w:pPr>
      <w:r>
        <w:rPr>
          <w:rFonts w:ascii="Arial" w:cs="Arial" w:eastAsia="Arial" w:hAnsi="Arial"/>
          <w:b/>
          <w:bCs/>
          <w:sz w:val="20"/>
          <w:szCs w:val="20"/>
        </w:rPr>
        <w:t xml:space="preserve">- EC50 (glony / rośliny wodne):</w:t>
      </w:r>
      <w:r>
        <w:rPr>
          <w:rFonts w:ascii="Arial" w:cs="Arial" w:eastAsia="Arial" w:hAnsi="Arial"/>
          <w:sz w:val="20"/>
          <w:szCs w:val="20"/>
        </w:rPr>
        <w:t xml:space="preserve"> | 22000 mg/l/(96 h) Pseudokirchneriella subcapitata</w:t>
      </w:r>
    </w:p>
    <w:p>
      <w:pPr>
        <w:spacing w:after="60" w:before="60"/>
      </w:pPr>
      <w:r>
        <w:rPr>
          <w:rFonts w:ascii="Arial" w:cs="Arial" w:eastAsia="Arial" w:hAnsi="Arial"/>
          <w:b/>
          <w:bCs/>
          <w:sz w:val="20"/>
          <w:szCs w:val="20"/>
        </w:rPr>
        <w:t xml:space="preserve">- NOEC (przewlekła, ryby):</w:t>
      </w:r>
      <w:r>
        <w:rPr>
          <w:rFonts w:ascii="Arial" w:cs="Arial" w:eastAsia="Arial" w:hAnsi="Arial"/>
          <w:sz w:val="20"/>
          <w:szCs w:val="20"/>
        </w:rPr>
        <w:t xml:space="preserve"> | 3950 mg/l/(96 h) Danio rerio</w:t>
      </w:r>
    </w:p>
    <w:p>
      <w:pPr>
        <w:spacing w:after="60" w:before="60"/>
      </w:pPr>
      <w:r>
        <w:rPr>
          <w:rFonts w:ascii="Arial" w:cs="Arial" w:eastAsia="Arial" w:hAnsi="Arial"/>
          <w:b/>
          <w:bCs/>
          <w:sz w:val="20"/>
          <w:szCs w:val="20"/>
        </w:rPr>
        <w:t xml:space="preserve">- NOEC (przewlekła, skorupiaki):</w:t>
      </w:r>
      <w:r>
        <w:rPr>
          <w:rFonts w:ascii="Arial" w:cs="Arial" w:eastAsia="Arial" w:hAnsi="Arial"/>
          <w:sz w:val="20"/>
          <w:szCs w:val="20"/>
        </w:rPr>
        <w:t xml:space="preserve"> | 7960 mg/l/(96 h) Mytilus edulis (omułek)</w:t>
      </w:r>
    </w:p>
    <w:p>
      <w:pPr>
        <w:spacing w:after="80" w:before="150"/>
      </w:pPr>
      <w:r>
        <w:rPr>
          <w:rFonts w:ascii="Arial" w:cs="Arial" w:eastAsia="Arial" w:hAnsi="Arial"/>
          <w:b/>
          <w:bCs/>
          <w:sz w:val="20"/>
          <w:szCs w:val="20"/>
        </w:rPr>
        <w:t xml:space="preserve">linalol (CAS: 78-70-6):</w:t>
      </w:r>
    </w:p>
    <w:p>
      <w:pPr>
        <w:spacing w:after="60" w:before="60"/>
      </w:pPr>
      <w:r>
        <w:rPr>
          <w:rFonts w:ascii="Arial" w:cs="Arial" w:eastAsia="Arial" w:hAnsi="Arial"/>
          <w:b/>
          <w:bCs/>
          <w:sz w:val="20"/>
          <w:szCs w:val="20"/>
        </w:rPr>
        <w:t xml:space="preserve">- LC50 (ryby):</w:t>
      </w:r>
      <w:r>
        <w:rPr>
          <w:rFonts w:ascii="Arial" w:cs="Arial" w:eastAsia="Arial" w:hAnsi="Arial"/>
          <w:sz w:val="20"/>
          <w:szCs w:val="20"/>
        </w:rPr>
        <w:t xml:space="preserve"> | 27,8 mg/l/(96 h) Oncorhynchus mykiss</w:t>
      </w:r>
    </w:p>
    <w:p>
      <w:pPr>
        <w:spacing w:after="60" w:before="60"/>
      </w:pPr>
      <w:r>
        <w:rPr>
          <w:rFonts w:ascii="Arial" w:cs="Arial" w:eastAsia="Arial" w:hAnsi="Arial"/>
          <w:b/>
          <w:bCs/>
          <w:sz w:val="20"/>
          <w:szCs w:val="20"/>
        </w:rPr>
        <w:t xml:space="preserve">- EC50 (skorupiaki):</w:t>
      </w:r>
      <w:r>
        <w:rPr>
          <w:rFonts w:ascii="Arial" w:cs="Arial" w:eastAsia="Arial" w:hAnsi="Arial"/>
          <w:sz w:val="20"/>
          <w:szCs w:val="20"/>
        </w:rPr>
        <w:t xml:space="preserve"> | 59 mg/l/(48 h) Daphnia magna</w:t>
      </w:r>
    </w:p>
    <w:p>
      <w:pPr>
        <w:spacing w:after="60" w:before="60"/>
      </w:pPr>
      <w:r>
        <w:rPr>
          <w:rFonts w:ascii="Arial" w:cs="Arial" w:eastAsia="Arial" w:hAnsi="Arial"/>
          <w:b/>
          <w:bCs/>
          <w:sz w:val="20"/>
          <w:szCs w:val="20"/>
        </w:rPr>
        <w:t xml:space="preserve">- EC50 (glony / rośliny wodne):</w:t>
      </w:r>
      <w:r>
        <w:rPr>
          <w:rFonts w:ascii="Arial" w:cs="Arial" w:eastAsia="Arial" w:hAnsi="Arial"/>
          <w:sz w:val="20"/>
          <w:szCs w:val="20"/>
        </w:rPr>
        <w:t xml:space="preserve"> | 88,3 mg/l/(72 h) Desmodesmus subspicatus</w:t>
      </w:r>
    </w:p>
    <w:p>
      <w:pPr>
        <w:spacing w:after="60" w:before="60"/>
      </w:pPr>
      <w:r>
        <w:rPr>
          <w:rFonts w:ascii="Arial" w:cs="Arial" w:eastAsia="Arial" w:hAnsi="Arial"/>
          <w:b/>
          <w:bCs/>
          <w:sz w:val="20"/>
          <w:szCs w:val="20"/>
        </w:rPr>
        <w:t xml:space="preserve">- NOEC (przewlekła, ryby):</w:t>
      </w:r>
      <w:r>
        <w:rPr>
          <w:rFonts w:ascii="Arial" w:cs="Arial" w:eastAsia="Arial" w:hAnsi="Arial"/>
          <w:sz w:val="20"/>
          <w:szCs w:val="20"/>
        </w:rPr>
        <w:t xml:space="preserve"> | &lt; 3,5 mg/l Oncorhynchus mykiss</w:t>
      </w:r>
    </w:p>
    <w:p>
      <w:pPr>
        <w:spacing w:after="80"/>
      </w:pPr>
      <w:r>
        <w:rPr>
          <w:rFonts w:ascii="Arial" w:cs="Arial" w:eastAsia="Arial" w:hAnsi="Arial"/>
          <w:sz w:val="20"/>
          <w:szCs w:val="20"/>
        </w:rPr>
        <w:t xml:space="preserve">Masa poreakcyjna salicylanu 2-metylobutylu i salicylanu pentylu:</w:t>
      </w:r>
    </w:p>
    <w:p>
      <w:pPr>
        <w:spacing w:after="60" w:before="60"/>
      </w:pPr>
      <w:r>
        <w:rPr>
          <w:rFonts w:ascii="Arial" w:cs="Arial" w:eastAsia="Arial" w:hAnsi="Arial"/>
          <w:b/>
          <w:bCs/>
          <w:sz w:val="20"/>
          <w:szCs w:val="20"/>
        </w:rPr>
        <w:t xml:space="preserve">- LC50 (ryby):</w:t>
      </w:r>
      <w:r>
        <w:rPr>
          <w:rFonts w:ascii="Arial" w:cs="Arial" w:eastAsia="Arial" w:hAnsi="Arial"/>
          <w:sz w:val="20"/>
          <w:szCs w:val="20"/>
        </w:rPr>
        <w:t xml:space="preserve"> | 1,34 mg/l/(96 h)</w:t>
      </w:r>
    </w:p>
    <w:p>
      <w:pPr>
        <w:spacing w:after="60" w:before="60"/>
      </w:pPr>
      <w:r>
        <w:rPr>
          <w:rFonts w:ascii="Arial" w:cs="Arial" w:eastAsia="Arial" w:hAnsi="Arial"/>
          <w:b/>
          <w:bCs/>
          <w:sz w:val="20"/>
          <w:szCs w:val="20"/>
        </w:rPr>
        <w:t xml:space="preserve">- EC50 (skorupiaki):</w:t>
      </w:r>
      <w:r>
        <w:rPr>
          <w:rFonts w:ascii="Arial" w:cs="Arial" w:eastAsia="Arial" w:hAnsi="Arial"/>
          <w:sz w:val="20"/>
          <w:szCs w:val="20"/>
        </w:rPr>
        <w:t xml:space="preserve"> | 0,88 mg/l/(48 h)</w:t>
      </w:r>
    </w:p>
    <w:p>
      <w:pPr>
        <w:spacing w:after="60" w:before="60"/>
      </w:pPr>
      <w:r>
        <w:rPr>
          <w:rFonts w:ascii="Arial" w:cs="Arial" w:eastAsia="Arial" w:hAnsi="Arial"/>
          <w:b/>
          <w:bCs/>
          <w:sz w:val="20"/>
          <w:szCs w:val="20"/>
        </w:rPr>
        <w:t xml:space="preserve">- EC50 (glony / rośliny wodne):</w:t>
      </w:r>
      <w:r>
        <w:rPr>
          <w:rFonts w:ascii="Arial" w:cs="Arial" w:eastAsia="Arial" w:hAnsi="Arial"/>
          <w:sz w:val="20"/>
          <w:szCs w:val="20"/>
        </w:rPr>
        <w:t xml:space="preserve"> | 0,49 mg/l/(72 h)</w:t>
      </w:r>
    </w:p>
    <w:p>
      <w:pPr>
        <w:spacing w:after="60" w:before="60"/>
      </w:pPr>
      <w:r>
        <w:rPr>
          <w:rFonts w:ascii="Arial" w:cs="Arial" w:eastAsia="Arial" w:hAnsi="Arial"/>
          <w:b/>
          <w:bCs/>
          <w:sz w:val="20"/>
          <w:szCs w:val="20"/>
        </w:rPr>
        <w:t xml:space="preserve">- NOEC (przewlekła, glony):</w:t>
      </w:r>
      <w:r>
        <w:rPr>
          <w:rFonts w:ascii="Arial" w:cs="Arial" w:eastAsia="Arial" w:hAnsi="Arial"/>
          <w:sz w:val="20"/>
          <w:szCs w:val="20"/>
        </w:rPr>
        <w:t xml:space="preserve"> | 0,2 mg/l</w:t>
      </w:r>
    </w:p>
    <w:p>
      <w:pPr>
        <w:spacing w:after="100" w:before="200"/>
      </w:pPr>
      <w:r>
        <w:rPr>
          <w:rFonts w:ascii="Arial" w:cs="Arial" w:eastAsia="Arial" w:hAnsi="Arial"/>
          <w:b/>
          <w:bCs/>
          <w:sz w:val="20"/>
          <w:szCs w:val="20"/>
        </w:rPr>
        <w:t xml:space="preserve">12.2. Trwałość i zdolność do rozkładu</w:t>
      </w:r>
    </w:p>
    <w:p>
      <w:pPr>
        <w:spacing w:after="80" w:before="150"/>
      </w:pPr>
      <w:r>
        <w:rPr>
          <w:rFonts w:ascii="Arial" w:cs="Arial" w:eastAsia="Arial" w:hAnsi="Arial"/>
          <w:b/>
          <w:bCs/>
          <w:sz w:val="20"/>
          <w:szCs w:val="20"/>
        </w:rPr>
        <w:t xml:space="preserve">Informacje dotyczące składników:</w:t>
      </w:r>
    </w:p>
    <w:p>
      <w:pPr>
        <w:spacing w:after="80"/>
      </w:pPr>
      <w:r>
        <w:rPr>
          <w:rFonts w:ascii="Arial" w:cs="Arial" w:eastAsia="Arial" w:hAnsi="Arial"/>
          <w:sz w:val="20"/>
          <w:szCs w:val="20"/>
        </w:rPr>
        <w:t xml:space="preserve">etanol (CAS: 64-17-5): Szybko ulega degradacji (substancja łatwo biodegradowalna). Rozpuszczalność w wodzie: | 1000 - 10000 mg/l.</w:t>
      </w:r>
    </w:p>
    <w:p>
      <w:pPr>
        <w:spacing w:after="80"/>
      </w:pPr>
      <w:r>
        <w:rPr>
          <w:rFonts w:ascii="Arial" w:cs="Arial" w:eastAsia="Arial" w:hAnsi="Arial"/>
          <w:sz w:val="20"/>
          <w:szCs w:val="20"/>
        </w:rPr>
        <w:t xml:space="preserve">octan 4-tert-butylocykloheksylu (CAS: 32210-23-4): Szybko ulega degradacji (substancja łatwo biodegradowalna).</w:t>
      </w:r>
    </w:p>
    <w:p>
      <w:pPr>
        <w:spacing w:after="80"/>
      </w:pPr>
      <w:r>
        <w:rPr>
          <w:rFonts w:ascii="Arial" w:cs="Arial" w:eastAsia="Arial" w:hAnsi="Arial"/>
          <w:sz w:val="20"/>
          <w:szCs w:val="20"/>
        </w:rPr>
        <w:t xml:space="preserve">(2-metoksymetyloetoksy)propanol (CAS: 34590-94-8): Szybko ulega degradacji (substancja łatwo biodegradowalna). Rozpuszczalność w wodzie: | 1000 - 10000 mg/l.</w:t>
      </w:r>
    </w:p>
    <w:p>
      <w:pPr>
        <w:spacing w:after="80"/>
      </w:pPr>
      <w:r>
        <w:rPr>
          <w:rFonts w:ascii="Arial" w:cs="Arial" w:eastAsia="Arial" w:hAnsi="Arial"/>
          <w:sz w:val="20"/>
          <w:szCs w:val="20"/>
        </w:rPr>
        <w:t xml:space="preserve">Masa poreakcyjna salicylanu 2-metylobutylu i salicylanu pentylu: Szybko ulega degradacji (substancja łatwo biodegradowalna).</w:t>
      </w:r>
    </w:p>
    <w:p>
      <w:pPr>
        <w:spacing w:after="80"/>
      </w:pPr>
      <w:r>
        <w:rPr>
          <w:rFonts w:ascii="Arial" w:cs="Arial" w:eastAsia="Arial" w:hAnsi="Arial"/>
          <w:sz w:val="20"/>
          <w:szCs w:val="20"/>
        </w:rPr>
        <w:t xml:space="preserve">2,6-di-tert-butylo-4-metylofenol (BHT) (CAS: 128-37-0): Szybko ulega degradacji (substancja łatwo biodegradowalna).</w:t>
      </w:r>
    </w:p>
    <w:p>
      <w:pPr>
        <w:spacing w:after="80"/>
      </w:pPr>
      <w:r>
        <w:rPr>
          <w:rFonts w:ascii="Arial" w:cs="Arial" w:eastAsia="Arial" w:hAnsi="Arial"/>
          <w:sz w:val="20"/>
          <w:szCs w:val="20"/>
        </w:rPr>
        <w:t xml:space="preserve">(±) trans-3,3-dimetylo-5-(2,2,3-trimetylocyklopent-3-en-1-ylo)pent-4-en-2-ol (CAS: 107898-54-4): Szybko ulega degradacji (substancja łatwo biodegradowalna).</w:t>
      </w:r>
    </w:p>
    <w:p>
      <w:pPr>
        <w:spacing w:after="80"/>
      </w:pPr>
      <w:r>
        <w:rPr>
          <w:rFonts w:ascii="Arial" w:cs="Arial" w:eastAsia="Arial" w:hAnsi="Arial"/>
          <w:sz w:val="20"/>
          <w:szCs w:val="20"/>
        </w:rPr>
        <w:t xml:space="preserve">Masa poreakcyjna 1-[(1R*,6S*)-2,2,6-trimetylocykloheksylo]heksan-3-olu i 1-[(1S*,6S*)-2,2,6-trimetylocykloheksylo]heksan-3-olu: Substancja nie ulega szybkiej degradacji (nie ulega łatwo biodegradacji).</w:t>
      </w:r>
    </w:p>
    <w:p>
      <w:pPr>
        <w:spacing w:after="80"/>
      </w:pPr>
      <w:r>
        <w:rPr>
          <w:rFonts w:ascii="Arial" w:cs="Arial" w:eastAsia="Arial" w:hAnsi="Arial"/>
          <w:sz w:val="20"/>
          <w:szCs w:val="20"/>
        </w:rPr>
        <w:t xml:space="preserve">aldehyd cynamonowy (CAS: 104-55-2): Szybko ulega degradacji (substancja łatwo biodegradowalna).</w:t>
      </w:r>
    </w:p>
    <w:p>
      <w:pPr>
        <w:spacing w:after="80"/>
      </w:pPr>
      <w:r>
        <w:rPr>
          <w:rFonts w:ascii="Arial" w:cs="Arial" w:eastAsia="Arial" w:hAnsi="Arial"/>
          <w:sz w:val="20"/>
          <w:szCs w:val="20"/>
        </w:rPr>
        <w:t xml:space="preserve">metanol (CAS: 67-56-1): Szybko ulega degradacji (substancja łatwo biodegradowalna). Rozpuszczalność w wodzie: | 1000 - 10000 mg/l.</w:t>
      </w:r>
    </w:p>
    <w:p>
      <w:pPr>
        <w:spacing w:after="80"/>
      </w:pPr>
      <w:r>
        <w:rPr>
          <w:rFonts w:ascii="Arial" w:cs="Arial" w:eastAsia="Arial" w:hAnsi="Arial"/>
          <w:sz w:val="20"/>
          <w:szCs w:val="20"/>
        </w:rPr>
        <w:t xml:space="preserve">heptan (CAS: 142-82-5): Rozpuszczalność w wodzie: | 0,1 - 100 mg/l.</w:t>
      </w:r>
    </w:p>
    <w:p>
      <w:pPr>
        <w:spacing w:after="80"/>
      </w:pPr>
      <w:r>
        <w:rPr>
          <w:rFonts w:ascii="Arial" w:cs="Arial" w:eastAsia="Arial" w:hAnsi="Arial"/>
          <w:sz w:val="20"/>
          <w:szCs w:val="20"/>
        </w:rPr>
        <w:t xml:space="preserve">toluen (CAS: 108-88-3): Szybko ulega degradacji (substancja łatwo biodegradowalna). Rozpuszczalność w wodzie: | 100 - 1000 mg/l.</w:t>
      </w:r>
    </w:p>
    <w:p>
      <w:pPr>
        <w:spacing w:after="80" w:before="80"/>
      </w:pPr>
      <w:r>
        <w:rPr>
          <w:rFonts w:ascii="Arial" w:cs="Arial" w:eastAsia="Arial" w:hAnsi="Arial"/>
          <w:b/>
          <w:bCs/>
          <w:sz w:val="20"/>
          <w:szCs w:val="20"/>
        </w:rPr>
        <w:t xml:space="preserve">Mieszanina:</w:t>
      </w:r>
      <w:r>
        <w:rPr>
          <w:rFonts w:ascii="Arial" w:cs="Arial" w:eastAsia="Arial" w:hAnsi="Arial"/>
          <w:sz w:val="20"/>
          <w:szCs w:val="20"/>
        </w:rPr>
        <w:t xml:space="preserve"> Brak dostępnych badań dotyczących trwałości i rozkładu mieszaniny.</w:t>
      </w:r>
    </w:p>
    <w:p>
      <w:pPr>
        <w:spacing w:after="100" w:before="200"/>
      </w:pPr>
      <w:r>
        <w:rPr>
          <w:rFonts w:ascii="Arial" w:cs="Arial" w:eastAsia="Arial" w:hAnsi="Arial"/>
          <w:b/>
          <w:bCs/>
          <w:sz w:val="20"/>
          <w:szCs w:val="20"/>
        </w:rPr>
        <w:t xml:space="preserve">12.3. Zdolność do bioakumulacji</w:t>
      </w:r>
    </w:p>
    <w:p>
      <w:pPr>
        <w:spacing w:after="80" w:before="150"/>
      </w:pPr>
      <w:r>
        <w:rPr>
          <w:rFonts w:ascii="Arial" w:cs="Arial" w:eastAsia="Arial" w:hAnsi="Arial"/>
          <w:b/>
          <w:bCs/>
          <w:sz w:val="20"/>
          <w:szCs w:val="20"/>
        </w:rPr>
        <w:t xml:space="preserve">Informacje dotyczące składników:</w:t>
      </w:r>
    </w:p>
    <w:p>
      <w:pPr>
        <w:spacing w:after="80"/>
      </w:pPr>
      <w:r>
        <w:rPr>
          <w:rFonts w:ascii="Arial" w:cs="Arial" w:eastAsia="Arial" w:hAnsi="Arial"/>
          <w:sz w:val="20"/>
          <w:szCs w:val="20"/>
        </w:rPr>
        <w:t xml:space="preserve">etanol (CAS: 64-17-5): współczynnik podziału n-oktanol/woda (log Kow): | -0,35.</w:t>
      </w:r>
    </w:p>
    <w:p>
      <w:pPr>
        <w:spacing w:after="80"/>
      </w:pPr>
      <w:r>
        <w:rPr>
          <w:rFonts w:ascii="Arial" w:cs="Arial" w:eastAsia="Arial" w:hAnsi="Arial"/>
          <w:sz w:val="20"/>
          <w:szCs w:val="20"/>
        </w:rPr>
        <w:t xml:space="preserve">octan 4-tert-butylocykloheksylu (CAS: 32210-23-4): Nie wykazuje zdolności do bioakumulacji. Współczynnik biokoncentracji (BCF) = 334,6..</w:t>
      </w:r>
    </w:p>
    <w:p>
      <w:pPr>
        <w:spacing w:after="80"/>
      </w:pPr>
      <w:r>
        <w:rPr>
          <w:rFonts w:ascii="Arial" w:cs="Arial" w:eastAsia="Arial" w:hAnsi="Arial"/>
          <w:sz w:val="20"/>
          <w:szCs w:val="20"/>
        </w:rPr>
        <w:t xml:space="preserve">(2-metoksymetyloetoksy)propanol (CAS: 34590-94-8): współczynnik podziału n-oktanol/woda (log Kow): | 0,0043.</w:t>
      </w:r>
    </w:p>
    <w:p>
      <w:pPr>
        <w:spacing w:after="80"/>
      </w:pPr>
      <w:r>
        <w:rPr>
          <w:rFonts w:ascii="Arial" w:cs="Arial" w:eastAsia="Arial" w:hAnsi="Arial"/>
          <w:sz w:val="20"/>
          <w:szCs w:val="20"/>
        </w:rPr>
        <w:t xml:space="preserve">Masa poreakcyjna salicylanu 2-metylobutylu i salicylanu pentylu: współczynnik biokoncentracji BCF = | 1170.</w:t>
      </w:r>
    </w:p>
    <w:p>
      <w:pPr>
        <w:spacing w:after="80"/>
      </w:pPr>
      <w:r>
        <w:rPr>
          <w:rFonts w:ascii="Arial" w:cs="Arial" w:eastAsia="Arial" w:hAnsi="Arial"/>
          <w:sz w:val="20"/>
          <w:szCs w:val="20"/>
        </w:rPr>
        <w:t xml:space="preserve">salicylan benzylu (CAS: 118-58-1): wykazuje zdolność do bioakumulacji (Bioaccumulative), współczynnik biokoncentracji BCF = 311..</w:t>
      </w:r>
    </w:p>
    <w:p>
      <w:pPr>
        <w:spacing w:after="80"/>
      </w:pPr>
      <w:r>
        <w:rPr>
          <w:rFonts w:ascii="Arial" w:cs="Arial" w:eastAsia="Arial" w:hAnsi="Arial"/>
          <w:sz w:val="20"/>
          <w:szCs w:val="20"/>
        </w:rPr>
        <w:t xml:space="preserve">2,6-di-tert-butylo-4-metylofenol (BHT) (CAS: 128-37-0): współczynnik podziału n-oktanol/woda (log Kow): | 5,1, współczynnik biokoncentracji BCF = | 598,4.</w:t>
      </w:r>
    </w:p>
    <w:p>
      <w:pPr>
        <w:spacing w:after="80"/>
      </w:pPr>
      <w:r>
        <w:rPr>
          <w:rFonts w:ascii="Arial" w:cs="Arial" w:eastAsia="Arial" w:hAnsi="Arial"/>
          <w:sz w:val="20"/>
          <w:szCs w:val="20"/>
        </w:rPr>
        <w:t xml:space="preserve">(±) trans-3,3-dimetylo-5-(2,2,3-trimetylocyklopent-3-en-1-ylo)pent-4-en-2-ol (CAS: 107898-54-4): współczynnik biokoncentracji BCF = | 46.</w:t>
      </w:r>
    </w:p>
    <w:p>
      <w:pPr>
        <w:spacing w:after="80"/>
      </w:pPr>
      <w:r>
        <w:rPr>
          <w:rFonts w:ascii="Arial" w:cs="Arial" w:eastAsia="Arial" w:hAnsi="Arial"/>
          <w:sz w:val="20"/>
          <w:szCs w:val="20"/>
        </w:rPr>
        <w:t xml:space="preserve">1,8-cyneol (eukaliptol) (CAS: 470-82-6): współczynnik biokoncentracji BCF = | 155 l/kg.</w:t>
      </w:r>
    </w:p>
    <w:p>
      <w:pPr>
        <w:spacing w:after="80"/>
      </w:pPr>
      <w:r>
        <w:rPr>
          <w:rFonts w:ascii="Arial" w:cs="Arial" w:eastAsia="Arial" w:hAnsi="Arial"/>
          <w:sz w:val="20"/>
          <w:szCs w:val="20"/>
        </w:rPr>
        <w:t xml:space="preserve">aldehyd cynamonowy (CAS: 104-55-2): współczynnik biokoncentracji BCF = | 147,91.</w:t>
      </w:r>
    </w:p>
    <w:p>
      <w:pPr>
        <w:spacing w:after="80"/>
      </w:pPr>
      <w:r>
        <w:rPr>
          <w:rFonts w:ascii="Arial" w:cs="Arial" w:eastAsia="Arial" w:hAnsi="Arial"/>
          <w:sz w:val="20"/>
          <w:szCs w:val="20"/>
        </w:rPr>
        <w:t xml:space="preserve">metanol (CAS: 67-56-1): współczynnik podziału n-oktanol/woda (log Kow): | -0,77, współczynnik biokoncentracji BCF = | 0,2.</w:t>
      </w:r>
    </w:p>
    <w:p>
      <w:pPr>
        <w:spacing w:after="80"/>
      </w:pPr>
      <w:r>
        <w:rPr>
          <w:rFonts w:ascii="Arial" w:cs="Arial" w:eastAsia="Arial" w:hAnsi="Arial"/>
          <w:sz w:val="20"/>
          <w:szCs w:val="20"/>
        </w:rPr>
        <w:t xml:space="preserve">heptan (CAS: 142-82-5): współczynnik podziału n-oktanol/woda (log Kow): | 4,5, współczynnik biokoncentracji BCF = | 552.</w:t>
      </w:r>
    </w:p>
    <w:p>
      <w:pPr>
        <w:spacing w:after="80"/>
      </w:pPr>
      <w:r>
        <w:rPr>
          <w:rFonts w:ascii="Arial" w:cs="Arial" w:eastAsia="Arial" w:hAnsi="Arial"/>
          <w:sz w:val="20"/>
          <w:szCs w:val="20"/>
        </w:rPr>
        <w:t xml:space="preserve">aceton (propan-2-on) (CAS: 67-64-1): współczynnik podziału n-oktanol/woda (log Kow): | -0,23, współczynnik biokoncentracji BCF = | 3.</w:t>
      </w:r>
    </w:p>
    <w:p>
      <w:pPr>
        <w:spacing w:after="80"/>
      </w:pPr>
      <w:r>
        <w:rPr>
          <w:rFonts w:ascii="Arial" w:cs="Arial" w:eastAsia="Arial" w:hAnsi="Arial"/>
          <w:sz w:val="20"/>
          <w:szCs w:val="20"/>
        </w:rPr>
        <w:t xml:space="preserve">toluen (CAS: 108-88-3): współczynnik podziału n-oktanol/woda (log Kow): | 2,73, współczynnik biokoncentracji BCF = | 90.</w:t>
      </w:r>
    </w:p>
    <w:p>
      <w:pPr>
        <w:spacing w:after="80"/>
      </w:pPr>
      <w:r>
        <w:rPr>
          <w:rFonts w:ascii="Arial" w:cs="Arial" w:eastAsia="Arial" w:hAnsi="Arial"/>
          <w:sz w:val="20"/>
          <w:szCs w:val="20"/>
        </w:rPr>
        <w:t xml:space="preserve">fenol (CAS: 108-95-2): współczynnik podziału n-oktanol/woda (log Kow): | 1,47, współczynnik biokoncentracji BCF = | 17,5.</w:t>
      </w:r>
    </w:p>
    <w:p>
      <w:pPr>
        <w:spacing w:after="80" w:before="80"/>
      </w:pPr>
      <w:r>
        <w:rPr>
          <w:rFonts w:ascii="Arial" w:cs="Arial" w:eastAsia="Arial" w:hAnsi="Arial"/>
          <w:b/>
          <w:bCs/>
          <w:sz w:val="20"/>
          <w:szCs w:val="20"/>
        </w:rPr>
        <w:t xml:space="preserve">Mieszanina:</w:t>
      </w:r>
      <w:r>
        <w:rPr>
          <w:rFonts w:ascii="Arial" w:cs="Arial" w:eastAsia="Arial" w:hAnsi="Arial"/>
          <w:sz w:val="20"/>
          <w:szCs w:val="20"/>
        </w:rPr>
        <w:t xml:space="preserve"> Brak dostępnych badań dotyczących bioakumulacji dla mieszaniny.</w:t>
      </w:r>
    </w:p>
    <w:p>
      <w:pPr>
        <w:spacing w:after="100" w:before="200"/>
      </w:pPr>
      <w:r>
        <w:rPr>
          <w:rFonts w:ascii="Arial" w:cs="Arial" w:eastAsia="Arial" w:hAnsi="Arial"/>
          <w:b/>
          <w:bCs/>
          <w:sz w:val="20"/>
          <w:szCs w:val="20"/>
        </w:rPr>
        <w:t xml:space="preserve">12.4. Mobilność w glebie</w:t>
      </w:r>
    </w:p>
    <w:p>
      <w:pPr>
        <w:spacing w:after="80" w:before="150"/>
      </w:pPr>
      <w:r>
        <w:rPr>
          <w:rFonts w:ascii="Arial" w:cs="Arial" w:eastAsia="Arial" w:hAnsi="Arial"/>
          <w:b/>
          <w:bCs/>
          <w:sz w:val="20"/>
          <w:szCs w:val="20"/>
        </w:rPr>
        <w:t xml:space="preserve">Informacje dotyczące składników:</w:t>
      </w:r>
    </w:p>
    <w:p>
      <w:pPr>
        <w:spacing w:after="80"/>
      </w:pPr>
      <w:r>
        <w:rPr>
          <w:rFonts w:ascii="Arial" w:cs="Arial" w:eastAsia="Arial" w:hAnsi="Arial"/>
          <w:sz w:val="20"/>
          <w:szCs w:val="20"/>
        </w:rPr>
        <w:t xml:space="preserve">Masa poreakcyjna salicylanu 2-metylobutylu i salicylanu pentylu: współczynnik podziału gleba/woda (Koc): | 37.</w:t>
      </w:r>
    </w:p>
    <w:p>
      <w:pPr>
        <w:spacing w:after="80"/>
      </w:pPr>
      <w:r>
        <w:rPr>
          <w:rFonts w:ascii="Arial" w:cs="Arial" w:eastAsia="Arial" w:hAnsi="Arial"/>
          <w:sz w:val="20"/>
          <w:szCs w:val="20"/>
        </w:rPr>
        <w:t xml:space="preserve">2,6-di-tert-butylo-4-metylofenol (BHT) (CAS: 128-37-0): współczynnik podziału gleba/woda (Koc): | 4,2.</w:t>
      </w:r>
    </w:p>
    <w:p>
      <w:pPr>
        <w:spacing w:after="80"/>
      </w:pPr>
      <w:r>
        <w:rPr>
          <w:rFonts w:ascii="Arial" w:cs="Arial" w:eastAsia="Arial" w:hAnsi="Arial"/>
          <w:sz w:val="20"/>
          <w:szCs w:val="20"/>
        </w:rPr>
        <w:t xml:space="preserve">(±) trans-3,3-dimetylo-5-(2,2,3-trimetylocyklopent-3-en-1-ylo)pent-4-en-2-ol (CAS: 107898-54-4): współczynnik podziału gleba/woda (Koc): | 3,023.</w:t>
      </w:r>
    </w:p>
    <w:p>
      <w:pPr>
        <w:spacing w:after="80"/>
      </w:pPr>
      <w:r>
        <w:rPr>
          <w:rFonts w:ascii="Arial" w:cs="Arial" w:eastAsia="Arial" w:hAnsi="Arial"/>
          <w:sz w:val="20"/>
          <w:szCs w:val="20"/>
        </w:rPr>
        <w:t xml:space="preserve">1,8-cyneol (eukaliptol) (CAS: 470-82-6): współczynnik podziału gleba/woda (Koc): | 2,33.</w:t>
      </w:r>
    </w:p>
    <w:p>
      <w:pPr>
        <w:spacing w:after="80"/>
      </w:pPr>
      <w:r>
        <w:rPr>
          <w:rFonts w:ascii="Arial" w:cs="Arial" w:eastAsia="Arial" w:hAnsi="Arial"/>
          <w:sz w:val="20"/>
          <w:szCs w:val="20"/>
        </w:rPr>
        <w:t xml:space="preserve">aldehyd cynamonowy (CAS: 104-55-2): współczynnik podziału gleba/woda (Koc): | 1,958.</w:t>
      </w:r>
    </w:p>
    <w:p>
      <w:pPr>
        <w:spacing w:after="80"/>
      </w:pPr>
      <w:r>
        <w:rPr>
          <w:rFonts w:ascii="Arial" w:cs="Arial" w:eastAsia="Arial" w:hAnsi="Arial"/>
          <w:sz w:val="20"/>
          <w:szCs w:val="20"/>
        </w:rPr>
        <w:t xml:space="preserve">heptan (CAS: 142-82-5): współczynnik podziału gleba/woda (Koc): | 2,38.</w:t>
      </w:r>
    </w:p>
    <w:p>
      <w:pPr>
        <w:spacing w:after="80"/>
      </w:pPr>
      <w:r>
        <w:rPr>
          <w:rFonts w:ascii="Arial" w:cs="Arial" w:eastAsia="Arial" w:hAnsi="Arial"/>
          <w:sz w:val="20"/>
          <w:szCs w:val="20"/>
        </w:rPr>
        <w:t xml:space="preserve">toluen (CAS: 108-88-3): współczynnik podziału gleba/woda (Koc): | 2,31.</w:t>
      </w:r>
    </w:p>
    <w:p>
      <w:pPr>
        <w:spacing w:after="80"/>
      </w:pPr>
      <w:r>
        <w:rPr>
          <w:rFonts w:ascii="Arial" w:cs="Arial" w:eastAsia="Arial" w:hAnsi="Arial"/>
          <w:sz w:val="20"/>
          <w:szCs w:val="20"/>
        </w:rPr>
        <w:t xml:space="preserve">fenol (CAS: 108-95-2): współczynnik podziału gleba/woda (Koc): | 1,57 l/kg.</w:t>
      </w:r>
    </w:p>
    <w:p>
      <w:pPr>
        <w:spacing w:after="80" w:before="80"/>
      </w:pPr>
      <w:r>
        <w:rPr>
          <w:rFonts w:ascii="Arial" w:cs="Arial" w:eastAsia="Arial" w:hAnsi="Arial"/>
          <w:b/>
          <w:bCs/>
          <w:sz w:val="20"/>
          <w:szCs w:val="20"/>
        </w:rPr>
        <w:t xml:space="preserve">Mieszanina:</w:t>
      </w:r>
      <w:r>
        <w:rPr>
          <w:rFonts w:ascii="Arial" w:cs="Arial" w:eastAsia="Arial" w:hAnsi="Arial"/>
          <w:sz w:val="20"/>
          <w:szCs w:val="20"/>
        </w:rPr>
        <w:t xml:space="preserve"> Brak dostępnych badań dotyczących mobilności mieszaniny w glebie.</w:t>
      </w:r>
    </w:p>
    <w:p>
      <w:pPr>
        <w:spacing w:after="100" w:before="200"/>
      </w:pPr>
      <w:r>
        <w:rPr>
          <w:rFonts w:ascii="Arial" w:cs="Arial" w:eastAsia="Arial" w:hAnsi="Arial"/>
          <w:b/>
          <w:bCs/>
          <w:sz w:val="20"/>
          <w:szCs w:val="20"/>
        </w:rPr>
        <w:t xml:space="preserve">12.5. Wyniki oceny właściwości PBT i vPvB</w:t>
      </w:r>
    </w:p>
    <w:p>
      <w:pPr>
        <w:spacing w:after="80"/>
      </w:pPr>
      <w:r>
        <w:rPr>
          <w:rFonts w:ascii="Arial" w:cs="Arial" w:eastAsia="Arial" w:hAnsi="Arial"/>
          <w:sz w:val="20"/>
          <w:szCs w:val="20"/>
        </w:rPr>
        <w:t xml:space="preserve">Mieszanina nie zawiera substancji spełniających kryteria PBT lub vPvB zgodnie z załącznikiem XIII do rozporządzenia REACH w stężeniu ≥ 0,1% wag.</w:t>
      </w:r>
    </w:p>
    <w:p>
      <w:pPr>
        <w:spacing w:after="100" w:before="200"/>
      </w:pPr>
      <w:r>
        <w:rPr>
          <w:rFonts w:ascii="Arial" w:cs="Arial" w:eastAsia="Arial" w:hAnsi="Arial"/>
          <w:b/>
          <w:bCs/>
          <w:sz w:val="20"/>
          <w:szCs w:val="20"/>
        </w:rPr>
        <w:t xml:space="preserve">12.6. Właściwości zaburzające funkcjonowanie układu hormonalnego</w:t>
      </w:r>
    </w:p>
    <w:p>
      <w:pPr>
        <w:spacing w:after="80"/>
      </w:pPr>
      <w:r>
        <w:rPr>
          <w:rFonts w:ascii="Arial" w:cs="Arial" w:eastAsia="Arial" w:hAnsi="Arial"/>
          <w:sz w:val="20"/>
          <w:szCs w:val="20"/>
        </w:rPr>
        <w:t xml:space="preserve">Mieszanina nie zawiera substancji o właściwościach zaburzających funkcjonowanie układu hormonalnego w odniesieniu do środowiska w stężeniu ≥ 0,1% wag.</w:t>
      </w:r>
    </w:p>
    <w:p>
      <w:pPr>
        <w:spacing w:after="100" w:before="200"/>
      </w:pPr>
      <w:r>
        <w:rPr>
          <w:rFonts w:ascii="Arial" w:cs="Arial" w:eastAsia="Arial" w:hAnsi="Arial"/>
          <w:b/>
          <w:bCs/>
          <w:sz w:val="20"/>
          <w:szCs w:val="20"/>
        </w:rPr>
        <w:t xml:space="preserve">12.7. Inne szkodliwe skutki działania</w:t>
      </w:r>
    </w:p>
    <w:p>
      <w:pPr>
        <w:spacing w:after="80"/>
      </w:pPr>
      <w:r>
        <w:rPr>
          <w:rFonts w:ascii="Arial" w:cs="Arial" w:eastAsia="Arial" w:hAnsi="Arial"/>
          <w:sz w:val="20"/>
          <w:szCs w:val="20"/>
        </w:rPr>
        <w:t xml:space="preserve">Nie są znane żadne inne szkodliwe skutki działania na środowisko (brak potencjału niszczenia warstwy ozonowej, tworzenia ozonu fotochemicznego ani wpływu na globalne ocieplenie).</w:t>
      </w:r>
    </w:p>
    <w:p>
      <w:pPr>
        <w:pBdr>
          <w:bottom w:color="00A651" w:sz="12" w:space="1"/>
        </w:pBdr>
        <w:spacing w:after="150" w:before="300"/>
      </w:pPr>
      <w:r>
        <w:rPr>
          <w:b/>
          <w:bCs/>
          <w:sz w:val="22"/>
          <w:szCs w:val="22"/>
        </w:rPr>
        <w:t xml:space="preserve">SEKCJA 13: POSTĘPOWANIE Z ODPADAMI</w:t>
      </w:r>
    </w:p>
    <w:p>
      <w:pPr>
        <w:spacing w:after="100" w:before="200"/>
      </w:pPr>
      <w:r>
        <w:rPr>
          <w:rFonts w:ascii="Arial" w:cs="Arial" w:eastAsia="Arial" w:hAnsi="Arial"/>
          <w:b/>
          <w:bCs/>
          <w:sz w:val="20"/>
          <w:szCs w:val="20"/>
        </w:rPr>
        <w:t xml:space="preserve">13.1. Metody unieszkodliwiania odpadów</w:t>
      </w:r>
    </w:p>
    <w:p>
      <w:pPr>
        <w:spacing w:after="80" w:before="150"/>
      </w:pPr>
      <w:r>
        <w:rPr>
          <w:rFonts w:ascii="Arial" w:cs="Arial" w:eastAsia="Arial" w:hAnsi="Arial"/>
          <w:b/>
          <w:bCs/>
          <w:sz w:val="20"/>
          <w:szCs w:val="20"/>
        </w:rPr>
        <w:t xml:space="preserve">Zalecenia dotyczące produktu i pozostałości:</w:t>
      </w:r>
    </w:p>
    <w:p>
      <w:pPr>
        <w:spacing w:after="80"/>
      </w:pPr>
      <w:r>
        <w:rPr>
          <w:rFonts w:ascii="Arial" w:cs="Arial" w:eastAsia="Arial" w:hAnsi="Arial"/>
          <w:sz w:val="20"/>
          <w:szCs w:val="20"/>
        </w:rPr>
        <w:t xml:space="preserve">Odzyskać, jeśli to możliwe. Nie wprowadzać do kanalizacji, wód powierzchniowych, gruntowych ani gleby. Pozostałości produktu oraz odpady należy poddać odzyskowi lub unieszkodliwianiu w uprawnionych instalacjach (np. spalarniach termicznych lub wyspecjalizowanych zakładach utylizacji odpadów) posiadających stosowne zezwolenia na prowadzenie gospodarki odpadami zgodnie z obowiązującymi przepisami.</w:t>
      </w:r>
    </w:p>
    <w:p>
      <w:pPr>
        <w:spacing w:after="80" w:before="150"/>
      </w:pPr>
      <w:r>
        <w:rPr>
          <w:rFonts w:ascii="Arial" w:cs="Arial" w:eastAsia="Arial" w:hAnsi="Arial"/>
          <w:b/>
          <w:bCs/>
          <w:sz w:val="20"/>
          <w:szCs w:val="20"/>
        </w:rPr>
        <w:t xml:space="preserve">Zalecenia dotyczące odpadów opakowaniowych:</w:t>
      </w:r>
    </w:p>
    <w:p>
      <w:pPr>
        <w:spacing w:after="80"/>
      </w:pPr>
      <w:r>
        <w:rPr>
          <w:rFonts w:ascii="Arial" w:cs="Arial" w:eastAsia="Arial" w:hAnsi="Arial"/>
          <w:sz w:val="20"/>
          <w:szCs w:val="20"/>
        </w:rPr>
        <w:t xml:space="preserve">Całkowicie opróżnione opakowania poddać procesowi odzysku lub recyklingu materiałowego w ramach selektywnej zbiórki odpadów. Opakowania zanieczyszczone pozostałościami produktu traktować zgodnie z ich stopniem skażenia – w przypadku substancji niebezpiecznych likwidować jak sam produkt u uprawnionego odbiorcy odpadów.</w:t>
      </w:r>
    </w:p>
    <w:p>
      <w:pPr>
        <w:spacing w:after="80" w:before="150"/>
      </w:pPr>
      <w:r>
        <w:rPr>
          <w:rFonts w:ascii="Arial" w:cs="Arial" w:eastAsia="Arial" w:hAnsi="Arial"/>
          <w:b/>
          <w:bCs/>
          <w:sz w:val="20"/>
          <w:szCs w:val="20"/>
        </w:rPr>
        <w:t xml:space="preserve">Klasyfikacja i kody odpadów (Katalog Odpadów Dz.U. 2020 poz. 10):</w:t>
      </w:r>
    </w:p>
    <w:p>
      <w:pPr>
        <w:spacing w:after="60" w:before="60"/>
      </w:pPr>
      <w:r>
        <w:rPr>
          <w:rFonts w:ascii="Arial" w:cs="Arial" w:eastAsia="Arial" w:hAnsi="Arial"/>
          <w:b/>
          <w:bCs/>
          <w:sz w:val="20"/>
          <w:szCs w:val="20"/>
        </w:rPr>
        <w:t xml:space="preserve">- Odpady z produktu (dla zastosowań profesjonalnych / przemysłowych):</w:t>
      </w:r>
      <w:r>
        <w:rPr>
          <w:rFonts w:ascii="Arial" w:cs="Arial" w:eastAsia="Arial" w:hAnsi="Arial"/>
          <w:sz w:val="20"/>
          <w:szCs w:val="20"/>
        </w:rPr>
        <w:t xml:space="preserve"> 14 06 03* (Inne rozpuszczalniki i mieszaniny rozpuszczalników).</w:t>
      </w:r>
    </w:p>
    <w:p>
      <w:pPr>
        <w:spacing w:after="60" w:before="60"/>
      </w:pPr>
      <w:r>
        <w:rPr>
          <w:rFonts w:ascii="Arial" w:cs="Arial" w:eastAsia="Arial" w:hAnsi="Arial"/>
          <w:b/>
          <w:bCs/>
          <w:sz w:val="20"/>
          <w:szCs w:val="20"/>
        </w:rPr>
        <w:t xml:space="preserve">- Odpady z produktu (dla konsumentów / odpady komunalne):</w:t>
      </w:r>
      <w:r>
        <w:rPr>
          <w:rFonts w:ascii="Arial" w:cs="Arial" w:eastAsia="Arial" w:hAnsi="Arial"/>
          <w:sz w:val="20"/>
          <w:szCs w:val="20"/>
        </w:rPr>
        <w:t xml:space="preserve"> 20 01 13* (Rozpuszczalniki).</w:t>
      </w:r>
    </w:p>
    <w:p>
      <w:pPr>
        <w:spacing w:after="60" w:before="60"/>
      </w:pPr>
      <w:r>
        <w:rPr>
          <w:rFonts w:ascii="Arial" w:cs="Arial" w:eastAsia="Arial" w:hAnsi="Arial"/>
          <w:b/>
          <w:bCs/>
          <w:sz w:val="20"/>
          <w:szCs w:val="20"/>
        </w:rPr>
        <w:t xml:space="preserve">- Odpady opakowaniowe:</w:t>
      </w:r>
      <w:r>
        <w:rPr>
          <w:rFonts w:ascii="Arial" w:cs="Arial" w:eastAsia="Arial" w:hAnsi="Arial"/>
          <w:sz w:val="20"/>
          <w:szCs w:val="20"/>
        </w:rPr>
        <w:t xml:space="preserve"> 15 01 02 (Opakowania z tworzyw sztucznych) [w przypadku opakowań zanieczyszczonych substancjami niebezpiecznymi: 15 01 10*].</w:t>
      </w:r>
    </w:p>
    <w:p>
      <w:pPr>
        <w:spacing w:after="80" w:before="80"/>
      </w:pPr>
      <w:r>
        <w:rPr>
          <w:rFonts w:ascii="Arial" w:cs="Arial" w:eastAsia="Arial" w:hAnsi="Arial"/>
          <w:b/>
          <w:bCs/>
          <w:sz w:val="20"/>
          <w:szCs w:val="20"/>
        </w:rPr>
        <w:t xml:space="preserve">Uwaga:</w:t>
      </w:r>
      <w:r>
        <w:rPr>
          <w:rFonts w:ascii="Arial" w:cs="Arial" w:eastAsia="Arial" w:hAnsi="Arial"/>
          <w:sz w:val="20"/>
          <w:szCs w:val="20"/>
        </w:rPr>
        <w:t xml:space="preserve"> Podane kody odpadów mają charakter zalecany. Szczegółowy i ostateczny kod odpadu musi zostać nadany bezpośrednio przez wytwórcę odpadu, w oparciu o miejsce, branżę i specyfikę jego powstawania (BDO).</w:t>
      </w:r>
    </w:p>
    <w:p>
      <w:pPr>
        <w:spacing w:after="80" w:before="150"/>
      </w:pPr>
      <w:r>
        <w:rPr>
          <w:rFonts w:ascii="Arial" w:cs="Arial" w:eastAsia="Arial" w:hAnsi="Arial"/>
          <w:b/>
          <w:bCs/>
          <w:sz w:val="20"/>
          <w:szCs w:val="20"/>
        </w:rPr>
        <w:t xml:space="preserve">Krajowe i unijne akty prawne dotyczące gospodarki odpadami:</w:t>
      </w:r>
    </w:p>
    <w:p>
      <w:pPr>
        <w:spacing w:after="80"/>
      </w:pPr>
      <w:r>
        <w:rPr>
          <w:rFonts w:ascii="Arial" w:cs="Arial" w:eastAsia="Arial" w:hAnsi="Arial"/>
          <w:sz w:val="20"/>
          <w:szCs w:val="20"/>
        </w:rPr>
        <w:t xml:space="preserve">- Ustawa z dnia 14 grudnia 2012 r. o odpadach (t.j. Dz.U. 2023 poz. 1587 z późn. zm.).</w:t>
      </w:r>
    </w:p>
    <w:p>
      <w:pPr>
        <w:spacing w:after="80"/>
      </w:pPr>
      <w:r>
        <w:rPr>
          <w:rFonts w:ascii="Arial" w:cs="Arial" w:eastAsia="Arial" w:hAnsi="Arial"/>
          <w:sz w:val="20"/>
          <w:szCs w:val="20"/>
        </w:rPr>
        <w:t xml:space="preserve">- Ustawa z dnia 13 czerwca 2013 r. o gospodarce opakowaniami i odpadami opakowaniowymi (t.j. Dz.U. 2023 poz. 1658 z późn. zm.).</w:t>
      </w:r>
    </w:p>
    <w:p>
      <w:pPr>
        <w:spacing w:after="80"/>
      </w:pPr>
      <w:r>
        <w:rPr>
          <w:rFonts w:ascii="Arial" w:cs="Arial" w:eastAsia="Arial" w:hAnsi="Arial"/>
          <w:sz w:val="20"/>
          <w:szCs w:val="20"/>
        </w:rPr>
        <w:t xml:space="preserve">- Rozporządzenie Ministra Klimatu z dnia 2 stycznia 2020 r. w sprawie katalogu odpadów (Dz.U. 2020 poz. 10).</w:t>
      </w:r>
    </w:p>
    <w:p>
      <w:pPr>
        <w:spacing w:after="80"/>
      </w:pPr>
      <w:r>
        <w:rPr>
          <w:rFonts w:ascii="Arial" w:cs="Arial" w:eastAsia="Arial" w:hAnsi="Arial"/>
          <w:sz w:val="20"/>
          <w:szCs w:val="20"/>
        </w:rPr>
        <w:t xml:space="preserve">- Dyrektywa Parlamentu Europejskiego i Rady 2008/98/WE z dnia 19 listopada 2008 r. w sprawie odpadów oraz uchylająca niektóre dyrektywy.</w:t>
      </w:r>
    </w:p>
    <w:p>
      <w:pPr>
        <w:pBdr>
          <w:bottom w:color="00A651" w:sz="12" w:space="1"/>
        </w:pBdr>
        <w:spacing w:after="150" w:before="300"/>
      </w:pPr>
      <w:r>
        <w:rPr>
          <w:b/>
          <w:bCs/>
          <w:sz w:val="22"/>
          <w:szCs w:val="22"/>
        </w:rPr>
        <w:t xml:space="preserve">SEKCJA 14: INFORMACJE DOTYCZĄCE TRANSPORTU</w:t>
      </w:r>
    </w:p>
    <w:p>
      <w:pPr>
        <w:spacing w:after="80"/>
      </w:pPr>
      <w:r>
        <w:rPr>
          <w:rFonts w:ascii="Arial" w:cs="Arial" w:eastAsia="Arial" w:hAnsi="Arial"/>
          <w:sz w:val="20"/>
          <w:szCs w:val="20"/>
        </w:rPr>
        <w:t xml:space="preserve">Produkt podlega przepisom dotyczącym międzynarodowego przewozu towarów niebezpiecznych (ADR/RID, IMDG, ICAO/IATA).</w:t>
      </w:r>
    </w:p>
    <w:p>
      <w:pPr>
        <w:spacing w:after="100" w:before="200"/>
      </w:pPr>
      <w:r>
        <w:rPr>
          <w:rFonts w:ascii="Arial" w:cs="Arial" w:eastAsia="Arial" w:hAnsi="Arial"/>
          <w:b/>
          <w:bCs/>
          <w:sz w:val="20"/>
          <w:szCs w:val="20"/>
        </w:rPr>
        <w:t xml:space="preserve">14.1. Numer UN lub numer identyfikacyjny ID</w:t>
      </w:r>
    </w:p>
    <w:p>
      <w:pPr>
        <w:spacing w:after="80"/>
      </w:pPr>
      <w:r>
        <w:rPr>
          <w:rFonts w:ascii="Arial" w:cs="Arial" w:eastAsia="Arial" w:hAnsi="Arial"/>
          <w:sz w:val="20"/>
          <w:szCs w:val="20"/>
        </w:rPr>
        <w:t xml:space="preserve">UN 1170</w:t>
      </w:r>
    </w:p>
    <w:p>
      <w:pPr>
        <w:spacing w:after="100" w:before="200"/>
      </w:pPr>
      <w:r>
        <w:rPr>
          <w:rFonts w:ascii="Arial" w:cs="Arial" w:eastAsia="Arial" w:hAnsi="Arial"/>
          <w:b/>
          <w:bCs/>
          <w:sz w:val="20"/>
          <w:szCs w:val="20"/>
        </w:rPr>
        <w:t xml:space="preserve">14.2. Prawidłowa nazwa przewozowa UN</w:t>
      </w:r>
    </w:p>
    <w:p>
      <w:pPr>
        <w:spacing w:after="80"/>
      </w:pPr>
      <w:r>
        <w:rPr>
          <w:rFonts w:ascii="Arial" w:cs="Arial" w:eastAsia="Arial" w:hAnsi="Arial"/>
          <w:sz w:val="20"/>
          <w:szCs w:val="20"/>
        </w:rPr>
        <w:t xml:space="preserve">ETANOL (ALKOHOL ETYLOWY) lub ETANOL W ROZTWORZE (ALKOHOL ETYLOWY W ROZTWORZE)</w:t>
      </w:r>
    </w:p>
    <w:p>
      <w:pPr>
        <w:spacing w:after="80" w:before="200"/>
      </w:pPr>
      <w:r>
        <w:rPr>
          <w:rFonts w:ascii="Arial" w:cs="Arial" w:eastAsia="Arial" w:hAnsi="Arial"/>
          <w:b/>
          <w:bCs/>
          <w:sz w:val="20"/>
          <w:szCs w:val="20"/>
        </w:rPr>
        <w:t xml:space="preserve">14.3. Klasa(-y) zagrożenia w transporcie</w:t>
      </w:r>
    </w:p>
    <w:p>
      <w:pPr>
        <w:spacing w:after="100" w:before="60"/>
      </w:pPr>
      <w:r>
        <w:drawing>
          <wp:inline distT="0" distB="0" distL="0" distR="0">
            <wp:extent cx="714375"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14375" cy="714375"/>
                    </a:xfrm>
                    <a:prstGeom prst="rect">
                      <a:avLst/>
                    </a:prstGeom>
                  </pic:spPr>
                </pic:pic>
              </a:graphicData>
            </a:graphic>
          </wp:inline>
        </w:drawing>
      </w:r>
    </w:p>
    <w:p>
      <w:pPr>
        <w:spacing w:after="80"/>
      </w:pPr>
      <w:r>
        <w:rPr>
          <w:rFonts w:ascii="Arial" w:cs="Arial" w:eastAsia="Arial" w:hAnsi="Arial"/>
          <w:sz w:val="20"/>
          <w:szCs w:val="20"/>
        </w:rPr>
        <w:t xml:space="preserve">ADR / RID, IMDG, IATA: Klasa 3 (Materiały ciekłe zapalne)</w:t>
      </w:r>
    </w:p>
    <w:p>
      <w:pPr>
        <w:spacing w:after="80" w:before="80"/>
      </w:pPr>
      <w:r>
        <w:rPr>
          <w:rFonts w:ascii="Arial" w:cs="Arial" w:eastAsia="Arial" w:hAnsi="Arial"/>
          <w:b/>
          <w:bCs/>
          <w:sz w:val="20"/>
          <w:szCs w:val="20"/>
        </w:rPr>
        <w:t xml:space="preserve">Nalepka ostrzegawcza:</w:t>
      </w:r>
      <w:r>
        <w:rPr>
          <w:rFonts w:ascii="Arial" w:cs="Arial" w:eastAsia="Arial" w:hAnsi="Arial"/>
          <w:sz w:val="20"/>
          <w:szCs w:val="20"/>
        </w:rPr>
        <w:t xml:space="preserve"> Nr 3</w:t>
      </w:r>
    </w:p>
    <w:p>
      <w:pPr>
        <w:spacing w:after="100" w:before="200"/>
      </w:pPr>
      <w:r>
        <w:rPr>
          <w:rFonts w:ascii="Arial" w:cs="Arial" w:eastAsia="Arial" w:hAnsi="Arial"/>
          <w:b/>
          <w:bCs/>
          <w:sz w:val="20"/>
          <w:szCs w:val="20"/>
        </w:rPr>
        <w:t xml:space="preserve">14.4. Grupa pakowania</w:t>
      </w:r>
    </w:p>
    <w:p>
      <w:pPr>
        <w:spacing w:after="80"/>
      </w:pPr>
      <w:r>
        <w:rPr>
          <w:rFonts w:ascii="Arial" w:cs="Arial" w:eastAsia="Arial" w:hAnsi="Arial"/>
          <w:sz w:val="20"/>
          <w:szCs w:val="20"/>
        </w:rPr>
        <w:t xml:space="preserve">Grupa pakowania ADR / RID, IMDG, IATA: II</w:t>
      </w:r>
    </w:p>
    <w:p>
      <w:pPr>
        <w:spacing w:after="100" w:before="200"/>
      </w:pPr>
      <w:r>
        <w:rPr>
          <w:rFonts w:ascii="Arial" w:cs="Arial" w:eastAsia="Arial" w:hAnsi="Arial"/>
          <w:b/>
          <w:bCs/>
          <w:sz w:val="20"/>
          <w:szCs w:val="20"/>
        </w:rPr>
        <w:t xml:space="preserve">14.5. Zagrożenia dla środowiska</w:t>
      </w:r>
    </w:p>
    <w:p>
      <w:pPr>
        <w:spacing w:after="80"/>
      </w:pPr>
      <w:r>
        <w:rPr>
          <w:rFonts w:ascii="Arial" w:cs="Arial" w:eastAsia="Arial" w:hAnsi="Arial"/>
          <w:sz w:val="20"/>
          <w:szCs w:val="20"/>
        </w:rPr>
        <w:t xml:space="preserve">Brak (produkt nie jest zaklasyfikowany jako stwarzający zagrożenie dla środowiska w transporcie).</w:t>
      </w:r>
    </w:p>
    <w:p>
      <w:pPr>
        <w:spacing w:after="100" w:before="200"/>
      </w:pPr>
      <w:r>
        <w:rPr>
          <w:rFonts w:ascii="Arial" w:cs="Arial" w:eastAsia="Arial" w:hAnsi="Arial"/>
          <w:b/>
          <w:bCs/>
          <w:sz w:val="20"/>
          <w:szCs w:val="20"/>
        </w:rPr>
        <w:t xml:space="preserve">14.6. Szczególne środki ostrożności dla użytkowników</w:t>
      </w:r>
    </w:p>
    <w:p>
      <w:pPr>
        <w:spacing w:after="60" w:before="80"/>
      </w:pPr>
      <w:r>
        <w:rPr>
          <w:rFonts w:ascii="Arial" w:cs="Arial" w:eastAsia="Arial" w:hAnsi="Arial"/>
          <w:b/>
          <w:bCs/>
          <w:sz w:val="20"/>
          <w:szCs w:val="20"/>
        </w:rPr>
        <w:t xml:space="preserve">Ilości ograniczone (LQ): </w:t>
      </w:r>
      <w:r>
        <w:rPr>
          <w:rFonts w:ascii="Arial" w:cs="Arial" w:eastAsia="Arial" w:hAnsi="Arial"/>
          <w:sz w:val="20"/>
          <w:szCs w:val="20"/>
        </w:rPr>
        <w:t xml:space="preserve">1 L</w:t>
      </w:r>
    </w:p>
    <w:p>
      <w:pPr>
        <w:spacing w:after="80" w:before="40"/>
      </w:pP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66750" cy="666750"/>
                    </a:xfrm>
                    <a:prstGeom prst="rect">
                      <a:avLst/>
                    </a:prstGeom>
                  </pic:spPr>
                </pic:pic>
              </a:graphicData>
            </a:graphic>
          </wp:inline>
        </w:drawing>
      </w:r>
      <w:r>
        <w:rPr>
          <w:rFonts w:ascii="Arial" w:cs="Arial" w:eastAsia="Arial" w:hAnsi="Arial"/>
          <w:i/>
          <w:iCs/>
          <w:sz w:val="16"/>
          <w:szCs w:val="16"/>
        </w:rPr>
        <w:t xml:space="preserve">  Znak dla towarów pakowanych w ilościach ograniczonych (LQ) zgodnie z działem 3.4 Umowy ADR</w:t>
      </w:r>
    </w:p>
    <w:p>
      <w:pPr>
        <w:spacing w:after="80" w:before="80"/>
      </w:pPr>
      <w:r>
        <w:rPr>
          <w:rFonts w:ascii="Arial" w:cs="Arial" w:eastAsia="Arial" w:hAnsi="Arial"/>
          <w:b/>
          <w:bCs/>
          <w:sz w:val="20"/>
          <w:szCs w:val="20"/>
        </w:rPr>
        <w:t xml:space="preserve">Kod ograniczeń przewozu przez tunele:</w:t>
      </w:r>
      <w:r>
        <w:rPr>
          <w:rFonts w:ascii="Arial" w:cs="Arial" w:eastAsia="Arial" w:hAnsi="Arial"/>
          <w:sz w:val="20"/>
          <w:szCs w:val="20"/>
        </w:rPr>
        <w:t xml:space="preserve"> (D/E)</w:t>
      </w:r>
    </w:p>
    <w:p>
      <w:pPr>
        <w:spacing w:after="80"/>
      </w:pPr>
      <w:r>
        <w:rPr>
          <w:rFonts w:ascii="Arial" w:cs="Arial" w:eastAsia="Arial" w:hAnsi="Arial"/>
          <w:sz w:val="20"/>
          <w:szCs w:val="20"/>
        </w:rPr>
        <w:t xml:space="preserve">Transportować w szczelnie zamkniętych, certyfikowanych opakowaniach, zabezpieczonych przed przemieszczaniem i uszkodzeniami mechanicznymi.</w:t>
      </w:r>
    </w:p>
    <w:p>
      <w:pPr>
        <w:spacing w:after="80"/>
      </w:pPr>
      <w:r>
        <w:rPr>
          <w:rFonts w:ascii="Arial" w:cs="Arial" w:eastAsia="Arial" w:hAnsi="Arial"/>
          <w:sz w:val="20"/>
          <w:szCs w:val="20"/>
        </w:rPr>
        <w:t xml:space="preserve">Kierowca powinien posiadać stosowne uprawnienia ADR oraz wymagane wyposażenie ochronne pojazdu.</w:t>
      </w:r>
    </w:p>
    <w:p>
      <w:pPr>
        <w:spacing w:after="100" w:before="200"/>
      </w:pPr>
      <w:r>
        <w:rPr>
          <w:rFonts w:ascii="Arial" w:cs="Arial" w:eastAsia="Arial" w:hAnsi="Arial"/>
          <w:b/>
          <w:bCs/>
          <w:sz w:val="20"/>
          <w:szCs w:val="20"/>
        </w:rPr>
        <w:t xml:space="preserve">14.7. Transport morski luzem zgodnie z instrumentami IMO</w:t>
      </w:r>
    </w:p>
    <w:p>
      <w:pPr>
        <w:spacing w:after="80"/>
      </w:pPr>
      <w:r>
        <w:rPr>
          <w:rFonts w:ascii="Arial" w:cs="Arial" w:eastAsia="Arial" w:hAnsi="Arial"/>
          <w:sz w:val="20"/>
          <w:szCs w:val="20"/>
        </w:rPr>
        <w:t xml:space="preserve">Nie dotyczy (produkt nie jest przewożony luzem w chemikaliowcach morskich).</w:t>
      </w:r>
    </w:p>
    <w:p>
      <w:pPr>
        <w:pBdr>
          <w:bottom w:color="00A651" w:sz="12" w:space="1"/>
        </w:pBdr>
        <w:spacing w:after="150" w:before="300"/>
      </w:pPr>
      <w:r>
        <w:rPr>
          <w:b/>
          <w:bCs/>
          <w:sz w:val="22"/>
          <w:szCs w:val="22"/>
        </w:rPr>
        <w:t xml:space="preserve">SEKCJA 15: INFORMACJE DOTYCZĄCE PRZEPISÓW PRAWNYCH</w:t>
      </w:r>
    </w:p>
    <w:p>
      <w:pPr>
        <w:spacing w:after="100" w:before="200"/>
      </w:pPr>
      <w:r>
        <w:rPr>
          <w:rFonts w:ascii="Arial" w:cs="Arial" w:eastAsia="Arial" w:hAnsi="Arial"/>
          <w:b/>
          <w:bCs/>
          <w:sz w:val="20"/>
          <w:szCs w:val="20"/>
        </w:rPr>
        <w:t xml:space="preserve">15.1. Przepisy prawne dotyczące bezpieczeństwa, zdrowia i ochrony środowiska specyficzne dla substancji lub mieszaniny</w:t>
      </w:r>
    </w:p>
    <w:p>
      <w:pPr>
        <w:spacing w:after="80" w:before="150"/>
      </w:pPr>
      <w:r>
        <w:rPr>
          <w:rFonts w:ascii="Arial" w:cs="Arial" w:eastAsia="Arial" w:hAnsi="Arial"/>
          <w:b/>
          <w:bCs/>
          <w:sz w:val="20"/>
          <w:szCs w:val="20"/>
        </w:rPr>
        <w:t xml:space="preserve">Prawodawstwo Unii Europejskiej:</w:t>
      </w:r>
    </w:p>
    <w:p>
      <w:pPr>
        <w:spacing w:after="80"/>
      </w:pPr>
      <w:r>
        <w:rPr>
          <w:rFonts w:ascii="Arial" w:cs="Arial" w:eastAsia="Arial" w:hAnsi="Arial"/>
          <w:sz w:val="20"/>
          <w:szCs w:val="20"/>
        </w:rPr>
        <w:t xml:space="preserve">- Rozporządzenie (WE) nr 1907/2006 Parlamentu Europejskiego i Rady z dnia 18 grudnia 2006 r. w sprawie rejestracji, oceny, udzielania zezwoleń i stosowanych ograniczeń w zakresie chemikaliów (REACH) z późniejszymi zmianami.</w:t>
      </w:r>
    </w:p>
    <w:p>
      <w:pPr>
        <w:spacing w:after="80"/>
      </w:pPr>
      <w:r>
        <w:rPr>
          <w:rFonts w:ascii="Arial" w:cs="Arial" w:eastAsia="Arial" w:hAnsi="Arial"/>
          <w:sz w:val="20"/>
          <w:szCs w:val="20"/>
        </w:rPr>
        <w:t xml:space="preserve">- Rozporządzenie Komisji (UE) 2020/878 z dnia 18 czerwca 2020 r. zmieniające załącznik II do rozporządzenia (WE) nr 1907/2006 (wymogi dotyczące sporządzania kart charakterystyki).</w:t>
      </w:r>
    </w:p>
    <w:p>
      <w:pPr>
        <w:spacing w:after="80"/>
      </w:pPr>
      <w:r>
        <w:rPr>
          <w:rFonts w:ascii="Arial" w:cs="Arial" w:eastAsia="Arial" w:hAnsi="Arial"/>
          <w:sz w:val="20"/>
          <w:szCs w:val="20"/>
        </w:rPr>
        <w:t xml:space="preserve">- Rozporządzenie Parlamentu Europejskiego i Rady (WE) nr 1272/2008 z dnia 16 grudnia 2008 r. w sprawie klasyfikacji, oznakowania i pakowania substancji i mieszanin (CLP) z późniejszymi zmianami (kolejne ATP).</w:t>
      </w:r>
    </w:p>
    <w:p>
      <w:pPr>
        <w:spacing w:after="60" w:before="60"/>
      </w:pPr>
      <w:r>
        <w:rPr>
          <w:rFonts w:ascii="Arial" w:cs="Arial" w:eastAsia="Arial" w:hAnsi="Arial"/>
          <w:b/>
          <w:bCs/>
          <w:sz w:val="20"/>
          <w:szCs w:val="20"/>
        </w:rPr>
        <w:t xml:space="preserve">- Substancje wzbudzające szczególnie duże obawy (SVHC – REACH załącznik XIV):</w:t>
      </w:r>
      <w:r>
        <w:rPr>
          <w:rFonts w:ascii="Arial" w:cs="Arial" w:eastAsia="Arial" w:hAnsi="Arial"/>
          <w:sz w:val="20"/>
          <w:szCs w:val="20"/>
        </w:rPr>
        <w:t xml:space="preserve"> Mieszanina nie zawiera substancji z listy kandydackiej SVHC podlegających procedurze udzielania zezwoleń (REACH załącznik XIV) w stężeniu ≥ 0,1% wag.</w:t>
      </w:r>
    </w:p>
    <w:p>
      <w:pPr>
        <w:spacing w:after="60" w:before="60"/>
      </w:pPr>
      <w:r>
        <w:rPr>
          <w:rFonts w:ascii="Arial" w:cs="Arial" w:eastAsia="Arial" w:hAnsi="Arial"/>
          <w:b/>
          <w:bCs/>
          <w:sz w:val="20"/>
          <w:szCs w:val="20"/>
        </w:rPr>
        <w:t xml:space="preserve">- Ograniczenia dotyczące produkcji, wprowadzania do obrotu i stosowania niektórych niebezpiecznych substancji (REACH załącznik XVII):</w:t>
      </w:r>
      <w:r>
        <w:rPr>
          <w:rFonts w:ascii="Arial" w:cs="Arial" w:eastAsia="Arial" w:hAnsi="Arial"/>
          <w:sz w:val="20"/>
          <w:szCs w:val="20"/>
        </w:rPr>
        <w:t xml:space="preserve"/>
      </w:r>
    </w:p>
    <w:p>
      <w:pPr>
        <w:spacing w:after="80"/>
      </w:pPr>
      <w:r>
        <w:rPr>
          <w:rFonts w:ascii="Arial" w:cs="Arial" w:eastAsia="Arial" w:hAnsi="Arial"/>
          <w:sz w:val="20"/>
          <w:szCs w:val="20"/>
        </w:rPr>
        <w:t xml:space="preserve">* Produkt podlega ograniczeniom wynikającym z pozycji 3 (Ciekłe substancje lub mieszaniny stwarzające zagrożenie w rozumieniu rozporządzenia CLP) oraz pozycji 40 (Substancje zaklasyfikowane jako ciecze łatwopalne kategorii 1, 2 lub 3).</w:t>
      </w:r>
    </w:p>
    <w:p>
      <w:pPr>
        <w:spacing w:after="80"/>
      </w:pPr>
      <w:r>
        <w:rPr>
          <w:rFonts w:ascii="Arial" w:cs="Arial" w:eastAsia="Arial" w:hAnsi="Arial"/>
          <w:sz w:val="20"/>
          <w:szCs w:val="20"/>
        </w:rPr>
        <w:t xml:space="preserve">* Substancje zawarte w mieszaninie podlegają ograniczeniom wynikającym z pozycji 75 (Substancje w tuszach do tatuażu i makijażu permanentnego).</w:t>
      </w:r>
    </w:p>
    <w:p>
      <w:pPr>
        <w:spacing w:after="60" w:before="60"/>
      </w:pPr>
      <w:r>
        <w:rPr>
          <w:rFonts w:ascii="Arial" w:cs="Arial" w:eastAsia="Arial" w:hAnsi="Arial"/>
          <w:b/>
          <w:bCs/>
          <w:sz w:val="20"/>
          <w:szCs w:val="20"/>
        </w:rPr>
        <w:t xml:space="preserve">- Dyrektywa Seveso III (2012/18/UE) / Rozporządzenie Ministra Rozwoju z dnia 29 stycznia 2016 r. (Dz.U. 2016 poz. 138):</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Kategoria zagrożenia:</w:t>
      </w:r>
      <w:r>
        <w:rPr>
          <w:rFonts w:ascii="Arial" w:cs="Arial" w:eastAsia="Arial" w:hAnsi="Arial"/>
          <w:sz w:val="20"/>
          <w:szCs w:val="20"/>
        </w:rPr>
        <w:t xml:space="preserve"> P5c CIECZE ŁATWOPALNE.</w:t>
      </w:r>
    </w:p>
    <w:p>
      <w:pPr>
        <w:spacing w:after="60" w:before="60"/>
      </w:pPr>
      <w:r>
        <w:rPr>
          <w:rFonts w:ascii="Arial" w:cs="Arial" w:eastAsia="Arial" w:hAnsi="Arial"/>
          <w:b/>
          <w:bCs/>
          <w:sz w:val="20"/>
          <w:szCs w:val="20"/>
        </w:rPr>
        <w:t xml:space="preserve">* Ilości progowe substancji niebezpiecznych decydujące o zaliczeniu zakładu:</w:t>
      </w:r>
      <w:r>
        <w:rPr>
          <w:rFonts w:ascii="Arial" w:cs="Arial" w:eastAsia="Arial" w:hAnsi="Arial"/>
          <w:sz w:val="20"/>
          <w:szCs w:val="20"/>
        </w:rPr>
        <w:t xml:space="preserve"> Zakład o Zwiększonym Ryzyku (ZZR) – 5 000 t; Zakład o Dużym Ryzyku (ZDR) – 50 000 t.</w:t>
      </w:r>
    </w:p>
    <w:p>
      <w:pPr>
        <w:spacing w:after="60" w:before="60"/>
      </w:pPr>
      <w:r>
        <w:rPr>
          <w:rFonts w:ascii="Arial" w:cs="Arial" w:eastAsia="Arial" w:hAnsi="Arial"/>
          <w:b/>
          <w:bCs/>
          <w:sz w:val="20"/>
          <w:szCs w:val="20"/>
        </w:rPr>
        <w:t xml:space="preserve">- Rozporządzenie Parlamentu Europejskiego i Rady (UE) nr 649/2012 z dnia 4 lipca 2012 r. dotyczące wywozu i przywozu niebezpiecznych chemikaliów (PIC):</w:t>
      </w:r>
      <w:r>
        <w:rPr>
          <w:rFonts w:ascii="Arial" w:cs="Arial" w:eastAsia="Arial" w:hAnsi="Arial"/>
          <w:sz w:val="20"/>
          <w:szCs w:val="20"/>
        </w:rPr>
        <w:t xml:space="preserve"> Nie dotyczy.</w:t>
      </w:r>
    </w:p>
    <w:p>
      <w:pPr>
        <w:spacing w:after="80" w:before="150"/>
      </w:pPr>
      <w:r>
        <w:rPr>
          <w:rFonts w:ascii="Arial" w:cs="Arial" w:eastAsia="Arial" w:hAnsi="Arial"/>
          <w:b/>
          <w:bCs/>
          <w:sz w:val="20"/>
          <w:szCs w:val="20"/>
        </w:rPr>
        <w:t xml:space="preserve">Prawodawstwo Rzeczypospolitej Polskiej:</w:t>
      </w:r>
    </w:p>
    <w:p>
      <w:pPr>
        <w:spacing w:after="80"/>
      </w:pPr>
      <w:r>
        <w:rPr>
          <w:rFonts w:ascii="Arial" w:cs="Arial" w:eastAsia="Arial" w:hAnsi="Arial"/>
          <w:sz w:val="20"/>
          <w:szCs w:val="20"/>
        </w:rPr>
        <w:t xml:space="preserve">- Ustawa z dnia 25 lutego 2011 r. o substancjach chemicznych i ich mieszaninach (t.j. Dz.U. 2022 poz. 1816 z późn. zm.).</w:t>
      </w:r>
    </w:p>
    <w:p>
      <w:pPr>
        <w:spacing w:after="80"/>
      </w:pPr>
      <w:r>
        <w:rPr>
          <w:rFonts w:ascii="Arial" w:cs="Arial" w:eastAsia="Arial" w:hAnsi="Arial"/>
          <w:sz w:val="20"/>
          <w:szCs w:val="20"/>
        </w:rPr>
        <w:t xml:space="preserve">- Rozporządzenie Ministra Rodziny, Pracy i Polityki Społecznej z dnia 12 czerwca 2018 r. w sprawie najwyższych dopuszczalnych stężeń i natężeń czynników szkodliwych dla zdrowia w środowisku pracy (Dz.U. 2018 poz. 1286 z późn. zm.).</w:t>
      </w:r>
    </w:p>
    <w:p>
      <w:pPr>
        <w:spacing w:after="80"/>
      </w:pPr>
      <w:r>
        <w:rPr>
          <w:rFonts w:ascii="Arial" w:cs="Arial" w:eastAsia="Arial" w:hAnsi="Arial"/>
          <w:sz w:val="20"/>
          <w:szCs w:val="20"/>
        </w:rPr>
        <w:t xml:space="preserve">- Ustawa z dnia 14 grudnia 2012 r. o odpadach (t.j. Dz.U. 2023 poz. 1587 z późn. zm.).</w:t>
      </w:r>
    </w:p>
    <w:p>
      <w:pPr>
        <w:spacing w:after="80"/>
      </w:pPr>
      <w:r>
        <w:rPr>
          <w:rFonts w:ascii="Arial" w:cs="Arial" w:eastAsia="Arial" w:hAnsi="Arial"/>
          <w:sz w:val="20"/>
          <w:szCs w:val="20"/>
        </w:rPr>
        <w:t xml:space="preserve">- Ustawa z dnia 13 czerwca 2013 r. o gospodarce opakowaniami i odpadami opakowaniowymi (t.j. Dz.U. 2023 poz. 1658 z późn. zm.).</w:t>
      </w:r>
    </w:p>
    <w:p>
      <w:pPr>
        <w:spacing w:after="80"/>
      </w:pPr>
      <w:r>
        <w:rPr>
          <w:rFonts w:ascii="Arial" w:cs="Arial" w:eastAsia="Arial" w:hAnsi="Arial"/>
          <w:sz w:val="20"/>
          <w:szCs w:val="20"/>
        </w:rPr>
        <w:t xml:space="preserve">- Rozporządzenie Ministra Klimatu z dnia 2 stycznia 2020 r. w sprawie katalogu odpadów (Dz.U. 2020 poz. 10).</w:t>
      </w:r>
    </w:p>
    <w:p>
      <w:pPr>
        <w:spacing w:after="80"/>
      </w:pPr>
      <w:r>
        <w:rPr>
          <w:rFonts w:ascii="Arial" w:cs="Arial" w:eastAsia="Arial" w:hAnsi="Arial"/>
          <w:sz w:val="20"/>
          <w:szCs w:val="20"/>
        </w:rPr>
        <w:t xml:space="preserve">- Ustawa z dnia 19 sierpnia 2011 r. o przewozie towarów niebezpiecznych (t.j. Dz.U. 2024 poz. 643 z późn. zm.) wraz z oświadczeniami rządowymi w sprawie Umowy europejskiej dotyczącej międzynarodowego przewozu drogowego towarów niebezpiecznych (ADR).</w:t>
      </w:r>
    </w:p>
    <w:p>
      <w:pPr>
        <w:spacing w:after="80"/>
      </w:pPr>
      <w:r>
        <w:rPr>
          <w:rFonts w:ascii="Arial" w:cs="Arial" w:eastAsia="Arial" w:hAnsi="Arial"/>
          <w:sz w:val="20"/>
          <w:szCs w:val="20"/>
        </w:rPr>
        <w:t xml:space="preserve">- Rozporządzenie Ministra Zdrowia z dnia 30 grudnia 2004 r. w sprawie bezpieczeństwa i higieny pracy związanej z występowaniem w miejscu pracy czynników chemicznych (t.j. Dz.U. 2016 poz. 1488).</w:t>
      </w:r>
    </w:p>
    <w:p>
      <w:pPr>
        <w:spacing w:after="80"/>
      </w:pPr>
      <w:r>
        <w:rPr>
          <w:rFonts w:ascii="Arial" w:cs="Arial" w:eastAsia="Arial" w:hAnsi="Arial"/>
          <w:sz w:val="20"/>
          <w:szCs w:val="20"/>
        </w:rPr>
        <w:t xml:space="preserve">- Rozporządzenie Ministra Zdrowia z dnia 2 lutego 2011 r. w sprawie badań i pomiarów czynników szkodliwych dla zdrowia w środowisku pracy (t.j. Dz.U. 2023 poz. 419).</w:t>
      </w:r>
    </w:p>
    <w:p>
      <w:pPr>
        <w:spacing w:after="80"/>
      </w:pPr>
      <w:r>
        <w:rPr>
          <w:rFonts w:ascii="Arial" w:cs="Arial" w:eastAsia="Arial" w:hAnsi="Arial"/>
          <w:sz w:val="20"/>
          <w:szCs w:val="20"/>
        </w:rPr>
        <w:t xml:space="preserve">- Ustawa z dnia 26 czerwca 1974 r. – Kodeks pracy (t.j. Dz.U. 2023 poz. 1465 z późn. zm.).</w:t>
      </w:r>
    </w:p>
    <w:p>
      <w:pPr>
        <w:spacing w:after="100" w:before="200"/>
      </w:pPr>
      <w:r>
        <w:rPr>
          <w:rFonts w:ascii="Arial" w:cs="Arial" w:eastAsia="Arial" w:hAnsi="Arial"/>
          <w:b/>
          <w:bCs/>
          <w:sz w:val="20"/>
          <w:szCs w:val="20"/>
        </w:rPr>
        <w:t xml:space="preserve">15.2. Ocena bezpieczeństwa chemicznego</w:t>
      </w:r>
    </w:p>
    <w:p>
      <w:pPr>
        <w:spacing w:after="80"/>
      </w:pPr>
      <w:r>
        <w:rPr>
          <w:rFonts w:ascii="Arial" w:cs="Arial" w:eastAsia="Arial" w:hAnsi="Arial"/>
          <w:sz w:val="20"/>
          <w:szCs w:val="20"/>
        </w:rPr>
        <w:t xml:space="preserve">Dla mieszaniny nie dokonano oceny bezpieczeństwa chemicznego (dla mieszanin nie jest ona wymagana zgodnie z art. 14 rozporządzenia REACH).</w:t>
      </w:r>
    </w:p>
    <w:p>
      <w:pPr>
        <w:pBdr>
          <w:bottom w:color="00A651" w:sz="12" w:space="1"/>
        </w:pBdr>
        <w:spacing w:after="150" w:before="300"/>
      </w:pPr>
      <w:r>
        <w:rPr>
          <w:b/>
          <w:bCs/>
          <w:sz w:val="22"/>
          <w:szCs w:val="22"/>
        </w:rPr>
        <w:t xml:space="preserve">SEKCJA 16: INNE INFORMACJE</w:t>
      </w:r>
    </w:p>
    <w:p>
      <w:pPr>
        <w:spacing w:after="80" w:before="150"/>
      </w:pPr>
      <w:r>
        <w:rPr>
          <w:rFonts w:ascii="Arial" w:cs="Arial" w:eastAsia="Arial" w:hAnsi="Arial"/>
          <w:b/>
          <w:bCs/>
          <w:sz w:val="20"/>
          <w:szCs w:val="20"/>
        </w:rPr>
        <w:t xml:space="preserve">Pełne brzmienie zwrotów H i EUH przytoczonych w sekcjach 2 i 3 karty charakterystyki:</w:t>
      </w:r>
    </w:p>
    <w:p>
      <w:pPr>
        <w:spacing w:after="80" w:before="80"/>
      </w:pPr>
      <w:r>
        <w:rPr>
          <w:rFonts w:ascii="Arial" w:cs="Arial" w:eastAsia="Arial" w:hAnsi="Arial"/>
          <w:b/>
          <w:bCs/>
          <w:sz w:val="20"/>
          <w:szCs w:val="20"/>
        </w:rPr>
        <w:t xml:space="preserve">H225:</w:t>
      </w:r>
      <w:r>
        <w:rPr>
          <w:rFonts w:ascii="Arial" w:cs="Arial" w:eastAsia="Arial" w:hAnsi="Arial"/>
          <w:sz w:val="20"/>
          <w:szCs w:val="20"/>
        </w:rPr>
        <w:t xml:space="preserve"> Wysoce łatwopalna ciecz i pary.</w:t>
      </w:r>
    </w:p>
    <w:p>
      <w:pPr>
        <w:spacing w:after="80" w:before="80"/>
      </w:pPr>
      <w:r>
        <w:rPr>
          <w:rFonts w:ascii="Arial" w:cs="Arial" w:eastAsia="Arial" w:hAnsi="Arial"/>
          <w:b/>
          <w:bCs/>
          <w:sz w:val="20"/>
          <w:szCs w:val="20"/>
        </w:rPr>
        <w:t xml:space="preserve">H226:</w:t>
      </w:r>
      <w:r>
        <w:rPr>
          <w:rFonts w:ascii="Arial" w:cs="Arial" w:eastAsia="Arial" w:hAnsi="Arial"/>
          <w:sz w:val="20"/>
          <w:szCs w:val="20"/>
        </w:rPr>
        <w:t xml:space="preserve"> Łatwopalna ciecz i pary.</w:t>
      </w:r>
    </w:p>
    <w:p>
      <w:pPr>
        <w:spacing w:after="80" w:before="80"/>
      </w:pPr>
      <w:r>
        <w:rPr>
          <w:rFonts w:ascii="Arial" w:cs="Arial" w:eastAsia="Arial" w:hAnsi="Arial"/>
          <w:b/>
          <w:bCs/>
          <w:sz w:val="20"/>
          <w:szCs w:val="20"/>
        </w:rPr>
        <w:t xml:space="preserve">H301:</w:t>
      </w:r>
      <w:r>
        <w:rPr>
          <w:rFonts w:ascii="Arial" w:cs="Arial" w:eastAsia="Arial" w:hAnsi="Arial"/>
          <w:sz w:val="20"/>
          <w:szCs w:val="20"/>
        </w:rPr>
        <w:t xml:space="preserve"> Działa toksycznie po połknięciu.</w:t>
      </w:r>
    </w:p>
    <w:p>
      <w:pPr>
        <w:spacing w:after="80" w:before="80"/>
      </w:pPr>
      <w:r>
        <w:rPr>
          <w:rFonts w:ascii="Arial" w:cs="Arial" w:eastAsia="Arial" w:hAnsi="Arial"/>
          <w:b/>
          <w:bCs/>
          <w:sz w:val="20"/>
          <w:szCs w:val="20"/>
        </w:rPr>
        <w:t xml:space="preserve">H302:</w:t>
      </w:r>
      <w:r>
        <w:rPr>
          <w:rFonts w:ascii="Arial" w:cs="Arial" w:eastAsia="Arial" w:hAnsi="Arial"/>
          <w:sz w:val="20"/>
          <w:szCs w:val="20"/>
        </w:rPr>
        <w:t xml:space="preserve"> Działa szkodliwie po połknięciu.</w:t>
      </w:r>
    </w:p>
    <w:p>
      <w:pPr>
        <w:spacing w:after="80" w:before="80"/>
      </w:pPr>
      <w:r>
        <w:rPr>
          <w:rFonts w:ascii="Arial" w:cs="Arial" w:eastAsia="Arial" w:hAnsi="Arial"/>
          <w:b/>
          <w:bCs/>
          <w:sz w:val="20"/>
          <w:szCs w:val="20"/>
        </w:rPr>
        <w:t xml:space="preserve">H304:</w:t>
      </w:r>
      <w:r>
        <w:rPr>
          <w:rFonts w:ascii="Arial" w:cs="Arial" w:eastAsia="Arial" w:hAnsi="Arial"/>
          <w:sz w:val="20"/>
          <w:szCs w:val="20"/>
        </w:rPr>
        <w:t xml:space="preserve"> Połknięcie i dostanie się przez drogi oddechowe może grozić śmiercią.</w:t>
      </w:r>
    </w:p>
    <w:p>
      <w:pPr>
        <w:spacing w:after="80" w:before="80"/>
      </w:pPr>
      <w:r>
        <w:rPr>
          <w:rFonts w:ascii="Arial" w:cs="Arial" w:eastAsia="Arial" w:hAnsi="Arial"/>
          <w:b/>
          <w:bCs/>
          <w:sz w:val="20"/>
          <w:szCs w:val="20"/>
        </w:rPr>
        <w:t xml:space="preserve">H311:</w:t>
      </w:r>
      <w:r>
        <w:rPr>
          <w:rFonts w:ascii="Arial" w:cs="Arial" w:eastAsia="Arial" w:hAnsi="Arial"/>
          <w:sz w:val="20"/>
          <w:szCs w:val="20"/>
        </w:rPr>
        <w:t xml:space="preserve"> Działa toksycznie w kontakcie ze skórą.</w:t>
      </w:r>
    </w:p>
    <w:p>
      <w:pPr>
        <w:spacing w:after="80" w:before="80"/>
      </w:pPr>
      <w:r>
        <w:rPr>
          <w:rFonts w:ascii="Arial" w:cs="Arial" w:eastAsia="Arial" w:hAnsi="Arial"/>
          <w:b/>
          <w:bCs/>
          <w:sz w:val="20"/>
          <w:szCs w:val="20"/>
        </w:rPr>
        <w:t xml:space="preserve">H314:</w:t>
      </w:r>
      <w:r>
        <w:rPr>
          <w:rFonts w:ascii="Arial" w:cs="Arial" w:eastAsia="Arial" w:hAnsi="Arial"/>
          <w:sz w:val="20"/>
          <w:szCs w:val="20"/>
        </w:rPr>
        <w:t xml:space="preserve"> Powoduje poważne oparzenia skóry oraz uszkodzenia oczu.</w:t>
      </w:r>
    </w:p>
    <w:p>
      <w:pPr>
        <w:spacing w:after="80" w:before="80"/>
      </w:pPr>
      <w:r>
        <w:rPr>
          <w:rFonts w:ascii="Arial" w:cs="Arial" w:eastAsia="Arial" w:hAnsi="Arial"/>
          <w:b/>
          <w:bCs/>
          <w:sz w:val="20"/>
          <w:szCs w:val="20"/>
        </w:rPr>
        <w:t xml:space="preserve">H315:</w:t>
      </w:r>
      <w:r>
        <w:rPr>
          <w:rFonts w:ascii="Arial" w:cs="Arial" w:eastAsia="Arial" w:hAnsi="Arial"/>
          <w:sz w:val="20"/>
          <w:szCs w:val="20"/>
        </w:rPr>
        <w:t xml:space="preserve"> Działa drażniąco na skórę.</w:t>
      </w:r>
    </w:p>
    <w:p>
      <w:pPr>
        <w:spacing w:after="80" w:before="80"/>
      </w:pPr>
      <w:r>
        <w:rPr>
          <w:rFonts w:ascii="Arial" w:cs="Arial" w:eastAsia="Arial" w:hAnsi="Arial"/>
          <w:b/>
          <w:bCs/>
          <w:sz w:val="20"/>
          <w:szCs w:val="20"/>
        </w:rPr>
        <w:t xml:space="preserve">H317:</w:t>
      </w:r>
      <w:r>
        <w:rPr>
          <w:rFonts w:ascii="Arial" w:cs="Arial" w:eastAsia="Arial" w:hAnsi="Arial"/>
          <w:sz w:val="20"/>
          <w:szCs w:val="20"/>
        </w:rPr>
        <w:t xml:space="preserve"> Może powodować reakcję alergiczną skóry.</w:t>
      </w:r>
    </w:p>
    <w:p>
      <w:pPr>
        <w:spacing w:after="80" w:before="80"/>
      </w:pPr>
      <w:r>
        <w:rPr>
          <w:rFonts w:ascii="Arial" w:cs="Arial" w:eastAsia="Arial" w:hAnsi="Arial"/>
          <w:b/>
          <w:bCs/>
          <w:sz w:val="20"/>
          <w:szCs w:val="20"/>
        </w:rPr>
        <w:t xml:space="preserve">H318:</w:t>
      </w:r>
      <w:r>
        <w:rPr>
          <w:rFonts w:ascii="Arial" w:cs="Arial" w:eastAsia="Arial" w:hAnsi="Arial"/>
          <w:sz w:val="20"/>
          <w:szCs w:val="20"/>
        </w:rPr>
        <w:t xml:space="preserve"> Powoduje poważne uszkodzenie oczu.</w:t>
      </w:r>
    </w:p>
    <w:p>
      <w:pPr>
        <w:spacing w:after="80" w:before="80"/>
      </w:pPr>
      <w:r>
        <w:rPr>
          <w:rFonts w:ascii="Arial" w:cs="Arial" w:eastAsia="Arial" w:hAnsi="Arial"/>
          <w:b/>
          <w:bCs/>
          <w:sz w:val="20"/>
          <w:szCs w:val="20"/>
        </w:rPr>
        <w:t xml:space="preserve">H319:</w:t>
      </w:r>
      <w:r>
        <w:rPr>
          <w:rFonts w:ascii="Arial" w:cs="Arial" w:eastAsia="Arial" w:hAnsi="Arial"/>
          <w:sz w:val="20"/>
          <w:szCs w:val="20"/>
        </w:rPr>
        <w:t xml:space="preserve"> Działa drażniąco na oczy.</w:t>
      </w:r>
    </w:p>
    <w:p>
      <w:pPr>
        <w:spacing w:after="80" w:before="80"/>
      </w:pPr>
      <w:r>
        <w:rPr>
          <w:rFonts w:ascii="Arial" w:cs="Arial" w:eastAsia="Arial" w:hAnsi="Arial"/>
          <w:b/>
          <w:bCs/>
          <w:sz w:val="20"/>
          <w:szCs w:val="20"/>
        </w:rPr>
        <w:t xml:space="preserve">H331:</w:t>
      </w:r>
      <w:r>
        <w:rPr>
          <w:rFonts w:ascii="Arial" w:cs="Arial" w:eastAsia="Arial" w:hAnsi="Arial"/>
          <w:sz w:val="20"/>
          <w:szCs w:val="20"/>
        </w:rPr>
        <w:t xml:space="preserve"> Działa toksycznie w następstwie wdychania.</w:t>
      </w:r>
    </w:p>
    <w:p>
      <w:pPr>
        <w:spacing w:after="80" w:before="80"/>
      </w:pPr>
      <w:r>
        <w:rPr>
          <w:rFonts w:ascii="Arial" w:cs="Arial" w:eastAsia="Arial" w:hAnsi="Arial"/>
          <w:b/>
          <w:bCs/>
          <w:sz w:val="20"/>
          <w:szCs w:val="20"/>
        </w:rPr>
        <w:t xml:space="preserve">H336:</w:t>
      </w:r>
      <w:r>
        <w:rPr>
          <w:rFonts w:ascii="Arial" w:cs="Arial" w:eastAsia="Arial" w:hAnsi="Arial"/>
          <w:sz w:val="20"/>
          <w:szCs w:val="20"/>
        </w:rPr>
        <w:t xml:space="preserve"> Może wywoływać uczucie senności lub zawroty głowy.</w:t>
      </w:r>
    </w:p>
    <w:p>
      <w:pPr>
        <w:spacing w:after="80" w:before="80"/>
      </w:pPr>
      <w:r>
        <w:rPr>
          <w:rFonts w:ascii="Arial" w:cs="Arial" w:eastAsia="Arial" w:hAnsi="Arial"/>
          <w:b/>
          <w:bCs/>
          <w:sz w:val="20"/>
          <w:szCs w:val="20"/>
        </w:rPr>
        <w:t xml:space="preserve">H341:</w:t>
      </w:r>
      <w:r>
        <w:rPr>
          <w:rFonts w:ascii="Arial" w:cs="Arial" w:eastAsia="Arial" w:hAnsi="Arial"/>
          <w:sz w:val="20"/>
          <w:szCs w:val="20"/>
        </w:rPr>
        <w:t xml:space="preserve"> Podejrzewa się, że powoduje wady genetyczne.</w:t>
      </w:r>
    </w:p>
    <w:p>
      <w:pPr>
        <w:spacing w:after="80" w:before="80"/>
      </w:pPr>
      <w:r>
        <w:rPr>
          <w:rFonts w:ascii="Arial" w:cs="Arial" w:eastAsia="Arial" w:hAnsi="Arial"/>
          <w:b/>
          <w:bCs/>
          <w:sz w:val="20"/>
          <w:szCs w:val="20"/>
        </w:rPr>
        <w:t xml:space="preserve">H361d:</w:t>
      </w:r>
      <w:r>
        <w:rPr>
          <w:rFonts w:ascii="Arial" w:cs="Arial" w:eastAsia="Arial" w:hAnsi="Arial"/>
          <w:sz w:val="20"/>
          <w:szCs w:val="20"/>
        </w:rPr>
        <w:t xml:space="preserve"> Podejrzewa się, że działa szkodliwie na dziecko w łonie matki.</w:t>
      </w:r>
    </w:p>
    <w:p>
      <w:pPr>
        <w:spacing w:after="80" w:before="80"/>
      </w:pPr>
      <w:r>
        <w:rPr>
          <w:rFonts w:ascii="Arial" w:cs="Arial" w:eastAsia="Arial" w:hAnsi="Arial"/>
          <w:b/>
          <w:bCs/>
          <w:sz w:val="20"/>
          <w:szCs w:val="20"/>
        </w:rPr>
        <w:t xml:space="preserve">H370:</w:t>
      </w:r>
      <w:r>
        <w:rPr>
          <w:rFonts w:ascii="Arial" w:cs="Arial" w:eastAsia="Arial" w:hAnsi="Arial"/>
          <w:sz w:val="20"/>
          <w:szCs w:val="20"/>
        </w:rPr>
        <w:t xml:space="preserve"> Powoduje uszkodzenie narządów.</w:t>
      </w:r>
    </w:p>
    <w:p>
      <w:pPr>
        <w:spacing w:after="80" w:before="80"/>
      </w:pPr>
      <w:r>
        <w:rPr>
          <w:rFonts w:ascii="Arial" w:cs="Arial" w:eastAsia="Arial" w:hAnsi="Arial"/>
          <w:b/>
          <w:bCs/>
          <w:sz w:val="20"/>
          <w:szCs w:val="20"/>
        </w:rPr>
        <w:t xml:space="preserve">H371:</w:t>
      </w:r>
      <w:r>
        <w:rPr>
          <w:rFonts w:ascii="Arial" w:cs="Arial" w:eastAsia="Arial" w:hAnsi="Arial"/>
          <w:sz w:val="20"/>
          <w:szCs w:val="20"/>
        </w:rPr>
        <w:t xml:space="preserve"> Może powodować uszkodzenie narządów.</w:t>
      </w:r>
    </w:p>
    <w:p>
      <w:pPr>
        <w:spacing w:after="80" w:before="80"/>
      </w:pPr>
      <w:r>
        <w:rPr>
          <w:rFonts w:ascii="Arial" w:cs="Arial" w:eastAsia="Arial" w:hAnsi="Arial"/>
          <w:b/>
          <w:bCs/>
          <w:sz w:val="20"/>
          <w:szCs w:val="20"/>
        </w:rPr>
        <w:t xml:space="preserve">H373:</w:t>
      </w:r>
      <w:r>
        <w:rPr>
          <w:rFonts w:ascii="Arial" w:cs="Arial" w:eastAsia="Arial" w:hAnsi="Arial"/>
          <w:sz w:val="20"/>
          <w:szCs w:val="20"/>
        </w:rPr>
        <w:t xml:space="preserve"> Może powodować uszkodzenie narządów poprzez długotrwałe lub narażenie powtarzane.</w:t>
      </w:r>
    </w:p>
    <w:p>
      <w:pPr>
        <w:spacing w:after="80" w:before="80"/>
      </w:pPr>
      <w:r>
        <w:rPr>
          <w:rFonts w:ascii="Arial" w:cs="Arial" w:eastAsia="Arial" w:hAnsi="Arial"/>
          <w:b/>
          <w:bCs/>
          <w:sz w:val="20"/>
          <w:szCs w:val="20"/>
        </w:rPr>
        <w:t xml:space="preserve">H400:</w:t>
      </w:r>
      <w:r>
        <w:rPr>
          <w:rFonts w:ascii="Arial" w:cs="Arial" w:eastAsia="Arial" w:hAnsi="Arial"/>
          <w:sz w:val="20"/>
          <w:szCs w:val="20"/>
        </w:rPr>
        <w:t xml:space="preserve"> Działa bardzo toksycznie na organizmy wodne.</w:t>
      </w:r>
    </w:p>
    <w:p>
      <w:pPr>
        <w:spacing w:after="80" w:before="80"/>
      </w:pPr>
      <w:r>
        <w:rPr>
          <w:rFonts w:ascii="Arial" w:cs="Arial" w:eastAsia="Arial" w:hAnsi="Arial"/>
          <w:b/>
          <w:bCs/>
          <w:sz w:val="20"/>
          <w:szCs w:val="20"/>
        </w:rPr>
        <w:t xml:space="preserve">H410:</w:t>
      </w:r>
      <w:r>
        <w:rPr>
          <w:rFonts w:ascii="Arial" w:cs="Arial" w:eastAsia="Arial" w:hAnsi="Arial"/>
          <w:sz w:val="20"/>
          <w:szCs w:val="20"/>
        </w:rPr>
        <w:t xml:space="preserve"> Działa bardzo toksycznie na organizmy wodne, powodując długotrwałe skutki.</w:t>
      </w:r>
    </w:p>
    <w:p>
      <w:pPr>
        <w:spacing w:after="80" w:before="80"/>
      </w:pPr>
      <w:r>
        <w:rPr>
          <w:rFonts w:ascii="Arial" w:cs="Arial" w:eastAsia="Arial" w:hAnsi="Arial"/>
          <w:b/>
          <w:bCs/>
          <w:sz w:val="20"/>
          <w:szCs w:val="20"/>
        </w:rPr>
        <w:t xml:space="preserve">H411:</w:t>
      </w:r>
      <w:r>
        <w:rPr>
          <w:rFonts w:ascii="Arial" w:cs="Arial" w:eastAsia="Arial" w:hAnsi="Arial"/>
          <w:sz w:val="20"/>
          <w:szCs w:val="20"/>
        </w:rPr>
        <w:t xml:space="preserve"> Działa toksycznie na organizmy wodne, powodując długotrwałe skutki.</w:t>
      </w:r>
    </w:p>
    <w:p>
      <w:pPr>
        <w:spacing w:after="80" w:before="80"/>
      </w:pPr>
      <w:r>
        <w:rPr>
          <w:rFonts w:ascii="Arial" w:cs="Arial" w:eastAsia="Arial" w:hAnsi="Arial"/>
          <w:b/>
          <w:bCs/>
          <w:sz w:val="20"/>
          <w:szCs w:val="20"/>
        </w:rPr>
        <w:t xml:space="preserve">H412:</w:t>
      </w:r>
      <w:r>
        <w:rPr>
          <w:rFonts w:ascii="Arial" w:cs="Arial" w:eastAsia="Arial" w:hAnsi="Arial"/>
          <w:sz w:val="20"/>
          <w:szCs w:val="20"/>
        </w:rPr>
        <w:t xml:space="preserve"> Działa szkodliwie na organizmy wodne, powodując długotrwałe skutki.</w:t>
      </w:r>
    </w:p>
    <w:p>
      <w:pPr>
        <w:spacing w:after="80" w:before="80"/>
      </w:pPr>
      <w:r>
        <w:rPr>
          <w:rFonts w:ascii="Arial" w:cs="Arial" w:eastAsia="Arial" w:hAnsi="Arial"/>
          <w:b/>
          <w:bCs/>
          <w:sz w:val="20"/>
          <w:szCs w:val="20"/>
        </w:rPr>
        <w:t xml:space="preserve">EUH066:</w:t>
      </w:r>
      <w:r>
        <w:rPr>
          <w:rFonts w:ascii="Arial" w:cs="Arial" w:eastAsia="Arial" w:hAnsi="Arial"/>
          <w:sz w:val="20"/>
          <w:szCs w:val="20"/>
        </w:rPr>
        <w:t xml:space="preserve"> Powtarzające się narażenie może powodować wysuszanie lub pękanie skóry.</w:t>
      </w:r>
    </w:p>
    <w:p>
      <w:pPr>
        <w:spacing w:after="80" w:before="80"/>
      </w:pPr>
      <w:r>
        <w:rPr>
          <w:rFonts w:ascii="Arial" w:cs="Arial" w:eastAsia="Arial" w:hAnsi="Arial"/>
          <w:b/>
          <w:bCs/>
          <w:sz w:val="20"/>
          <w:szCs w:val="20"/>
        </w:rPr>
        <w:t xml:space="preserve">EUH208:</w:t>
      </w:r>
      <w:r>
        <w:rPr>
          <w:rFonts w:ascii="Arial" w:cs="Arial" w:eastAsia="Arial" w:hAnsi="Arial"/>
          <w:sz w:val="20"/>
          <w:szCs w:val="20"/>
        </w:rPr>
        <w:t xml:space="preserve"> Zawiera substancję uczulającą. Może powodować wystąpienie reakcji alergicznej.</w:t>
      </w:r>
    </w:p>
    <w:p>
      <w:pPr>
        <w:spacing w:after="80" w:before="150"/>
      </w:pPr>
      <w:r>
        <w:rPr>
          <w:rFonts w:ascii="Arial" w:cs="Arial" w:eastAsia="Arial" w:hAnsi="Arial"/>
          <w:b/>
          <w:bCs/>
          <w:sz w:val="20"/>
          <w:szCs w:val="20"/>
        </w:rPr>
        <w:t xml:space="preserve">Wykaz klas i kategorii zagrożenia przytoczonych w karcie charakterystyki:</w:t>
      </w:r>
    </w:p>
    <w:p>
      <w:pPr>
        <w:spacing w:after="80" w:before="80"/>
      </w:pPr>
      <w:r>
        <w:rPr>
          <w:rFonts w:ascii="Arial" w:cs="Arial" w:eastAsia="Arial" w:hAnsi="Arial"/>
          <w:b/>
          <w:bCs/>
          <w:sz w:val="20"/>
          <w:szCs w:val="20"/>
        </w:rPr>
        <w:t xml:space="preserve">Acute Tox. 3:</w:t>
      </w:r>
      <w:r>
        <w:rPr>
          <w:rFonts w:ascii="Arial" w:cs="Arial" w:eastAsia="Arial" w:hAnsi="Arial"/>
          <w:sz w:val="20"/>
          <w:szCs w:val="20"/>
        </w:rPr>
        <w:t xml:space="preserve"> Toksyczność ostra, kategoria 3</w:t>
      </w:r>
    </w:p>
    <w:p>
      <w:pPr>
        <w:spacing w:after="80" w:before="80"/>
      </w:pPr>
      <w:r>
        <w:rPr>
          <w:rFonts w:ascii="Arial" w:cs="Arial" w:eastAsia="Arial" w:hAnsi="Arial"/>
          <w:b/>
          <w:bCs/>
          <w:sz w:val="20"/>
          <w:szCs w:val="20"/>
        </w:rPr>
        <w:t xml:space="preserve">Acute Tox. 4:</w:t>
      </w:r>
      <w:r>
        <w:rPr>
          <w:rFonts w:ascii="Arial" w:cs="Arial" w:eastAsia="Arial" w:hAnsi="Arial"/>
          <w:sz w:val="20"/>
          <w:szCs w:val="20"/>
        </w:rPr>
        <w:t xml:space="preserve"> Toksyczność ostra, kategoria 4</w:t>
      </w:r>
    </w:p>
    <w:p>
      <w:pPr>
        <w:spacing w:after="80" w:before="80"/>
      </w:pPr>
      <w:r>
        <w:rPr>
          <w:rFonts w:ascii="Arial" w:cs="Arial" w:eastAsia="Arial" w:hAnsi="Arial"/>
          <w:b/>
          <w:bCs/>
          <w:sz w:val="20"/>
          <w:szCs w:val="20"/>
        </w:rPr>
        <w:t xml:space="preserve">Aquatic Acute 1:</w:t>
      </w:r>
      <w:r>
        <w:rPr>
          <w:rFonts w:ascii="Arial" w:cs="Arial" w:eastAsia="Arial" w:hAnsi="Arial"/>
          <w:sz w:val="20"/>
          <w:szCs w:val="20"/>
        </w:rPr>
        <w:t xml:space="preserve"> Stwarzające zagrożenie dla środowiska wodnego – zagrożenie ostre, kategoria 1</w:t>
      </w:r>
    </w:p>
    <w:p>
      <w:pPr>
        <w:spacing w:after="80" w:before="80"/>
      </w:pPr>
      <w:r>
        <w:rPr>
          <w:rFonts w:ascii="Arial" w:cs="Arial" w:eastAsia="Arial" w:hAnsi="Arial"/>
          <w:b/>
          <w:bCs/>
          <w:sz w:val="20"/>
          <w:szCs w:val="20"/>
        </w:rPr>
        <w:t xml:space="preserve">Aquatic Chronic 1:</w:t>
      </w:r>
      <w:r>
        <w:rPr>
          <w:rFonts w:ascii="Arial" w:cs="Arial" w:eastAsia="Arial" w:hAnsi="Arial"/>
          <w:sz w:val="20"/>
          <w:szCs w:val="20"/>
        </w:rPr>
        <w:t xml:space="preserve"> Stwarzające zagrożenie dla środowiska wodnego – zagrożenie przewlekłe, kategoria 1</w:t>
      </w:r>
    </w:p>
    <w:p>
      <w:pPr>
        <w:spacing w:after="80" w:before="80"/>
      </w:pPr>
      <w:r>
        <w:rPr>
          <w:rFonts w:ascii="Arial" w:cs="Arial" w:eastAsia="Arial" w:hAnsi="Arial"/>
          <w:b/>
          <w:bCs/>
          <w:sz w:val="20"/>
          <w:szCs w:val="20"/>
        </w:rPr>
        <w:t xml:space="preserve">Aquatic Chronic 2:</w:t>
      </w:r>
      <w:r>
        <w:rPr>
          <w:rFonts w:ascii="Arial" w:cs="Arial" w:eastAsia="Arial" w:hAnsi="Arial"/>
          <w:sz w:val="20"/>
          <w:szCs w:val="20"/>
        </w:rPr>
        <w:t xml:space="preserve"> Stwarzające zagrożenie dla środowiska wodnego – zagrożenie przewlekłe, kategoria 2</w:t>
      </w:r>
    </w:p>
    <w:p>
      <w:pPr>
        <w:spacing w:after="80" w:before="80"/>
      </w:pPr>
      <w:r>
        <w:rPr>
          <w:rFonts w:ascii="Arial" w:cs="Arial" w:eastAsia="Arial" w:hAnsi="Arial"/>
          <w:b/>
          <w:bCs/>
          <w:sz w:val="20"/>
          <w:szCs w:val="20"/>
        </w:rPr>
        <w:t xml:space="preserve">Aquatic Chronic 3:</w:t>
      </w:r>
      <w:r>
        <w:rPr>
          <w:rFonts w:ascii="Arial" w:cs="Arial" w:eastAsia="Arial" w:hAnsi="Arial"/>
          <w:sz w:val="20"/>
          <w:szCs w:val="20"/>
        </w:rPr>
        <w:t xml:space="preserve"> Stwarzające zagrożenie dla środowiska wodnego – zagrożenie przewlekłe, kategoria 3</w:t>
      </w:r>
    </w:p>
    <w:p>
      <w:pPr>
        <w:spacing w:after="80" w:before="80"/>
      </w:pPr>
      <w:r>
        <w:rPr>
          <w:rFonts w:ascii="Arial" w:cs="Arial" w:eastAsia="Arial" w:hAnsi="Arial"/>
          <w:b/>
          <w:bCs/>
          <w:sz w:val="20"/>
          <w:szCs w:val="20"/>
        </w:rPr>
        <w:t xml:space="preserve">Asp. Tox. 1:</w:t>
      </w:r>
      <w:r>
        <w:rPr>
          <w:rFonts w:ascii="Arial" w:cs="Arial" w:eastAsia="Arial" w:hAnsi="Arial"/>
          <w:sz w:val="20"/>
          <w:szCs w:val="20"/>
        </w:rPr>
        <w:t xml:space="preserve"> Zagrożenie spowodowane aspiracją, kategoria 1</w:t>
      </w:r>
    </w:p>
    <w:p>
      <w:pPr>
        <w:spacing w:after="80" w:before="80"/>
      </w:pPr>
      <w:r>
        <w:rPr>
          <w:rFonts w:ascii="Arial" w:cs="Arial" w:eastAsia="Arial" w:hAnsi="Arial"/>
          <w:b/>
          <w:bCs/>
          <w:sz w:val="20"/>
          <w:szCs w:val="20"/>
        </w:rPr>
        <w:t xml:space="preserve">Eye Dam. 1:</w:t>
      </w:r>
      <w:r>
        <w:rPr>
          <w:rFonts w:ascii="Arial" w:cs="Arial" w:eastAsia="Arial" w:hAnsi="Arial"/>
          <w:sz w:val="20"/>
          <w:szCs w:val="20"/>
        </w:rPr>
        <w:t xml:space="preserve"> Poważne uszkodzenie oczu, kategoria 1</w:t>
      </w:r>
    </w:p>
    <w:p>
      <w:pPr>
        <w:spacing w:after="80" w:before="80"/>
      </w:pPr>
      <w:r>
        <w:rPr>
          <w:rFonts w:ascii="Arial" w:cs="Arial" w:eastAsia="Arial" w:hAnsi="Arial"/>
          <w:b/>
          <w:bCs/>
          <w:sz w:val="20"/>
          <w:szCs w:val="20"/>
        </w:rPr>
        <w:t xml:space="preserve">Eye Irrit. 2:</w:t>
      </w:r>
      <w:r>
        <w:rPr>
          <w:rFonts w:ascii="Arial" w:cs="Arial" w:eastAsia="Arial" w:hAnsi="Arial"/>
          <w:sz w:val="20"/>
          <w:szCs w:val="20"/>
        </w:rPr>
        <w:t xml:space="preserve"> Działanie drażniące na oczy, kategoria 2</w:t>
      </w:r>
    </w:p>
    <w:p>
      <w:pPr>
        <w:spacing w:after="80" w:before="80"/>
      </w:pPr>
      <w:r>
        <w:rPr>
          <w:rFonts w:ascii="Arial" w:cs="Arial" w:eastAsia="Arial" w:hAnsi="Arial"/>
          <w:b/>
          <w:bCs/>
          <w:sz w:val="20"/>
          <w:szCs w:val="20"/>
        </w:rPr>
        <w:t xml:space="preserve">Flam. Liq. 2:</w:t>
      </w:r>
      <w:r>
        <w:rPr>
          <w:rFonts w:ascii="Arial" w:cs="Arial" w:eastAsia="Arial" w:hAnsi="Arial"/>
          <w:sz w:val="20"/>
          <w:szCs w:val="20"/>
        </w:rPr>
        <w:t xml:space="preserve"> Substancja ciekła łatwopalna, kategoria 2</w:t>
      </w:r>
    </w:p>
    <w:p>
      <w:pPr>
        <w:spacing w:after="80" w:before="80"/>
      </w:pPr>
      <w:r>
        <w:rPr>
          <w:rFonts w:ascii="Arial" w:cs="Arial" w:eastAsia="Arial" w:hAnsi="Arial"/>
          <w:b/>
          <w:bCs/>
          <w:sz w:val="20"/>
          <w:szCs w:val="20"/>
        </w:rPr>
        <w:t xml:space="preserve">Flam. Liq. 3:</w:t>
      </w:r>
      <w:r>
        <w:rPr>
          <w:rFonts w:ascii="Arial" w:cs="Arial" w:eastAsia="Arial" w:hAnsi="Arial"/>
          <w:sz w:val="20"/>
          <w:szCs w:val="20"/>
        </w:rPr>
        <w:t xml:space="preserve"> Substancja ciekła łatwopalna, kategoria 3</w:t>
      </w:r>
    </w:p>
    <w:p>
      <w:pPr>
        <w:spacing w:after="80"/>
      </w:pPr>
      <w:r>
        <w:rPr>
          <w:rFonts w:ascii="Arial" w:cs="Arial" w:eastAsia="Arial" w:hAnsi="Arial"/>
          <w:sz w:val="20"/>
          <w:szCs w:val="20"/>
        </w:rPr>
        <w:t xml:space="preserve">Muta. 2: Działanie mutagenne na komórki rozrodcze, kategoria 2</w:t>
      </w:r>
    </w:p>
    <w:p>
      <w:pPr>
        <w:spacing w:after="80"/>
      </w:pPr>
      <w:r>
        <w:rPr>
          <w:rFonts w:ascii="Arial" w:cs="Arial" w:eastAsia="Arial" w:hAnsi="Arial"/>
          <w:sz w:val="20"/>
          <w:szCs w:val="20"/>
        </w:rPr>
        <w:t xml:space="preserve">Repr. 2: Działanie szkodliwe na rozrodczość, kategoria 2</w:t>
      </w:r>
    </w:p>
    <w:p>
      <w:pPr>
        <w:spacing w:after="80" w:before="80"/>
      </w:pPr>
      <w:r>
        <w:rPr>
          <w:rFonts w:ascii="Arial" w:cs="Arial" w:eastAsia="Arial" w:hAnsi="Arial"/>
          <w:b/>
          <w:bCs/>
          <w:sz w:val="20"/>
          <w:szCs w:val="20"/>
        </w:rPr>
        <w:t xml:space="preserve">STOT RE 2:</w:t>
      </w:r>
      <w:r>
        <w:rPr>
          <w:rFonts w:ascii="Arial" w:cs="Arial" w:eastAsia="Arial" w:hAnsi="Arial"/>
          <w:sz w:val="20"/>
          <w:szCs w:val="20"/>
        </w:rPr>
        <w:t xml:space="preserve"> Działanie toksyczne na narządy docelowe – narażenie powtarzane, kategoria 2</w:t>
      </w:r>
    </w:p>
    <w:p>
      <w:pPr>
        <w:spacing w:after="80" w:before="80"/>
      </w:pPr>
      <w:r>
        <w:rPr>
          <w:rFonts w:ascii="Arial" w:cs="Arial" w:eastAsia="Arial" w:hAnsi="Arial"/>
          <w:b/>
          <w:bCs/>
          <w:sz w:val="20"/>
          <w:szCs w:val="20"/>
        </w:rPr>
        <w:t xml:space="preserve">STOT SE 1:</w:t>
      </w:r>
      <w:r>
        <w:rPr>
          <w:rFonts w:ascii="Arial" w:cs="Arial" w:eastAsia="Arial" w:hAnsi="Arial"/>
          <w:sz w:val="20"/>
          <w:szCs w:val="20"/>
        </w:rPr>
        <w:t xml:space="preserve"> Działanie toksyczne na narządy docelowe – narażenie jednorazowe, kategoria 1</w:t>
      </w:r>
    </w:p>
    <w:p>
      <w:pPr>
        <w:spacing w:after="80" w:before="80"/>
      </w:pPr>
      <w:r>
        <w:rPr>
          <w:rFonts w:ascii="Arial" w:cs="Arial" w:eastAsia="Arial" w:hAnsi="Arial"/>
          <w:b/>
          <w:bCs/>
          <w:sz w:val="20"/>
          <w:szCs w:val="20"/>
        </w:rPr>
        <w:t xml:space="preserve">STOT SE 2:</w:t>
      </w:r>
      <w:r>
        <w:rPr>
          <w:rFonts w:ascii="Arial" w:cs="Arial" w:eastAsia="Arial" w:hAnsi="Arial"/>
          <w:sz w:val="20"/>
          <w:szCs w:val="20"/>
        </w:rPr>
        <w:t xml:space="preserve"> Działanie toksyczne na narządy docelowe – narażenie jednorazowe, kategoria 2</w:t>
      </w:r>
    </w:p>
    <w:p>
      <w:pPr>
        <w:spacing w:after="80" w:before="80"/>
      </w:pPr>
      <w:r>
        <w:rPr>
          <w:rFonts w:ascii="Arial" w:cs="Arial" w:eastAsia="Arial" w:hAnsi="Arial"/>
          <w:b/>
          <w:bCs/>
          <w:sz w:val="20"/>
          <w:szCs w:val="20"/>
        </w:rPr>
        <w:t xml:space="preserve">STOT SE 3:</w:t>
      </w:r>
      <w:r>
        <w:rPr>
          <w:rFonts w:ascii="Arial" w:cs="Arial" w:eastAsia="Arial" w:hAnsi="Arial"/>
          <w:sz w:val="20"/>
          <w:szCs w:val="20"/>
        </w:rPr>
        <w:t xml:space="preserve"> Działanie toksyczne na narządy docelowe – narażenie jednorazowe, kategoria 3</w:t>
      </w:r>
    </w:p>
    <w:p>
      <w:pPr>
        <w:spacing w:after="80" w:before="80"/>
      </w:pPr>
      <w:r>
        <w:rPr>
          <w:rFonts w:ascii="Arial" w:cs="Arial" w:eastAsia="Arial" w:hAnsi="Arial"/>
          <w:b/>
          <w:bCs/>
          <w:sz w:val="20"/>
          <w:szCs w:val="20"/>
        </w:rPr>
        <w:t xml:space="preserve">Skin Corr. 1:</w:t>
      </w:r>
      <w:r>
        <w:rPr>
          <w:rFonts w:ascii="Arial" w:cs="Arial" w:eastAsia="Arial" w:hAnsi="Arial"/>
          <w:sz w:val="20"/>
          <w:szCs w:val="20"/>
        </w:rPr>
        <w:t xml:space="preserve"> Działanie żrące na skórę, kategoria 1</w:t>
      </w:r>
    </w:p>
    <w:p>
      <w:pPr>
        <w:spacing w:after="80" w:before="80"/>
      </w:pPr>
      <w:r>
        <w:rPr>
          <w:rFonts w:ascii="Arial" w:cs="Arial" w:eastAsia="Arial" w:hAnsi="Arial"/>
          <w:b/>
          <w:bCs/>
          <w:sz w:val="20"/>
          <w:szCs w:val="20"/>
        </w:rPr>
        <w:t xml:space="preserve">Skin Corr. 1A:</w:t>
      </w:r>
      <w:r>
        <w:rPr>
          <w:rFonts w:ascii="Arial" w:cs="Arial" w:eastAsia="Arial" w:hAnsi="Arial"/>
          <w:sz w:val="20"/>
          <w:szCs w:val="20"/>
        </w:rPr>
        <w:t xml:space="preserve"> Działanie żrące na skórę, kategoria 1A</w:t>
      </w:r>
    </w:p>
    <w:p>
      <w:pPr>
        <w:spacing w:after="80" w:before="80"/>
      </w:pPr>
      <w:r>
        <w:rPr>
          <w:rFonts w:ascii="Arial" w:cs="Arial" w:eastAsia="Arial" w:hAnsi="Arial"/>
          <w:b/>
          <w:bCs/>
          <w:sz w:val="20"/>
          <w:szCs w:val="20"/>
        </w:rPr>
        <w:t xml:space="preserve">Skin Corr. 1B:</w:t>
      </w:r>
      <w:r>
        <w:rPr>
          <w:rFonts w:ascii="Arial" w:cs="Arial" w:eastAsia="Arial" w:hAnsi="Arial"/>
          <w:sz w:val="20"/>
          <w:szCs w:val="20"/>
        </w:rPr>
        <w:t xml:space="preserve"> Działanie żrące na skórę, kategoria 1B</w:t>
      </w:r>
    </w:p>
    <w:p>
      <w:pPr>
        <w:spacing w:after="80" w:before="80"/>
      </w:pPr>
      <w:r>
        <w:rPr>
          <w:rFonts w:ascii="Arial" w:cs="Arial" w:eastAsia="Arial" w:hAnsi="Arial"/>
          <w:b/>
          <w:bCs/>
          <w:sz w:val="20"/>
          <w:szCs w:val="20"/>
        </w:rPr>
        <w:t xml:space="preserve">Skin Corr. 1C:</w:t>
      </w:r>
      <w:r>
        <w:rPr>
          <w:rFonts w:ascii="Arial" w:cs="Arial" w:eastAsia="Arial" w:hAnsi="Arial"/>
          <w:sz w:val="20"/>
          <w:szCs w:val="20"/>
        </w:rPr>
        <w:t xml:space="preserve"> Działanie żrące na skórę, kategoria 1C</w:t>
      </w:r>
    </w:p>
    <w:p>
      <w:pPr>
        <w:spacing w:after="80" w:before="80"/>
      </w:pPr>
      <w:r>
        <w:rPr>
          <w:rFonts w:ascii="Arial" w:cs="Arial" w:eastAsia="Arial" w:hAnsi="Arial"/>
          <w:b/>
          <w:bCs/>
          <w:sz w:val="20"/>
          <w:szCs w:val="20"/>
        </w:rPr>
        <w:t xml:space="preserve">Skin Irrit. 2:</w:t>
      </w:r>
      <w:r>
        <w:rPr>
          <w:rFonts w:ascii="Arial" w:cs="Arial" w:eastAsia="Arial" w:hAnsi="Arial"/>
          <w:sz w:val="20"/>
          <w:szCs w:val="20"/>
        </w:rPr>
        <w:t xml:space="preserve"> Działanie drażniące na skórę, kategoria 2</w:t>
      </w:r>
    </w:p>
    <w:p>
      <w:pPr>
        <w:spacing w:after="80" w:before="80"/>
      </w:pPr>
      <w:r>
        <w:rPr>
          <w:rFonts w:ascii="Arial" w:cs="Arial" w:eastAsia="Arial" w:hAnsi="Arial"/>
          <w:b/>
          <w:bCs/>
          <w:sz w:val="20"/>
          <w:szCs w:val="20"/>
        </w:rPr>
        <w:t xml:space="preserve">Skin Sens. 1:</w:t>
      </w:r>
      <w:r>
        <w:rPr>
          <w:rFonts w:ascii="Arial" w:cs="Arial" w:eastAsia="Arial" w:hAnsi="Arial"/>
          <w:sz w:val="20"/>
          <w:szCs w:val="20"/>
        </w:rPr>
        <w:t xml:space="preserve"> Działanie uczulające na skórę, kategoria 1</w:t>
      </w:r>
    </w:p>
    <w:p>
      <w:pPr>
        <w:spacing w:after="80" w:before="80"/>
      </w:pPr>
      <w:r>
        <w:rPr>
          <w:rFonts w:ascii="Arial" w:cs="Arial" w:eastAsia="Arial" w:hAnsi="Arial"/>
          <w:b/>
          <w:bCs/>
          <w:sz w:val="20"/>
          <w:szCs w:val="20"/>
        </w:rPr>
        <w:t xml:space="preserve">Skin Sens. 1A:</w:t>
      </w:r>
      <w:r>
        <w:rPr>
          <w:rFonts w:ascii="Arial" w:cs="Arial" w:eastAsia="Arial" w:hAnsi="Arial"/>
          <w:sz w:val="20"/>
          <w:szCs w:val="20"/>
        </w:rPr>
        <w:t xml:space="preserve"> Działanie uczulające na skórę, kategoria 1A</w:t>
      </w:r>
    </w:p>
    <w:p>
      <w:pPr>
        <w:spacing w:after="80" w:before="80"/>
      </w:pPr>
      <w:r>
        <w:rPr>
          <w:rFonts w:ascii="Arial" w:cs="Arial" w:eastAsia="Arial" w:hAnsi="Arial"/>
          <w:b/>
          <w:bCs/>
          <w:sz w:val="20"/>
          <w:szCs w:val="20"/>
        </w:rPr>
        <w:t xml:space="preserve">Skin Sens. 1B:</w:t>
      </w:r>
      <w:r>
        <w:rPr>
          <w:rFonts w:ascii="Arial" w:cs="Arial" w:eastAsia="Arial" w:hAnsi="Arial"/>
          <w:sz w:val="20"/>
          <w:szCs w:val="20"/>
        </w:rPr>
        <w:t xml:space="preserve"> Działanie uczulające na skórę, kategoria 1B</w:t>
      </w:r>
    </w:p>
    <w:p>
      <w:pPr>
        <w:spacing w:after="80" w:before="150"/>
      </w:pPr>
      <w:r>
        <w:rPr>
          <w:rFonts w:ascii="Arial" w:cs="Arial" w:eastAsia="Arial" w:hAnsi="Arial"/>
          <w:b/>
          <w:bCs/>
          <w:sz w:val="20"/>
          <w:szCs w:val="20"/>
        </w:rPr>
        <w:t xml:space="preserve">Objaśnienie skrótów i akronimów stosowanych w karcie charakterystyki:</w:t>
      </w:r>
    </w:p>
    <w:p>
      <w:pPr>
        <w:spacing w:after="80" w:before="80"/>
      </w:pPr>
      <w:r>
        <w:rPr>
          <w:rFonts w:ascii="Arial" w:cs="Arial" w:eastAsia="Arial" w:hAnsi="Arial"/>
          <w:b/>
          <w:bCs/>
          <w:sz w:val="20"/>
          <w:szCs w:val="20"/>
        </w:rPr>
        <w:t xml:space="preserve">ADR:</w:t>
      </w:r>
      <w:r>
        <w:rPr>
          <w:rFonts w:ascii="Arial" w:cs="Arial" w:eastAsia="Arial" w:hAnsi="Arial"/>
          <w:sz w:val="20"/>
          <w:szCs w:val="20"/>
        </w:rPr>
        <w:t xml:space="preserve"> Umowa europejska dotycząca międzynarodowego przewozu drogowego towarów niebezpiecznych</w:t>
      </w:r>
    </w:p>
    <w:p>
      <w:pPr>
        <w:spacing w:after="80" w:before="80"/>
      </w:pPr>
      <w:r>
        <w:rPr>
          <w:rFonts w:ascii="Arial" w:cs="Arial" w:eastAsia="Arial" w:hAnsi="Arial"/>
          <w:b/>
          <w:bCs/>
          <w:sz w:val="20"/>
          <w:szCs w:val="20"/>
        </w:rPr>
        <w:t xml:space="preserve">RID:</w:t>
      </w:r>
      <w:r>
        <w:rPr>
          <w:rFonts w:ascii="Arial" w:cs="Arial" w:eastAsia="Arial" w:hAnsi="Arial"/>
          <w:sz w:val="20"/>
          <w:szCs w:val="20"/>
        </w:rPr>
        <w:t xml:space="preserve"> Regulamin międzynarodowego przewozu kolejami towarów niebezpiecznych</w:t>
      </w:r>
    </w:p>
    <w:p>
      <w:pPr>
        <w:spacing w:after="80" w:before="80"/>
      </w:pPr>
      <w:r>
        <w:rPr>
          <w:rFonts w:ascii="Arial" w:cs="Arial" w:eastAsia="Arial" w:hAnsi="Arial"/>
          <w:b/>
          <w:bCs/>
          <w:sz w:val="20"/>
          <w:szCs w:val="20"/>
        </w:rPr>
        <w:t xml:space="preserve">IMDG:</w:t>
      </w:r>
      <w:r>
        <w:rPr>
          <w:rFonts w:ascii="Arial" w:cs="Arial" w:eastAsia="Arial" w:hAnsi="Arial"/>
          <w:sz w:val="20"/>
          <w:szCs w:val="20"/>
        </w:rPr>
        <w:t xml:space="preserve"> Międzynarodowy morski kodeks towarów niebezpiecznych (International Maritime Dangerous Goods Code)</w:t>
      </w:r>
    </w:p>
    <w:p>
      <w:pPr>
        <w:spacing w:after="80" w:before="80"/>
      </w:pPr>
      <w:r>
        <w:rPr>
          <w:rFonts w:ascii="Arial" w:cs="Arial" w:eastAsia="Arial" w:hAnsi="Arial"/>
          <w:b/>
          <w:bCs/>
          <w:sz w:val="20"/>
          <w:szCs w:val="20"/>
        </w:rPr>
        <w:t xml:space="preserve">IATA:</w:t>
      </w:r>
      <w:r>
        <w:rPr>
          <w:rFonts w:ascii="Arial" w:cs="Arial" w:eastAsia="Arial" w:hAnsi="Arial"/>
          <w:sz w:val="20"/>
          <w:szCs w:val="20"/>
        </w:rPr>
        <w:t xml:space="preserve"> Międzynarodowe Zrzeszenie Przewoźników Powietrznych (International Air Transport Association)</w:t>
      </w:r>
    </w:p>
    <w:p>
      <w:pPr>
        <w:spacing w:after="80" w:before="80"/>
      </w:pPr>
      <w:r>
        <w:rPr>
          <w:rFonts w:ascii="Arial" w:cs="Arial" w:eastAsia="Arial" w:hAnsi="Arial"/>
          <w:b/>
          <w:bCs/>
          <w:sz w:val="20"/>
          <w:szCs w:val="20"/>
        </w:rPr>
        <w:t xml:space="preserve">ICAO:</w:t>
      </w:r>
      <w:r>
        <w:rPr>
          <w:rFonts w:ascii="Arial" w:cs="Arial" w:eastAsia="Arial" w:hAnsi="Arial"/>
          <w:sz w:val="20"/>
          <w:szCs w:val="20"/>
        </w:rPr>
        <w:t xml:space="preserve"> Organizacja Międzynarodowego Lotnictwa Cywilnego</w:t>
      </w:r>
    </w:p>
    <w:p>
      <w:pPr>
        <w:spacing w:after="80" w:before="80"/>
      </w:pPr>
      <w:r>
        <w:rPr>
          <w:rFonts w:ascii="Arial" w:cs="Arial" w:eastAsia="Arial" w:hAnsi="Arial"/>
          <w:b/>
          <w:bCs/>
          <w:sz w:val="20"/>
          <w:szCs w:val="20"/>
        </w:rPr>
        <w:t xml:space="preserve">CLP:</w:t>
      </w:r>
      <w:r>
        <w:rPr>
          <w:rFonts w:ascii="Arial" w:cs="Arial" w:eastAsia="Arial" w:hAnsi="Arial"/>
          <w:sz w:val="20"/>
          <w:szCs w:val="20"/>
        </w:rPr>
        <w:t xml:space="preserve"> Rozporządzenie (WE) nr 1272/2008 w sprawie klasyfikacji, oznakowania i pakowania substancji i mieszanin</w:t>
      </w:r>
    </w:p>
    <w:p>
      <w:pPr>
        <w:spacing w:after="80" w:before="80"/>
      </w:pPr>
      <w:r>
        <w:rPr>
          <w:rFonts w:ascii="Arial" w:cs="Arial" w:eastAsia="Arial" w:hAnsi="Arial"/>
          <w:b/>
          <w:bCs/>
          <w:sz w:val="20"/>
          <w:szCs w:val="20"/>
        </w:rPr>
        <w:t xml:space="preserve">REACH:</w:t>
      </w:r>
      <w:r>
        <w:rPr>
          <w:rFonts w:ascii="Arial" w:cs="Arial" w:eastAsia="Arial" w:hAnsi="Arial"/>
          <w:sz w:val="20"/>
          <w:szCs w:val="20"/>
        </w:rPr>
        <w:t xml:space="preserve"> Rozporządzenie (WE) nr 1907/2006 w sprawie rejestracji, oceny, udzielania zezwoleń i stosowanych ograniczeń w zakresie chemikaliów</w:t>
      </w:r>
    </w:p>
    <w:p>
      <w:pPr>
        <w:spacing w:after="80" w:before="80"/>
      </w:pPr>
      <w:r>
        <w:rPr>
          <w:rFonts w:ascii="Arial" w:cs="Arial" w:eastAsia="Arial" w:hAnsi="Arial"/>
          <w:b/>
          <w:bCs/>
          <w:sz w:val="20"/>
          <w:szCs w:val="20"/>
        </w:rPr>
        <w:t xml:space="preserve">GHS:</w:t>
      </w:r>
      <w:r>
        <w:rPr>
          <w:rFonts w:ascii="Arial" w:cs="Arial" w:eastAsia="Arial" w:hAnsi="Arial"/>
          <w:sz w:val="20"/>
          <w:szCs w:val="20"/>
        </w:rPr>
        <w:t xml:space="preserve"> Globalnie Zharmonizowany System Klasyfikacji i Oznakowania Chemikaliów</w:t>
      </w:r>
    </w:p>
    <w:p>
      <w:pPr>
        <w:spacing w:after="80" w:before="80"/>
      </w:pPr>
      <w:r>
        <w:rPr>
          <w:rFonts w:ascii="Arial" w:cs="Arial" w:eastAsia="Arial" w:hAnsi="Arial"/>
          <w:b/>
          <w:bCs/>
          <w:sz w:val="20"/>
          <w:szCs w:val="20"/>
        </w:rPr>
        <w:t xml:space="preserve">CAS:</w:t>
      </w:r>
      <w:r>
        <w:rPr>
          <w:rFonts w:ascii="Arial" w:cs="Arial" w:eastAsia="Arial" w:hAnsi="Arial"/>
          <w:sz w:val="20"/>
          <w:szCs w:val="20"/>
        </w:rPr>
        <w:t xml:space="preserve"> Chemical Abstracts Service (unikalny numeryczny identyfikator substancji chemicznej)</w:t>
      </w:r>
    </w:p>
    <w:p>
      <w:pPr>
        <w:spacing w:after="80" w:before="80"/>
      </w:pPr>
      <w:r>
        <w:rPr>
          <w:rFonts w:ascii="Arial" w:cs="Arial" w:eastAsia="Arial" w:hAnsi="Arial"/>
          <w:b/>
          <w:bCs/>
          <w:sz w:val="20"/>
          <w:szCs w:val="20"/>
        </w:rPr>
        <w:t xml:space="preserve">WE:</w:t>
      </w:r>
      <w:r>
        <w:rPr>
          <w:rFonts w:ascii="Arial" w:cs="Arial" w:eastAsia="Arial" w:hAnsi="Arial"/>
          <w:sz w:val="20"/>
          <w:szCs w:val="20"/>
        </w:rPr>
        <w:t xml:space="preserve"> Numer Wspólnoty Europejskiej (oficjalny numer rejestracyjny substancji w UE: EINECS, ELINCS lub NLP)</w:t>
      </w:r>
    </w:p>
    <w:p>
      <w:pPr>
        <w:spacing w:after="80" w:before="80"/>
      </w:pPr>
      <w:r>
        <w:rPr>
          <w:rFonts w:ascii="Arial" w:cs="Arial" w:eastAsia="Arial" w:hAnsi="Arial"/>
          <w:b/>
          <w:bCs/>
          <w:sz w:val="20"/>
          <w:szCs w:val="20"/>
        </w:rPr>
        <w:t xml:space="preserve">NDS:</w:t>
      </w:r>
      <w:r>
        <w:rPr>
          <w:rFonts w:ascii="Arial" w:cs="Arial" w:eastAsia="Arial" w:hAnsi="Arial"/>
          <w:sz w:val="20"/>
          <w:szCs w:val="20"/>
        </w:rPr>
        <w:t xml:space="preserve"> Najwyższe dopuszczalne stężenie na stanowisku pracy w ciągu 8-godzinnego dnia pracy</w:t>
      </w:r>
    </w:p>
    <w:p>
      <w:pPr>
        <w:spacing w:after="80" w:before="80"/>
      </w:pPr>
      <w:r>
        <w:rPr>
          <w:rFonts w:ascii="Arial" w:cs="Arial" w:eastAsia="Arial" w:hAnsi="Arial"/>
          <w:b/>
          <w:bCs/>
          <w:sz w:val="20"/>
          <w:szCs w:val="20"/>
        </w:rPr>
        <w:t xml:space="preserve">NDSCh:</w:t>
      </w:r>
      <w:r>
        <w:rPr>
          <w:rFonts w:ascii="Arial" w:cs="Arial" w:eastAsia="Arial" w:hAnsi="Arial"/>
          <w:sz w:val="20"/>
          <w:szCs w:val="20"/>
        </w:rPr>
        <w:t xml:space="preserve"> Najwyższe dopuszczalne stężenie chwilowe (czas ekspozycji do 15 minut)</w:t>
      </w:r>
    </w:p>
    <w:p>
      <w:pPr>
        <w:spacing w:after="80" w:before="80"/>
      </w:pPr>
      <w:r>
        <w:rPr>
          <w:rFonts w:ascii="Arial" w:cs="Arial" w:eastAsia="Arial" w:hAnsi="Arial"/>
          <w:b/>
          <w:bCs/>
          <w:sz w:val="20"/>
          <w:szCs w:val="20"/>
        </w:rPr>
        <w:t xml:space="preserve">NDSP:</w:t>
      </w:r>
      <w:r>
        <w:rPr>
          <w:rFonts w:ascii="Arial" w:cs="Arial" w:eastAsia="Arial" w:hAnsi="Arial"/>
          <w:sz w:val="20"/>
          <w:szCs w:val="20"/>
        </w:rPr>
        <w:t xml:space="preserve"> Najwyższe dopuszczalne stężenie pułapowe (wartość, która nie może być przekroczona w żadnym momencie)</w:t>
      </w:r>
    </w:p>
    <w:p>
      <w:pPr>
        <w:spacing w:after="80" w:before="80"/>
      </w:pPr>
      <w:r>
        <w:rPr>
          <w:rFonts w:ascii="Arial" w:cs="Arial" w:eastAsia="Arial" w:hAnsi="Arial"/>
          <w:b/>
          <w:bCs/>
          <w:sz w:val="20"/>
          <w:szCs w:val="20"/>
        </w:rPr>
        <w:t xml:space="preserve">DNEL:</w:t>
      </w:r>
      <w:r>
        <w:rPr>
          <w:rFonts w:ascii="Arial" w:cs="Arial" w:eastAsia="Arial" w:hAnsi="Arial"/>
          <w:sz w:val="20"/>
          <w:szCs w:val="20"/>
        </w:rPr>
        <w:t xml:space="preserve"> Pochodny poziom niepowodujący zmian (Derived No-Effect Level)</w:t>
      </w:r>
    </w:p>
    <w:p>
      <w:pPr>
        <w:spacing w:after="80" w:before="80"/>
      </w:pPr>
      <w:r>
        <w:rPr>
          <w:rFonts w:ascii="Arial" w:cs="Arial" w:eastAsia="Arial" w:hAnsi="Arial"/>
          <w:b/>
          <w:bCs/>
          <w:sz w:val="20"/>
          <w:szCs w:val="20"/>
        </w:rPr>
        <w:t xml:space="preserve">PNEC:</w:t>
      </w:r>
      <w:r>
        <w:rPr>
          <w:rFonts w:ascii="Arial" w:cs="Arial" w:eastAsia="Arial" w:hAnsi="Arial"/>
          <w:sz w:val="20"/>
          <w:szCs w:val="20"/>
        </w:rPr>
        <w:t xml:space="preserve"> Przewidywane stężenie niepowodujące zmian w środowisku (Predicted No-Effect Concentration)</w:t>
      </w:r>
    </w:p>
    <w:p>
      <w:pPr>
        <w:spacing w:after="80"/>
      </w:pPr>
      <w:r>
        <w:rPr>
          <w:rFonts w:ascii="Arial" w:cs="Arial" w:eastAsia="Arial" w:hAnsi="Arial"/>
          <w:sz w:val="20"/>
          <w:szCs w:val="20"/>
        </w:rPr>
        <w:t xml:space="preserve">PBT: Substancja trwała, wykazująca zdolność do bioakumulacji i toksyczna</w:t>
      </w:r>
    </w:p>
    <w:p>
      <w:pPr>
        <w:spacing w:after="80" w:before="80"/>
      </w:pPr>
      <w:r>
        <w:rPr>
          <w:rFonts w:ascii="Arial" w:cs="Arial" w:eastAsia="Arial" w:hAnsi="Arial"/>
          <w:b/>
          <w:bCs/>
          <w:sz w:val="20"/>
          <w:szCs w:val="20"/>
        </w:rPr>
        <w:t xml:space="preserve">vPvB:</w:t>
      </w:r>
      <w:r>
        <w:rPr>
          <w:rFonts w:ascii="Arial" w:cs="Arial" w:eastAsia="Arial" w:hAnsi="Arial"/>
          <w:sz w:val="20"/>
          <w:szCs w:val="20"/>
        </w:rPr>
        <w:t xml:space="preserve"> Substancja bardzo trwała i wykazująca bardzo dużą zdolność do bioakumulacji</w:t>
      </w:r>
    </w:p>
    <w:p>
      <w:pPr>
        <w:spacing w:after="80" w:before="80"/>
      </w:pPr>
      <w:r>
        <w:rPr>
          <w:rFonts w:ascii="Arial" w:cs="Arial" w:eastAsia="Arial" w:hAnsi="Arial"/>
          <w:b/>
          <w:bCs/>
          <w:sz w:val="20"/>
          <w:szCs w:val="20"/>
        </w:rPr>
        <w:t xml:space="preserve">SVHC:</w:t>
      </w:r>
      <w:r>
        <w:rPr>
          <w:rFonts w:ascii="Arial" w:cs="Arial" w:eastAsia="Arial" w:hAnsi="Arial"/>
          <w:sz w:val="20"/>
          <w:szCs w:val="20"/>
        </w:rPr>
        <w:t xml:space="preserve"> Substancje wzbudzające szczególnie duże obawy (Substances of Very High Concern)</w:t>
      </w:r>
    </w:p>
    <w:p>
      <w:pPr>
        <w:spacing w:after="80"/>
      </w:pPr>
      <w:r>
        <w:rPr>
          <w:rFonts w:ascii="Arial" w:cs="Arial" w:eastAsia="Arial" w:hAnsi="Arial"/>
          <w:sz w:val="20"/>
          <w:szCs w:val="20"/>
        </w:rPr>
        <w:t xml:space="preserve">BCF: Współczynnik biokoncentracji (Bioconcentration Factor)</w:t>
      </w:r>
    </w:p>
    <w:p>
      <w:pPr>
        <w:spacing w:after="80" w:before="80"/>
      </w:pPr>
      <w:r>
        <w:rPr>
          <w:rFonts w:ascii="Arial" w:cs="Arial" w:eastAsia="Arial" w:hAnsi="Arial"/>
          <w:b/>
          <w:bCs/>
          <w:sz w:val="20"/>
          <w:szCs w:val="20"/>
        </w:rPr>
        <w:t xml:space="preserve">log Kow:</w:t>
      </w:r>
      <w:r>
        <w:rPr>
          <w:rFonts w:ascii="Arial" w:cs="Arial" w:eastAsia="Arial" w:hAnsi="Arial"/>
          <w:sz w:val="20"/>
          <w:szCs w:val="20"/>
        </w:rPr>
        <w:t xml:space="preserve"> Współczynnik podziału n-oktanol/woda</w:t>
      </w:r>
    </w:p>
    <w:p>
      <w:pPr>
        <w:spacing w:after="80" w:before="80"/>
      </w:pPr>
      <w:r>
        <w:rPr>
          <w:rFonts w:ascii="Arial" w:cs="Arial" w:eastAsia="Arial" w:hAnsi="Arial"/>
          <w:b/>
          <w:bCs/>
          <w:sz w:val="20"/>
          <w:szCs w:val="20"/>
        </w:rPr>
        <w:t xml:space="preserve">LD50:</w:t>
      </w:r>
      <w:r>
        <w:rPr>
          <w:rFonts w:ascii="Arial" w:cs="Arial" w:eastAsia="Arial" w:hAnsi="Arial"/>
          <w:sz w:val="20"/>
          <w:szCs w:val="20"/>
        </w:rPr>
        <w:t xml:space="preserve"> Dawka śmiertelna dla 50% badanej populacji zwierząt laboratoryjnych</w:t>
      </w:r>
    </w:p>
    <w:p>
      <w:pPr>
        <w:spacing w:after="80" w:before="80"/>
      </w:pPr>
      <w:r>
        <w:rPr>
          <w:rFonts w:ascii="Arial" w:cs="Arial" w:eastAsia="Arial" w:hAnsi="Arial"/>
          <w:b/>
          <w:bCs/>
          <w:sz w:val="20"/>
          <w:szCs w:val="20"/>
        </w:rPr>
        <w:t xml:space="preserve">LC50:</w:t>
      </w:r>
      <w:r>
        <w:rPr>
          <w:rFonts w:ascii="Arial" w:cs="Arial" w:eastAsia="Arial" w:hAnsi="Arial"/>
          <w:sz w:val="20"/>
          <w:szCs w:val="20"/>
        </w:rPr>
        <w:t xml:space="preserve"> Stężenie śmiertelne dla 50% badanej populacji organizmów testowych</w:t>
      </w:r>
    </w:p>
    <w:p>
      <w:pPr>
        <w:spacing w:after="80" w:before="80"/>
      </w:pPr>
      <w:r>
        <w:rPr>
          <w:rFonts w:ascii="Arial" w:cs="Arial" w:eastAsia="Arial" w:hAnsi="Arial"/>
          <w:b/>
          <w:bCs/>
          <w:sz w:val="20"/>
          <w:szCs w:val="20"/>
        </w:rPr>
        <w:t xml:space="preserve">EC50:</w:t>
      </w:r>
      <w:r>
        <w:rPr>
          <w:rFonts w:ascii="Arial" w:cs="Arial" w:eastAsia="Arial" w:hAnsi="Arial"/>
          <w:sz w:val="20"/>
          <w:szCs w:val="20"/>
        </w:rPr>
        <w:t xml:space="preserve"> Stężenie wywołujące efekt u 50% badanej populacji testowej</w:t>
      </w:r>
    </w:p>
    <w:p>
      <w:pPr>
        <w:spacing w:after="80" w:before="80"/>
      </w:pPr>
      <w:r>
        <w:rPr>
          <w:rFonts w:ascii="Arial" w:cs="Arial" w:eastAsia="Arial" w:hAnsi="Arial"/>
          <w:b/>
          <w:bCs/>
          <w:sz w:val="20"/>
          <w:szCs w:val="20"/>
        </w:rPr>
        <w:t xml:space="preserve">NOEC:</w:t>
      </w:r>
      <w:r>
        <w:rPr>
          <w:rFonts w:ascii="Arial" w:cs="Arial" w:eastAsia="Arial" w:hAnsi="Arial"/>
          <w:sz w:val="20"/>
          <w:szCs w:val="20"/>
        </w:rPr>
        <w:t xml:space="preserve"> Najwyższe stężenie, przy którym nie obserwuje się statystycznie istotnych skutków (No Observed Effect Concentration)</w:t>
      </w:r>
    </w:p>
    <w:p>
      <w:pPr>
        <w:spacing w:after="80" w:before="80"/>
      </w:pPr>
      <w:r>
        <w:rPr>
          <w:rFonts w:ascii="Arial" w:cs="Arial" w:eastAsia="Arial" w:hAnsi="Arial"/>
          <w:b/>
          <w:bCs/>
          <w:sz w:val="20"/>
          <w:szCs w:val="20"/>
        </w:rPr>
        <w:t xml:space="preserve">SCL:</w:t>
      </w:r>
      <w:r>
        <w:rPr>
          <w:rFonts w:ascii="Arial" w:cs="Arial" w:eastAsia="Arial" w:hAnsi="Arial"/>
          <w:sz w:val="20"/>
          <w:szCs w:val="20"/>
        </w:rPr>
        <w:t xml:space="preserve"> Specyficzne stężenie graniczne (Specific Concentration Limit)</w:t>
      </w:r>
    </w:p>
    <w:p>
      <w:pPr>
        <w:spacing w:after="80" w:before="80"/>
      </w:pPr>
      <w:r>
        <w:rPr>
          <w:rFonts w:ascii="Arial" w:cs="Arial" w:eastAsia="Arial" w:hAnsi="Arial"/>
          <w:b/>
          <w:bCs/>
          <w:sz w:val="20"/>
          <w:szCs w:val="20"/>
        </w:rPr>
        <w:t xml:space="preserve">BDO:</w:t>
      </w:r>
      <w:r>
        <w:rPr>
          <w:rFonts w:ascii="Arial" w:cs="Arial" w:eastAsia="Arial" w:hAnsi="Arial"/>
          <w:sz w:val="20"/>
          <w:szCs w:val="20"/>
        </w:rPr>
        <w:t xml:space="preserve"> Baza danych o produktach i opakowaniach oraz o gospodarce odpadami</w:t>
      </w:r>
    </w:p>
    <w:p>
      <w:pPr>
        <w:spacing w:after="80" w:before="80"/>
      </w:pPr>
      <w:r>
        <w:rPr>
          <w:rFonts w:ascii="Arial" w:cs="Arial" w:eastAsia="Arial" w:hAnsi="Arial"/>
          <w:b/>
          <w:bCs/>
          <w:sz w:val="20"/>
          <w:szCs w:val="20"/>
        </w:rPr>
        <w:t xml:space="preserve">ECHA:</w:t>
      </w:r>
      <w:r>
        <w:rPr>
          <w:rFonts w:ascii="Arial" w:cs="Arial" w:eastAsia="Arial" w:hAnsi="Arial"/>
          <w:sz w:val="20"/>
          <w:szCs w:val="20"/>
        </w:rPr>
        <w:t xml:space="preserve"> Europejska Agencja Chemikaliów</w:t>
      </w:r>
    </w:p>
    <w:p>
      <w:pPr>
        <w:spacing w:after="80" w:before="150"/>
      </w:pPr>
      <w:r>
        <w:rPr>
          <w:rFonts w:ascii="Arial" w:cs="Arial" w:eastAsia="Arial" w:hAnsi="Arial"/>
          <w:b/>
          <w:bCs/>
          <w:sz w:val="20"/>
          <w:szCs w:val="20"/>
        </w:rPr>
        <w:t xml:space="preserve">Główne źródła literatury i danych:</w:t>
      </w:r>
    </w:p>
    <w:p>
      <w:pPr>
        <w:spacing w:after="80"/>
      </w:pPr>
      <w:r>
        <w:rPr>
          <w:rFonts w:ascii="Arial" w:cs="Arial" w:eastAsia="Arial" w:hAnsi="Arial"/>
          <w:sz w:val="20"/>
          <w:szCs w:val="20"/>
        </w:rPr>
        <w:t xml:space="preserve">- Karty charakterystyki substancji składowych udostępnione przez producentów i dostawców surowców.</w:t>
      </w:r>
    </w:p>
    <w:p>
      <w:pPr>
        <w:spacing w:after="60" w:before="60"/>
      </w:pPr>
      <w:r>
        <w:rPr>
          <w:rFonts w:ascii="Arial" w:cs="Arial" w:eastAsia="Arial" w:hAnsi="Arial"/>
          <w:b/>
          <w:bCs/>
          <w:sz w:val="20"/>
          <w:szCs w:val="20"/>
        </w:rPr>
        <w:t xml:space="preserve">- Baza danych Europejskiej Agencji Chemikaliów (ECHA):</w:t>
      </w:r>
      <w:r>
        <w:rPr>
          <w:rFonts w:ascii="Arial" w:cs="Arial" w:eastAsia="Arial" w:hAnsi="Arial"/>
          <w:sz w:val="20"/>
          <w:szCs w:val="20"/>
        </w:rPr>
        <w:t xml:space="preserve"> https://echa.europa.eu/</w:t>
      </w:r>
    </w:p>
    <w:p>
      <w:pPr>
        <w:spacing w:after="60" w:before="60"/>
      </w:pPr>
      <w:r>
        <w:rPr>
          <w:rFonts w:ascii="Arial" w:cs="Arial" w:eastAsia="Arial" w:hAnsi="Arial"/>
          <w:b/>
          <w:bCs/>
          <w:sz w:val="20"/>
          <w:szCs w:val="20"/>
        </w:rPr>
        <w:t xml:space="preserve">- Baza danych PubChem National Library of Medicine:</w:t>
      </w:r>
      <w:r>
        <w:rPr>
          <w:rFonts w:ascii="Arial" w:cs="Arial" w:eastAsia="Arial" w:hAnsi="Arial"/>
          <w:sz w:val="20"/>
          <w:szCs w:val="20"/>
        </w:rPr>
        <w:t xml:space="preserve"> https://pubchem.ncbi.nlm.nih.gov/</w:t>
      </w:r>
    </w:p>
    <w:p>
      <w:pPr>
        <w:spacing w:after="80"/>
      </w:pPr>
      <w:r>
        <w:rPr>
          <w:rFonts w:ascii="Arial" w:cs="Arial" w:eastAsia="Arial" w:hAnsi="Arial"/>
          <w:sz w:val="20"/>
          <w:szCs w:val="20"/>
        </w:rPr>
        <w:t xml:space="preserve">- Obowiązujące unijne i krajowe akty prawne (REACH, CLP, Dz.U. 2018 poz. 1286, Dz.U. 2023 poz. 1587).</w:t>
      </w:r>
    </w:p>
    <w:p>
      <w:pPr>
        <w:spacing w:after="80" w:before="150"/>
      </w:pPr>
      <w:r>
        <w:rPr>
          <w:rFonts w:ascii="Arial" w:cs="Arial" w:eastAsia="Arial" w:hAnsi="Arial"/>
          <w:b/>
          <w:bCs/>
          <w:sz w:val="20"/>
          <w:szCs w:val="20"/>
        </w:rPr>
        <w:t xml:space="preserve">Zalecenia i wskazówki szkoleniowe dla pracowników:</w:t>
      </w:r>
    </w:p>
    <w:p>
      <w:pPr>
        <w:spacing w:after="80"/>
      </w:pPr>
      <w:r>
        <w:rPr>
          <w:rFonts w:ascii="Arial" w:cs="Arial" w:eastAsia="Arial" w:hAnsi="Arial"/>
          <w:sz w:val="20"/>
          <w:szCs w:val="20"/>
        </w:rPr>
        <w:t xml:space="preserve">Przed przystąpieniem do pracy z produktem należy zapoznać się z treścią niniejszej karty charakterystyki oraz przepisami BHP obowiązującymi na stanowisku pracy. Pracownicy mający kontakt z produktem powinni zostać przeszkoleni w zakresie prawidłowego i bezpiecznego obchodzenia się z chemikaliami oraz postępowania w sytuacjach awaryjnych.</w:t>
      </w:r>
    </w:p>
    <w:p>
      <w:pPr>
        <w:spacing w:after="80" w:before="150"/>
      </w:pPr>
      <w:r>
        <w:rPr>
          <w:rFonts w:ascii="Arial" w:cs="Arial" w:eastAsia="Arial" w:hAnsi="Arial"/>
          <w:b/>
          <w:bCs/>
          <w:sz w:val="20"/>
          <w:szCs w:val="20"/>
        </w:rPr>
        <w:t xml:space="preserve">Informacje o zmianach i aktualizacji:</w:t>
      </w:r>
    </w:p>
    <w:p>
      <w:pPr>
        <w:spacing w:after="80"/>
      </w:pPr>
      <w:r>
        <w:rPr>
          <w:rFonts w:ascii="Arial" w:cs="Arial" w:eastAsia="Arial" w:hAnsi="Arial"/>
          <w:sz w:val="20"/>
          <w:szCs w:val="20"/>
        </w:rPr>
        <w:t xml:space="preserve">Niniejsza karta charakterystyki (wersja 1.0 PL) stanowi wydanie pierwsze w języku polskim, opracowane na podstawie karty charakterystyki SDS producenta.</w:t>
      </w:r>
    </w:p>
    <w:p>
      <w:pPr>
        <w:spacing w:after="80"/>
      </w:pPr>
      <w:r>
        <w:rPr>
          <w:rFonts w:ascii="Arial" w:cs="Arial" w:eastAsia="Arial" w:hAnsi="Arial"/>
          <w:sz w:val="20"/>
          <w:szCs w:val="20"/>
        </w:rPr>
        <w:t xml:space="preserve">Aktualizacja została sporządzona i dostosowana zgodnie z wymogami Rozporządzenia Komisji (UE) 2020/878 z dnia 18 czerwca 2020 r. zmieniającego załącznik II do rozporządzenia (WE) nr 1907/2006 (REACH) oraz przepisami prawa Rzeczypospolitej Polskiej.</w:t>
      </w:r>
    </w:p>
    <w:p>
      <w:pPr>
        <w:spacing w:after="80"/>
      </w:pPr>
      <w:r>
        <w:rPr>
          <w:rFonts w:ascii="Arial" w:cs="Arial" w:eastAsia="Arial" w:hAnsi="Arial"/>
          <w:sz w:val="20"/>
          <w:szCs w:val="20"/>
        </w:rPr>
        <w:t xml:space="preserve">Główne zmiany wprowadzone w bieżącej wersji obejmują:</w:t>
      </w:r>
    </w:p>
    <w:p>
      <w:pPr>
        <w:spacing w:after="60" w:before="60"/>
      </w:pPr>
      <w:r>
        <w:rPr>
          <w:rFonts w:ascii="Arial" w:cs="Arial" w:eastAsia="Arial" w:hAnsi="Arial"/>
          <w:b/>
          <w:bCs/>
          <w:sz w:val="20"/>
          <w:szCs w:val="20"/>
        </w:rPr>
        <w:t xml:space="preserve">- Sekcja 1.3:</w:t>
      </w:r>
      <w:r>
        <w:rPr>
          <w:rFonts w:ascii="Arial" w:cs="Arial" w:eastAsia="Arial" w:hAnsi="Arial"/>
          <w:sz w:val="20"/>
          <w:szCs w:val="20"/>
        </w:rPr>
        <w:t xml:space="preserve"> Aktualizacja danych dostawcy karty w Rzeczypospolitej Polskiej na ITALLUX Sp. z o.o. (ul. Wesoła 16, 63-600 Kępno, www.prostozwloch.com.pl).</w:t>
      </w:r>
    </w:p>
    <w:p>
      <w:pPr>
        <w:spacing w:after="60" w:before="60"/>
      </w:pPr>
      <w:r>
        <w:rPr>
          <w:rFonts w:ascii="Arial" w:cs="Arial" w:eastAsia="Arial" w:hAnsi="Arial"/>
          <w:b/>
          <w:bCs/>
          <w:sz w:val="20"/>
          <w:szCs w:val="20"/>
        </w:rPr>
        <w:t xml:space="preserve">- Sekcja 8.1:</w:t>
      </w:r>
      <w:r>
        <w:rPr>
          <w:rFonts w:ascii="Arial" w:cs="Arial" w:eastAsia="Arial" w:hAnsi="Arial"/>
          <w:sz w:val="20"/>
          <w:szCs w:val="20"/>
        </w:rPr>
        <w:t xml:space="preserve"> Weryfikacja i implementacja krajowych norm higienicznych w środowisku pracy (NDS, NDSCh) na podstawie Rozporządzenia MRPiPS (Dz.U. 2018 poz. 1286 z późn. zm.).</w:t>
      </w:r>
    </w:p>
    <w:p>
      <w:pPr>
        <w:spacing w:after="60" w:before="60"/>
      </w:pPr>
      <w:r>
        <w:rPr>
          <w:rFonts w:ascii="Arial" w:cs="Arial" w:eastAsia="Arial" w:hAnsi="Arial"/>
          <w:b/>
          <w:bCs/>
          <w:sz w:val="20"/>
          <w:szCs w:val="20"/>
        </w:rPr>
        <w:t xml:space="preserve">- Sekcja 11.2 i 12.6:</w:t>
      </w:r>
      <w:r>
        <w:rPr>
          <w:rFonts w:ascii="Arial" w:cs="Arial" w:eastAsia="Arial" w:hAnsi="Arial"/>
          <w:sz w:val="20"/>
          <w:szCs w:val="20"/>
        </w:rPr>
        <w:t xml:space="preserve"> Wdrożenie obligatoryjnych podsekcji dotyczących właściwości zaburzających funkcjonowanie układu hormonalnego.</w:t>
      </w:r>
    </w:p>
    <w:p>
      <w:pPr>
        <w:spacing w:after="60" w:before="60"/>
      </w:pPr>
      <w:r>
        <w:rPr>
          <w:rFonts w:ascii="Arial" w:cs="Arial" w:eastAsia="Arial" w:hAnsi="Arial"/>
          <w:b/>
          <w:bCs/>
          <w:sz w:val="20"/>
          <w:szCs w:val="20"/>
        </w:rPr>
        <w:t xml:space="preserve">- Sekcja 13:</w:t>
      </w:r>
      <w:r>
        <w:rPr>
          <w:rFonts w:ascii="Arial" w:cs="Arial" w:eastAsia="Arial" w:hAnsi="Arial"/>
          <w:sz w:val="20"/>
          <w:szCs w:val="20"/>
        </w:rPr>
        <w:t xml:space="preserve"> Aktualizacja klasyfikacji i 6-cyfrowych kodów odpadów zgodnie z ustawą o odpadach i Dz.U. 2020 poz. 10.</w:t>
      </w:r>
    </w:p>
    <w:p>
      <w:pPr>
        <w:spacing w:after="60" w:before="60"/>
      </w:pPr>
      <w:r>
        <w:rPr>
          <w:rFonts w:ascii="Arial" w:cs="Arial" w:eastAsia="Arial" w:hAnsi="Arial"/>
          <w:b/>
          <w:bCs/>
          <w:sz w:val="20"/>
          <w:szCs w:val="20"/>
        </w:rPr>
        <w:t xml:space="preserve">- Sekcja 14:</w:t>
      </w:r>
      <w:r>
        <w:rPr>
          <w:rFonts w:ascii="Arial" w:cs="Arial" w:eastAsia="Arial" w:hAnsi="Arial"/>
          <w:sz w:val="20"/>
          <w:szCs w:val="20"/>
        </w:rPr>
        <w:t xml:space="preserve"> Weryfikacja i zharmonizowanie warunków przewozu zgodnie z Umową ADR.</w:t>
      </w:r>
    </w:p>
    <w:p>
      <w:pPr>
        <w:spacing w:after="80" w:before="150"/>
      </w:pPr>
      <w:r>
        <w:rPr>
          <w:rFonts w:ascii="Arial" w:cs="Arial" w:eastAsia="Arial" w:hAnsi="Arial"/>
          <w:b/>
          <w:bCs/>
          <w:sz w:val="20"/>
          <w:szCs w:val="20"/>
        </w:rPr>
        <w:t xml:space="preserve">Klauzula prawna i ochrona praw autorskich:</w:t>
      </w:r>
    </w:p>
    <w:p>
      <w:pPr>
        <w:spacing w:after="80"/>
      </w:pPr>
      <w:r>
        <w:rPr>
          <w:rFonts w:ascii="Arial" w:cs="Arial" w:eastAsia="Arial" w:hAnsi="Arial"/>
          <w:sz w:val="20"/>
          <w:szCs w:val="20"/>
        </w:rPr>
        <w:t xml:space="preserve">Niniejsze autorskie opracowanie tłumaczenia, formatowania oraz adaptacji regulacyjnej do prawa polskiego stanowi własność intelektualną firmy ITALLUX Sp. z o.o.. Kopiowanie i wykorzystywanie całości lub fragmentów w celach komercyjnych przez podmioty trzecie bez uprzedniej zgody właściciela jest zabronione. Dozwolone jest wykorzystanie dokumentu przez odbiorców w łańcuchu dostaw do celów bezpieczeństwa pracy i ochrony zdrowia.</w:t>
      </w:r>
    </w:p>
    <w:p>
      <w:pPr>
        <w:spacing w:after="80"/>
      </w:pPr>
      <w:r>
        <w:rPr>
          <w:rFonts w:ascii="Arial" w:cs="Arial" w:eastAsia="Arial" w:hAnsi="Arial"/>
          <w:sz w:val="20"/>
          <w:szCs w:val="20"/>
        </w:rPr>
        <w:t xml:space="preserve">Informacje zawarte w niniejszej karcie wynikają z aktualnego stanu wiedzy producenta i dystrybutora i odnoszą się wyłącznie do opisanego produktu. Użytkownik ponosi odpowiedzialność za stworzenie bezpiecznych warunków pracy oraz spełnienie wymagań prawnych związanych z jego zastosowaniem.</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color="E5E7EB" w:sz="4" w:space="4"/>
      </w:pBdr>
      <w:spacing w:before="120"/>
      <w:jc w:val="right"/>
    </w:pPr>
    <w:r>
      <w:rPr>
        <w:rFonts w:ascii="Arial" w:cs="Arial" w:eastAsia="Arial" w:hAnsi="Arial"/>
        <w:color w:val="555555"/>
        <w:sz w:val="16"/>
        <w:szCs w:val="16"/>
      </w:rPr>
      <w:t xml:space="preserve">Dystrybutor: ITALLUX Sp. z o.o. | </w:t>
    </w:r>
    <w:r>
      <w:rPr>
        <w:rFonts w:ascii="Arial" w:cs="Arial" w:eastAsia="Arial" w:hAnsi="Arial"/>
        <w:color w:val="555555"/>
        <w:sz w:val="16"/>
        <w:szCs w:val="16"/>
      </w:rPr>
      <w:t xml:space="preserve">Strona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z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color="E5E7EB" w:sz="4" w:space="4"/>
      </w:pBdr>
      <w:spacing w:after="120"/>
      <w:jc w:val="right"/>
    </w:pPr>
    <w:r>
      <w:rPr>
        <w:rFonts w:ascii="Arial" w:cs="Arial" w:eastAsia="Arial" w:hAnsi="Arial"/>
        <w:color w:val="555555"/>
        <w:sz w:val="16"/>
        <w:szCs w:val="16"/>
      </w:rPr>
      <w:t xml:space="preserve">KARTA CHARAKTERYSTYKI | SWEET HOME - PROFUMATORE AMBIENTE SANDALO | Wersja: 1.0 PL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edf4620fc619cfcec683facca7e88bc7fd37dd8.undefined"/><Relationship Id="rId10" Type="http://schemas.openxmlformats.org/officeDocument/2006/relationships/image" Target="media/ab3b38ff5aec5db8cf291d921b1836a765ff072f.undefined"/><Relationship Id="rId11" Type="http://schemas.openxmlformats.org/officeDocument/2006/relationships/image" Target="media/1afc9071941e32bf48a17a39c156f46e42382beb.undefined"/><Relationship Id="rId12" Type="http://schemas.openxmlformats.org/officeDocument/2006/relationships/image" Target="media/40ebfa5564939c27d85f5e4019dc884a31c847f6.undefined"/><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2026-09-16T14:31:51.070Z</dcterms:created>
  <dcterms:modified xsi:type="dcterms:W3CDTF">2026-09-16T14:31:51.070Z</dcterms:modified>
</cp:coreProperties>
</file>

<file path=docProps/custom.xml><?xml version="1.0" encoding="utf-8"?>
<Properties xmlns="http://schemas.openxmlformats.org/officeDocument/2006/custom-properties" xmlns:vt="http://schemas.openxmlformats.org/officeDocument/2006/docPropsVTypes"/>
</file>