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Karta Charakterystyki</w:t>
      </w:r>
    </w:p>
    <w:p>
      <w:pPr>
        <w:spacing w:after="300"/>
        <w:jc w:val="center"/>
      </w:pPr>
      <w:r>
        <w:rPr>
          <w:sz w:val="16"/>
          <w:szCs w:val="16"/>
        </w:rPr>
        <w:t xml:space="preserve">[Sporządzona zgodnie z rozporządzeniem WE 1907/2006(REACH) wraz z późn. zm.]</w:t>
      </w:r>
    </w:p>
    <w:p>
      <w:pPr>
        <w:spacing w:after="400"/>
        <w:jc w:val="right"/>
      </w:pPr>
      <w:r>
        <w:rPr>
          <w:sz w:val="16"/>
          <w:szCs w:val="16"/>
        </w:rPr>
        <w:t xml:space="preserve">Data wystawienia: 11.09.2026</w:t>
      </w:r>
      <w:r>
        <w:rPr>
          <w:sz w:val="16"/>
          <w:szCs w:val="16"/>
        </w:rPr>
        <w:t xml:space="preserve">
Wersja: 1.0 PL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produktu: SWEET HOME LAYALI - PROFUMA TESSUTI E AMBIENTE NAJMA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UFI: AJAD-RP52-PA98-ME4H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112 (ogólny telefon alarmowy w Polsce), 998 (straż pożarna), 999 (pogotowie ratunkowe)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Firma: MITRANS Weronika Grzesiak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Adres: ul. Wesoła 16, 63-600 Kępno, woj. wielkopolskie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E-mail: kontakt@prostozwloch.com.pl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Telefon: +48 663116607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zgodnie z rozporządzeniem (WE) nr 1272/2008 [CLP].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 i hasło ostrzegawcze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Nazwy niebezpiecznych substancji wymienione na etykiecie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ma.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rodzaj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środki ostrożności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uzupełniające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Zawiera: octan 4-tert-butylocykloheksylu, masa poreakcyjna 5-chloro-2-metylo-2H-izotiazol-3-onu i 2-metylo-2H-izotiazol-3-onu (3:1), aldehyd cynamonowy.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niebezpiecznych wraz z dodatkami nieniebezpiecznymi.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octan 4-tert-butylocykloheksylu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4-tert-butylcyclohexyl acetate)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32210-23-4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250-954-9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01-2119976286-24-XXXX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1B,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0,1 - &lt; 0,25 %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cynamonowy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cinnamaldehyde)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104-55-2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203-213-9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606-155-00-6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01-2119935242-45-XXXX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1A, H317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0.01%: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0,001 - &lt; 0,01 %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masa poreakcyjna 5-chloro-2-metylo-2H-izotiazol-3-onu i 2-metylo-2H-izotiazol-3-onu (3:1)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reaction mass of 5-chloro-2-methyl-2H-isothiazol-3-one and 2-methyl-2H-isothiazol-3-one (3:1))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55965-84-9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911-418-6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613-167-00-5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01-2120764691-48-XXXX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2, H330; Acute Tox. 2,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H310; Acute Tox. 3, H301;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Corr. 1C, H314; Eye Dam. 1,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H318; Skin Sens. 1A, H317;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ostra 1, H400; Stwarzające zagrożenie dla środowiska wodnego - kategoria przewlekła 1, H410, M (przewlekły) = 100,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 (ostry) = 100, EUH071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Skin Corr. 1C H314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Skin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Eye Dam. 1 H318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Eye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0.0015%: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&lt; 0,00093 %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4: ŚRODKI PIERWSZEJ POMOCY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ze skórą:</w:t>
      </w:r>
      <w:r>
        <w:rPr>
          <w:rFonts w:ascii="Arial" w:cs="Arial" w:eastAsia="Arial" w:hAnsi="Arial"/>
          <w:sz w:val="20"/>
          <w:szCs w:val="20"/>
        </w:rPr>
        <w:t xml:space="preserve"> Zdjąć zanieczyszczoną odzież. Narażone partie skóry zmyć dokładnie dużą ilością wody z mydłem. W przypadku wystąpienia podrażnienia skóry lub reakcji alergicznej skonsultować się z lekarzem.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 oczami:</w:t>
      </w:r>
      <w:r>
        <w:rPr>
          <w:rFonts w:ascii="Arial" w:cs="Arial" w:eastAsia="Arial" w:hAnsi="Arial"/>
          <w:sz w:val="20"/>
          <w:szCs w:val="20"/>
        </w:rPr>
        <w:t xml:space="preserve"> Płukać obficie wodą przy szeroko otwartych powiekach przez co najmniej 10-15 minut. Chronić niepodrażnione oko, usunąć soczewki kontaktowe, jeżeli są i można je łatwo usunąć. Natychmiast skonsultować się z lekarzem okulistą.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przypadku spożycia:</w:t>
      </w:r>
      <w:r>
        <w:rPr>
          <w:rFonts w:ascii="Arial" w:cs="Arial" w:eastAsia="Arial" w:hAnsi="Arial"/>
          <w:sz w:val="20"/>
          <w:szCs w:val="20"/>
        </w:rPr>
        <w:t xml:space="preserve"> Nie wywoływać wymiotów bez konsultacji lekarskiej. Wypłukać usta wodą. Nigdy nie podawać niczego do ust osobie nieprzytomnej. Natychmiast zasięgnąć porady lekarza, pokazując kartę charakterystyki lub etykietę produktu.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 narażeniu drogą oddechową:</w:t>
      </w:r>
      <w:r>
        <w:rPr>
          <w:rFonts w:ascii="Arial" w:cs="Arial" w:eastAsia="Arial" w:hAnsi="Arial"/>
          <w:sz w:val="20"/>
          <w:szCs w:val="20"/>
        </w:rPr>
        <w:t xml:space="preserve"> Wyprowadzić poszkodowanego na świeże powietrze, zapewnić ciepło i spokój w pozycji półsiedzącej. W przypadku wystąpienia niepokojących objawów lub złego samopoczucia skonsultować się z lekarzem i pokazać opakowanie lub etykietę.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 Najważniejsze ostre i opóźnione objawy oraz skutki narażenia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dostępnych szczegółowych informacji na temat specyficznych objawów i skutków wywoływanych przez produkt. W kontakcie ze skórą może wywoływać reakcję alergiczną u osób podatnych (zawiera substancje uczulające wymienione w sekcji 2.2).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 Wskazania dotyczące wszelkiej natychmiastowej pomocy lekarskiej i szczególnego postępowania z poszkodowanym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Leczenie:</w:t>
      </w:r>
      <w:r>
        <w:rPr>
          <w:rFonts w:ascii="Arial" w:cs="Arial" w:eastAsia="Arial" w:hAnsi="Arial"/>
          <w:sz w:val="20"/>
          <w:szCs w:val="20"/>
        </w:rPr>
        <w:t xml:space="preserve"> Leczenie objawowe. Brak dostępnych szczegółowych danych dotyczących specyficznego leczenia lub antidotum. Decyzję o sposobie postępowania ratunkowego podejmuje lekarz po dokładnej ocenie stanu poszkodowanego.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5: POSTĘPOWANIE W PRZYPADKU POŻARU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Środki gaśnicze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Odpowiednie środki gaśnicze:</w:t>
      </w:r>
      <w:r>
        <w:rPr>
          <w:rFonts w:ascii="Arial" w:cs="Arial" w:eastAsia="Arial" w:hAnsi="Arial"/>
          <w:sz w:val="20"/>
          <w:szCs w:val="20"/>
        </w:rPr>
        <w:t xml:space="preserve"> Piana gaśnicza, proszek gaśniczy, gaśnica śniegowa (CO2), rozproszony strumień wody (mgła wodna).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Niewłaściwe środki gaśnicze:</w:t>
      </w:r>
      <w:r>
        <w:rPr>
          <w:rFonts w:ascii="Arial" w:cs="Arial" w:eastAsia="Arial" w:hAnsi="Arial"/>
          <w:sz w:val="20"/>
          <w:szCs w:val="20"/>
        </w:rPr>
        <w:t xml:space="preserve"> Brak szczególnych ograniczeń. Nie zaleca się stosowania zwartego strumienia wody ze względu na ryzyko rozprzestrzenienia pożaru.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 Szczególne zagrożenia związane z substancją lub mieszaniną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Unikać wdychania produktów spalania. Podczas pożaru mogą wydzielać się toksyczne gazy, dymy i tlenki węgla.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 Informacje dla straży pożarnej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ochrony strażaków:</w:t>
      </w:r>
      <w:r>
        <w:rPr>
          <w:rFonts w:ascii="Arial" w:cs="Arial" w:eastAsia="Arial" w:hAnsi="Arial"/>
          <w:sz w:val="20"/>
          <w:szCs w:val="20"/>
        </w:rPr>
        <w:t xml:space="preserve"> Gromadzić oddzielnie zanieczyszczoną wodę gaśniczą; nie dopuścić do jej przedostania się do kanalizacji i wód gruntowych. Stosować odzież ochronną dla strażaków zgodną z normą europejską EN 469. Stosować autonomiczny aparat oddechowy (SCBA) z rękawicami chemoodpornymi.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6: POSTĘPOWANIE W PRZYPADKU NIEZAMIERZONEGO UWOLNIENIA DO ŚRODOWISKA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ostrożności, wyposażenie ochronne i procedury w sytuacjach awaryjnych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Dla osób nienależących do personelu udzielającego pomocy:</w:t>
      </w:r>
      <w:r>
        <w:rPr>
          <w:rFonts w:ascii="Arial" w:cs="Arial" w:eastAsia="Arial" w:hAnsi="Arial"/>
          <w:sz w:val="20"/>
          <w:szCs w:val="20"/>
        </w:rPr>
        <w:t xml:space="preserve"> Ewakuować osoby niepowołane z obszaru zagrożenia. Unikać zanieczyszczenia skóry i oczu. Zapewnić odpowiednią wentylację pomieszczeń.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Dla osób udzielających pomocy:</w:t>
      </w:r>
      <w:r>
        <w:rPr>
          <w:rFonts w:ascii="Arial" w:cs="Arial" w:eastAsia="Arial" w:hAnsi="Arial"/>
          <w:sz w:val="20"/>
          <w:szCs w:val="20"/>
        </w:rPr>
        <w:t xml:space="preserve"> Stosować kompletne wyposażenie ochronne (patrz sekcja 8). Unikać wdychania oparów/aerozoli.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Środki ostrożności w zakresie ochrony środowiska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dopuścić do przedostania się produktu do gleby, wód gruntowych, wód powierzchniowych ani do kanalizacji. Zatrzymać zanieczyszczoną wodę z mycia i przekazać do bezpiecznej utylizacji. W przypadku skażenia wód lub przedostania się do kanalizacji niezwłocznie powiadomić właściwe władze i służby ratownicze.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6.3. Metody i materiały zapobiegające rozprzestrzenianiu się skażenia i służące do usuwania skażenia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Zatamować wyciek, o ile jest to bezpieczne. Ograniczyć rozprzestrzenianie i zebrać za pomocą niepalnego materiału absorbującego ciecze (piasek, ziemia okrzemkowa, uniwersalny środek wiążący, trociny) do oznakowanych pojemników na odpady. Zanieczyszczoną powierzchnię zmyć dużą ilością wody.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6.4. Odniesienia do innych sekcji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dotyczące odpowiedniego sprzętu ochrony indywidualnej podano w sekcji 8. Informacje dotyczące bezpiecznego postępowania z substancją podano w sekcji 7. Informacje dotyczące unieszkodliwiania odpadów podano w sekcji 13.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7: POSTĘPOWANIE Z SUBSTANCJAMI I MIESZANINAMI ORAZ ICH MAGAZYNOWANIE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 dotyczące bezpiecznego postępowania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ostrożności:</w:t>
      </w:r>
      <w:r>
        <w:rPr>
          <w:rFonts w:ascii="Arial" w:cs="Arial" w:eastAsia="Arial" w:hAnsi="Arial"/>
          <w:sz w:val="20"/>
          <w:szCs w:val="20"/>
        </w:rPr>
        <w:t xml:space="preserve"> Unikać kontaktu ze skórą i oczami. Unikać wdychania par, mgieł oraz rozpylonej cieczy. Zapewnić odpowiednią wentylację w miejscu pracy. Nie wdychać rozpylanego aerozolu.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ogólnej higieny pracy:</w:t>
      </w:r>
      <w:r>
        <w:rPr>
          <w:rFonts w:ascii="Arial" w:cs="Arial" w:eastAsia="Arial" w:hAnsi="Arial"/>
          <w:sz w:val="20"/>
          <w:szCs w:val="20"/>
        </w:rPr>
        <w:t xml:space="preserve"> Nie jeść, nie pić i nie palić tytoniu podczas stosowania produktu. Dokładnie umyć ręce wodą z mydłem po użyciu oraz przed posiłkami. Zdjąć zanieczyszczoną odzież i sprzęt ochronny przed wejściem do miejsc przeznaczonych do spożywania posiłków. Wyprać zanieczyszczoną odzież przed ponownym użyciem.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Zalecany sprzęt ochrony osobistej:</w:t>
      </w:r>
      <w:r>
        <w:rPr>
          <w:rFonts w:ascii="Arial" w:cs="Arial" w:eastAsia="Arial" w:hAnsi="Arial"/>
          <w:sz w:val="20"/>
          <w:szCs w:val="20"/>
        </w:rPr>
        <w:t xml:space="preserve"> patrz sekcja 8.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7.2. Warunki bezpiecznego magazynowania, w tym informacje dotyczące wszelkich wzajemnych niezgodności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Warunki magazynowania:</w:t>
      </w:r>
      <w:r>
        <w:rPr>
          <w:rFonts w:ascii="Arial" w:cs="Arial" w:eastAsia="Arial" w:hAnsi="Arial"/>
          <w:sz w:val="20"/>
          <w:szCs w:val="20"/>
        </w:rPr>
        <w:t xml:space="preserve"> Przechowywać w oryginalnych, prawidłowo oznakowanych i szczelnie zamkniętych opakowaniach, w suchym, chłodnym i dobrze wentylowanym miejscu. Chronić przed bezpośrednim nasłonecznieniem, wilgocią, przemrożeniem i źródłami ciepła.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Zalecana temperatura magazynowania:</w:t>
      </w:r>
      <w:r>
        <w:rPr>
          <w:rFonts w:ascii="Arial" w:cs="Arial" w:eastAsia="Arial" w:hAnsi="Arial"/>
          <w:sz w:val="20"/>
          <w:szCs w:val="20"/>
        </w:rPr>
        <w:t xml:space="preserve"> od 5°C do 30°C. Przechowywać w miejscu niedostępnym dla dzieci i osób nieupoważnionych.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Materiały niezgodne:</w:t>
      </w:r>
      <w:r>
        <w:rPr>
          <w:rFonts w:ascii="Arial" w:cs="Arial" w:eastAsia="Arial" w:hAnsi="Arial"/>
          <w:sz w:val="20"/>
          <w:szCs w:val="20"/>
        </w:rPr>
        <w:t xml:space="preserve"> Brak szczególnych przy prawidłowym użytkowaniu i magazynowaniu. Nie przechowywać razem z silnymi utleniaczami, mocnymi kwasami, zasadami oraz żywnością, napojami i paszami dla zwierząt.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Wskazówki dotyczące pomieszczeń magazynowych:</w:t>
      </w:r>
      <w:r>
        <w:rPr>
          <w:rFonts w:ascii="Arial" w:cs="Arial" w:eastAsia="Arial" w:hAnsi="Arial"/>
          <w:sz w:val="20"/>
          <w:szCs w:val="20"/>
        </w:rPr>
        <w:t xml:space="preserve"> Pomieszczenia magazynowe powinny być odpowiednio wentylowane, suche, o nienasiąkliwej i odpornej chemicznie posadzce uniemożliwiającej przenikanie cieczy do gruntu i kanalizacji.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7.3. Szczególne zastosowanie(-a) końcowe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Zastosowanie:</w:t>
      </w:r>
      <w:r>
        <w:rPr>
          <w:rFonts w:ascii="Arial" w:cs="Arial" w:eastAsia="Arial" w:hAnsi="Arial"/>
          <w:sz w:val="20"/>
          <w:szCs w:val="20"/>
        </w:rPr>
        <w:t xml:space="preserve"> Mieszanina zapachowa / perfumy do tkanin i wnętrz (odświeżacz powietrza). Brak innych szczególnych zastosowań poza wymienionymi w podsekcji 1.2. Stosować ściśle według zaleceń producenta i instrukcji na etykiecie.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Rozwiązania specyficzne dla sektora przemysłowego:</w:t>
      </w:r>
      <w:r>
        <w:rPr>
          <w:rFonts w:ascii="Arial" w:cs="Arial" w:eastAsia="Arial" w:hAnsi="Arial"/>
          <w:sz w:val="20"/>
          <w:szCs w:val="20"/>
        </w:rPr>
        <w:t xml:space="preserve"> Brak szczególnych wytycznych.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Algorytm zablokował zagraniczne limity OEL/MAK/TLV.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KRYTYCZNE: Safety Assessor ma obowiązek uzupełnić poniższe wartości o polskie limity NDS, NDSCh, NDSP zgodnie z Dz.U. 2018 poz. 1286.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 32210-23-4: Brak określonych krajowych wartości najwyższych dopuszczalnych stężeń (NDS, NDSCh, NDSP) w Dz.U. 2018 poz. 1286.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 104-55-2: Brak określonych krajowych wartości najwyższych dopuszczalnych stężeń (NDS, NDSCh, NDSP) w Dz.U. 2018 poz. 1286.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 55965-84-9: Brak określonych krajowych wartości najwyższych dopuszczalnych stężeń (NDS, NDSCh, NDSP) w Dz.U. 2018 poz. 1286.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Ochrona rąk: Rękawice ochronne zgodne z normą EN 374. Ochrona oczu: Okulary ochronne (EN 166).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Stan skupienia: Ciecz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Barwa: Charakterystyczna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Zapach: Zgodny ze wzorcem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10: STABILNOŚĆ I REAKTYWNOŚĆ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zagrożenia: Nie sklasyfikowano.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Toksyczność: Brak danych.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Wymagane nadanie 6-cyfrowego kodu odpadu według katalogu BDO przez Safety Assessora.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Odpadowy produkt należy poddać odzyskowi lub likwidować w uprawnionych spalarniach lub zakładach utylizacji/unieszkodliwiania odpadów, zgodnie z obowiązującymi przepisami. Nie wprowadzać do kanalizacji.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akty prawne: ustawa o odpadach (t.j. Dz. U. 2023, poz. 1587 wraz z późn. zm.), ustawa o gospodarce opakowaniami i odpadami opakowaniowymi (tj. Dz. U. 2023, poz. 1658 wraz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Towar nie jest niebezpieczny w rozumieniu przepisów transportowych (ADR, RID, IMDG, IATA).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Parlamentu Europejskiego i Rady (WE) nr 1272/2008 z dnia 16 grudnia 2008 r. w sprawie klasyfikacji, oznakowania i pakowania substancji i mieszanin (CLP) z późniejszymi zmianami (ATP).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648/2004 Parlamentu Europejskiego i Rady z dnia 31 marca 2004 r. w sprawie detergentów z późniejszymi zmianami (Uwaga dla algorytmu: pozostawić, jeśli produkt jest detergentem/środkiem czystości).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Kandydacka lista substancji wzbudzających szczególnie duże obawy (SVHC) podlegających procedurze udzielania zezwoleń (REACH załącznik XIV): Mieszanina nie zawiera substancji z listy SVHC w stężeniu &gt;= 0,1%.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Ograniczenia dotyczące produkcji, wprowadzania do obrotu i stosowania niektórych niebezpiecznych substancji, preparatów i wyrobów (REACH załącznik XVII): Nie dotyczy (chyba że w sekcji 3 zidentyfikowano składniki podlegające restrykcjom).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Dyrektywa Parlamentu Europejskiego i Rady 2012/18/UE (Seveso III): Mieszanina nie podlega.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25 lutego 2011 r. o substancjach chemicznych i ich mieszaninach (Dz.U. 2011 nr 63 poz. 322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14 grudnia 2012 r. o odpadach (Dz.U. 2013 poz. 21 z późn. zm.) oraz przepisy wykonawcze do ustawy.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13 czerwca 2013 r. o gospodarce opakowaniami i odpadach opakowaniowych (Dz.U. 2013 poz. 888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2 lutego 2011 r. w sprawie badań i pomiarów czynników szkodliwych dla zdrowia w środowisku pracy (Dz.U. 2011 nr 33 poz. 166).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19 sierpnia 2011 r. o przewozie towarów niebezpiecznych (Dz.U. 2011 nr 227 poz. 1367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30 grudnia 2004 r. w sprawie bezpieczeństwa i higieny pracy związanej z występowaniem w miejscu pracy czynników chemicznych (Dz.U. 2005 nr 11 poz. 86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16: Other information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document was prepared by a competent person who has received appropriate training.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EUH071Corrosive to the respiratory tract.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H301Toxic if swallowed.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H310Fatal in contact with skin.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H314Causes severe skin burns and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H315Causes skin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H317May cause an allergic skin reaction.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H318Causes serious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H319Causes serious eye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H330Fatal if inhaled.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H400Very toxic to aquatic life.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H410Very toxic to aquatic life with long lasting effects.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CodeHazard class and hazard categoryDescription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3.1/2/DermalAcute Tox. 2Acute toxicity (dermal),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3.1/2/InhalAcute Tox. 2Acute toxicity (inhalation),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3.1/3/OralAcute Tox. 3Acute toxicity (oral), Category 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3.2/1CSkin Corr. 1CSkin corrosion, Category 1C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3.2/2Skin Irrit. 2Skin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3.3/1Eye Dam. 1Serious eye damage,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3.3/2Eye Irrit. 2Eye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3.4.2/1ASkin Sens. 1ASkin Sensitisation, Category 1A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3.4.2/1BSkin Sens. 1BSkin Sensitisation, Category 1B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4.1/A1Aquatic Acute 1Acute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4.1/C1Aquatic Chronic 1Chronic (long term)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n.of79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ECDIN - Environmental Chemicals Data and Information Network - Joint Research Centre, Commission of the European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Communities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SAX's DANGEROUS PROPERTIES OF INDUSTRIAL MATERIALS - Eight Edition - Van Nostrand Reinold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information contained herein is based on our state of knowledge at the above-specified date. It refers solely to the product indicated 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constitutes no guarantee of particular quality.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It is the duty of the user to ensure that this information is appropriate and complete with respect to the specific use intended.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MSDS cancels and replaces any preceding release.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Legend to abbreviations and acronyms used in the safety data sheet: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ACGIH: American Conference of Governmental Industrial Hygienists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ADR: European Agreement concerning the International Carriage of Dangerous Goods by Road.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AND: European Agreement concerning the International Carriage of Dangerous Goods by Inland Waterways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ATE: Acute Toxicity Estimate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ATEmix: Acute toxicity Estimate (Mixtures)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Biological Concentration Factor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BEI: Biological Exposure Index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BOD: Biochemical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CAS: Chemical Abstracts Service (division of the American Chemical Society).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CAV: Poison Center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CE: European Community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CLP: Classification, Labeling, Packaging.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CMR: Carcinogenic, Mutagenic and Reprotoxic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COD: 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COV: Volatile Organic Compound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CSA: Chemical Safety Assessment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CSR: Chemical Safety Report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DMEL: Derived Minimal Effect Level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Derived No Effect Level.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DPD: Dangerous Preparations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DSD: Dangerous Substances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EC50: Half Maximal Effective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ECHA: European Chemicals Agency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EINECS: European Inventory of Existing Commercial Chemical Substances.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ES: Exposure Scenario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GefStoffVO: Ordinance on Hazardous Substances, Germany.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GHS: Globally Harmonized System of Classification and Labeling of Chemicals.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IARC: International Agency for Research on Cancer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IATA: International Air Transport Association.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IATA-DGR: Dangerous Goods Regulation by the "International Air Transport Association" (IATA).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IC50: half maximal inhibitory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ICAO: International Civil Aviation Organization.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ICAO-TI: Technical Instructions by the "International Civil Aviation Organization" (ICAO).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IMDG: International Maritime Code for Dangerous Goods.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INCI: International Nomenclature of Cosmetic Ingredients.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IRCCS: Scientific Institute for Research, Hospitalization and Health Care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KAFH: Keep Away From Heat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KSt: Explosion coefficient.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LC50: Lethal concentration,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LD50: Lethal dose,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LDLo: Leathal Dose Low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N.A.: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N/A: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N/D: Not defined/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NA: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NIOSH: National Institute for Occupational Safety and Health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NOAEL: No Observed Adverse Effect Level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OSHA: Occupational Safety and Health Administration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Persistent, Bioaccumulative and 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PGK: Packaging Instruction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Predicted No Effect Concentration.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PSG: Passengers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RID: Regulation Concerning the International Transport of Dangerous Goods by Rail.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n.of89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STEL: Short Term Exposure limit.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STOT: Specific Target Organ Toxicity.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TLV: Threshold Limiting Value.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TWATLV: Threshold Limit Value for the Time Weighted Average 8 hour day. (ACGIH Standard).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vPvB: Very Persistent, Very Bioaccumulative.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WGK: German Water Hazard Class.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n.of99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</w:rPr>
      <w:t xml:space="preserve">Strona </w:t>
    </w:r>
    <w:r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</w:rPr>
      <w:t xml:space="preserve"> z </w:t>
    </w:r>
    <w:r>
      <w:rPr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</w:rPr>
      <w:t xml:space="preserve">SDS | SWEET HOME LAYALI - PROFUMA TESSUTI E AMBIENTE NAJMA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2026-09-11T12:56:34.268Z</dcterms:created>
  <dcterms:modified xsi:type="dcterms:W3CDTF">2026-09-11T12:56:34.268Z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