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Karta Charakterystyki</w:t>
      </w:r>
    </w:p>
    <w:p>
      <w:pPr>
        <w:spacing w:after="300"/>
        <w:jc w:val="center"/>
      </w:pPr>
      <w:r>
        <w:rPr>
          <w:sz w:val="16"/>
          <w:szCs w:val="16"/>
        </w:rPr>
        <w:t xml:space="preserve">[Sporządzona zgodnie z rozporządzeniem WE 1907/2006(REACH) wraz z późn. zm.]</w:t>
      </w:r>
    </w:p>
    <w:p>
      <w:pPr>
        <w:spacing w:after="400"/>
        <w:jc w:val="right"/>
      </w:pPr>
      <w:r>
        <w:rPr>
          <w:sz w:val="16"/>
          <w:szCs w:val="16"/>
        </w:rPr>
        <w:t xml:space="preserve">Data wystawienia: 11.09.2026</w:t>
      </w:r>
      <w:r>
        <w:rPr>
          <w:sz w:val="16"/>
          <w:szCs w:val="16"/>
        </w:rPr>
        <w:t xml:space="preserve">
Wersja: 1.0 PL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1: IDENTYFIKACJA SUBSTANCJI/MIESZANINY I IDENTYFIKACJA PRZEDSIĘBIORSTWA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1.1. Identyfikator produktu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Nazwa handlowa:</w:t>
      </w:r>
      <w:r>
        <w:rPr>
          <w:rFonts w:ascii="Arial" w:cs="Arial" w:eastAsia="Arial" w:hAnsi="Arial"/>
          <w:sz w:val="20"/>
          <w:szCs w:val="20"/>
        </w:rPr>
        <w:t xml:space="preserve"> SWEET HOME LAYALI - PROFUMA TESSUTI E AMBIENTE NAJMA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Kod produktu:</w:t>
      </w:r>
      <w:r>
        <w:rPr>
          <w:rFonts w:ascii="Arial" w:cs="Arial" w:eastAsia="Arial" w:hAnsi="Arial"/>
          <w:sz w:val="20"/>
          <w:szCs w:val="20"/>
        </w:rPr>
        <w:t xml:space="preserve"> BLK2084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UFI:</w:t>
      </w:r>
      <w:r>
        <w:rPr>
          <w:rFonts w:ascii="Arial" w:cs="Arial" w:eastAsia="Arial" w:hAnsi="Arial"/>
          <w:sz w:val="20"/>
          <w:szCs w:val="20"/>
        </w:rPr>
        <w:t xml:space="preserve"> AJAD-RP52-PA98-ME4H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1.2. Istotne zidentyfikowane zastosowania substancji lub mieszaniny oraz zastosowania odradzane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Zastosowanie zidentyfikowane:</w:t>
      </w:r>
      <w:r>
        <w:rPr>
          <w:rFonts w:ascii="Arial" w:cs="Arial" w:eastAsia="Arial" w:hAnsi="Arial"/>
          <w:sz w:val="20"/>
          <w:szCs w:val="20"/>
        </w:rPr>
        <w:t xml:space="preserve"> Zastosowanie konsumenckie: perfumy do tkanin i prania.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Zastosowania odradzane:</w:t>
      </w:r>
      <w:r>
        <w:rPr>
          <w:rFonts w:ascii="Arial" w:cs="Arial" w:eastAsia="Arial" w:hAnsi="Arial"/>
          <w:sz w:val="20"/>
          <w:szCs w:val="20"/>
        </w:rPr>
        <w:t xml:space="preserve"> Nie stosować do celów innych niż wskazane.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1.3. Dane dotyczące dostawcy karty charakterystyki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Producent / Podmiot wprowadzający do obrotu: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SUAREZ COMPANY S.R.L.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Via Pergolesi, 1, 20811 Cesano Maderno (MI) - Włochy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Tel. +39 0362659766 | www.suarezcompany.it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E-mail osoby odpowiedzialnej: info@suarezcompany.it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Dystrybutor w Polsce: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MITRANS Weronika Grzesiak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ul. Wesoła 16, 63-600 Kępno, woj. wielkopolskie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E-mail: kontakt@prostozwloch.com.pl | Tel. +48 663116607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1.4. Numer telefonu alarmowego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112 (ogólny telefon alarmowy w Polsce), 998 (straż pożarna), 999 (pogotowie ratunkowe)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Telefon producenta:</w:t>
      </w:r>
      <w:r>
        <w:rPr>
          <w:rFonts w:ascii="Arial" w:cs="Arial" w:eastAsia="Arial" w:hAnsi="Arial"/>
          <w:sz w:val="20"/>
          <w:szCs w:val="20"/>
        </w:rPr>
        <w:t xml:space="preserve"> +39 0362659766 (w godzinach pracy biura, język włoski/angielski)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2: IDENTYFIKACJA ZAGROŻEŃ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2.1. Klasyfikacja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Mieszanina nie została zaklasyfikowana jako stwarzająca zagrożenie zgodnie z rozporządzeniem (WE) nr 1272/2008 [CLP].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2.2. Elementy oznakowania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Piktogramy określające rodzaj zagrożenia i hasło ostrzegawcze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Nazwy niebezpiecznych substancji wymienione na etykiecie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ma.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rodzaj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Zwroty wskazujące środki ostrożności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P101 W razie konieczności zasięgnięcia porady lekarza należy pokazać pojemnik lub etykietę.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P102 Chronić przed dziećmi.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Informacje uzupełniające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EUH208 Zawiera: octan 4-tert-butylocykloheksylu, masa poreakcyjna 5-chloro-2-metylo-2H-izotiazol-3-onu i 2-metylo-2H-izotiazol-3-onu (3:1), aldehyd cynamonowy. Może powodować wystąpienie reakcji alergicznej.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2.3. Inne zagrożenia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Produkt nie zawiera składników wpisanych do wykazu ustanowionego zgodnie z art. 59 ust. 1 jako posiadające właściwości zaburzające funkcjonowanie układu hormonalnego ani składników o właściwościach zaburzających funkcjonowanie układu hormonalnego zgodnie z kryteriami określonymi w rozporządzeniu 2017/2100/UE lub rozporządzeniu 2018/605/UE w stężeniu równym lub większym od 0,1 %.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Komponenty mieszaniny nie spełniają kryteriów PBT lub vPvB zgodnie z załącznikiem XIII rozporządzenia REACH.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3: SKŁAD / INFORMACJA O SKŁADNIKACH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3.1. Substancje: Nie dotyczy.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3.2. Mieszaniny</w:t>
      </w:r>
    </w:p>
    <w:p>
      <w:pPr>
        <w:spacing w:after="150"/>
      </w:pPr>
      <w:r>
        <w:rPr>
          <w:rFonts w:ascii="Arial" w:cs="Arial" w:eastAsia="Arial" w:hAnsi="Arial"/>
          <w:sz w:val="20"/>
          <w:szCs w:val="20"/>
        </w:rPr>
        <w:t xml:space="preserve">Opis chemiczny: Mieszanina substancji niebezpiecznych wraz z dodatkami nieniebezpiecznymi.</w:t>
      </w:r>
    </w:p>
    <w:tbl>
      <w:tblPr>
        <w:tblW w:type="dxa" w:w="96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E0E0E0" w:sz="4"/>
          <w:insideV w:val="single" w:color="E0E0E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Nazwa substancji</w:t>
            </w:r>
          </w:p>
        </w:tc>
        <w:tc>
          <w:tcPr>
            <w:tcW w:type="dxa" w:w="26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Identyfikatory</w:t>
            </w:r>
          </w:p>
        </w:tc>
        <w:tc>
          <w:tcPr>
            <w:tcW w:type="dxa" w:w="28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Klasyfikacja CLP</w:t>
            </w:r>
          </w:p>
        </w:tc>
        <w:tc>
          <w:tcPr>
            <w:tcW w:type="dxa" w:w="1400"/>
            <w:shd w:fill="F2F4F7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Stężenie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octan 4-tert-butylocykloheksylu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4-tert-butylcyclohexyl acetate)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32210-23-4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250-954-9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01-2119976286-24-XXXX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Skin Sens. 1B,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≥ 0,1 - &lt; 0,25 %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aldehyd cynamonowy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cinnamaldehyde)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104-55-2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203-213-9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606-155-00-6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01-2119935242-45-XXXX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Skin Sens. 1A, H317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Specyficzne stężenia graniczne: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0.01%: Skin Sens. 1A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≥ 0,001 - &lt; 0,01 %</w:t>
            </w:r>
          </w:p>
        </w:tc>
      </w:tr>
      <w:tr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masa poreakcyjna 5-chloro-2-metylo-2H-izotiazol-3-onu i 2-metylo-2H-izotiazol-3-onu (3:1)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16"/>
                <w:szCs w:val="16"/>
              </w:rPr>
              <w:t xml:space="preserve">(ang. reaction mass of 5-chloro-2-methyl-2H-isothiazol-3-one and 2-methyl-2H-isothiazol-3-one (3:1))</w:t>
            </w:r>
          </w:p>
        </w:tc>
        <w:tc>
          <w:tcPr>
            <w:tcW w:type="dxa" w:w="26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CAS: 55965-84-9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WE: 911-418-6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indeksowy: 613-167-00-5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Numer rejestracji REACH: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01-2120764691-48-XXXX</w:t>
            </w:r>
          </w:p>
        </w:tc>
        <w:tc>
          <w:tcPr>
            <w:tcW w:type="dxa" w:w="2800"/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Acute Tox. 2, H330; Acute Tox. 2,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H310; Acute Tox. 3, H301; Skin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Corr. 1C, H314; Eye Dam. 1,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H318; Skin Sens. 1A, H317;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Stwarzające zagrożenie dla środowiska wodnego - kategoria ostra 1, H400; Stwarzające zagrożenie dla środowiska wodnego - kategoria przewlekła 1, H410, M (przewlekły) = 100,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 (ostry) = 100, EUH071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Specyficzne stężenia graniczne: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0.6%: Skin Corr. 1C H314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0.06% ≤ C &lt; 0.6%: Skin Irrit. 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H315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0.6%: Eye Dam. 1 H318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0.06% ≤ C &lt; 0.6%: Eye Irrit. 2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H319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 ≥ 0.0015%: Skin Sens. 1A H317</w:t>
            </w:r>
          </w:p>
        </w:tc>
        <w:tc>
          <w:tcPr>
            <w:tcW w:type="dxa" w:w="1400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&lt; 0,00093 %</w:t>
            </w:r>
          </w:p>
        </w:tc>
      </w:tr>
    </w:tbl>
    <w:p>
      <w:pPr>
        <w:spacing w:after="150" w:before="18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Pełne brzmienie zwrotów H i EUH znajduje się w sekcji 16 karty charakterystyki.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4: ŚRODKI PIERWSZEJ POMOCY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4.1. Opis środków pierwszej pomocy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ze skórą:</w:t>
      </w:r>
      <w:r>
        <w:rPr>
          <w:rFonts w:ascii="Arial" w:cs="Arial" w:eastAsia="Arial" w:hAnsi="Arial"/>
          <w:sz w:val="20"/>
          <w:szCs w:val="20"/>
        </w:rPr>
        <w:t xml:space="preserve"> Zmyć natychmiast dużą ilością wody z mydłem.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kontakcie z oczami:</w:t>
      </w:r>
      <w:r>
        <w:rPr>
          <w:rFonts w:ascii="Arial" w:cs="Arial" w:eastAsia="Arial" w:hAnsi="Arial"/>
          <w:sz w:val="20"/>
          <w:szCs w:val="20"/>
        </w:rPr>
        <w:t xml:space="preserve"> Płukać wodą przy otwartych powiekach przez wystarczająco długi czas, następnie natychmiast skonsultować się z lekarzem okulistą. Usunąć soczewki kontaktowe, jeżeli są i można je łatwo usunąć.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 przypadku spożycia:</w:t>
      </w:r>
      <w:r>
        <w:rPr>
          <w:rFonts w:ascii="Arial" w:cs="Arial" w:eastAsia="Arial" w:hAnsi="Arial"/>
          <w:sz w:val="20"/>
          <w:szCs w:val="20"/>
        </w:rPr>
        <w:t xml:space="preserve"> Nie wywoływać wymiotów. Niezwłocznie zasięgnąć porady lekarza, pokazując kartę charakterystyki lub etykietę produktu.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Po narażeniu drogą oddechową:</w:t>
      </w:r>
      <w:r>
        <w:rPr>
          <w:rFonts w:ascii="Arial" w:cs="Arial" w:eastAsia="Arial" w:hAnsi="Arial"/>
          <w:sz w:val="20"/>
          <w:szCs w:val="20"/>
        </w:rPr>
        <w:t xml:space="preserve"> Wyprowadzić poszkodowanego na świeże powietrze, zapewnić ciepło i spokój. W przypadku wystąpienia objawów skonsultować się z lekarzem i pokazać opakowanie lub etykietę.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4.2. Najważniejsze ostre i opóźnione objawy oraz skutki narażenia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dostępnych szczegółowych informacji na temat objawów i skutków wywoływanych przez produkt.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4.3. Wskazania dotyczące wszelkiej natychmiastowej pomocy lekarskiej i szczególnego postępowania z poszkodowanym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Leczenie:</w:t>
      </w:r>
      <w:r>
        <w:rPr>
          <w:rFonts w:ascii="Arial" w:cs="Arial" w:eastAsia="Arial" w:hAnsi="Arial"/>
          <w:sz w:val="20"/>
          <w:szCs w:val="20"/>
        </w:rPr>
        <w:t xml:space="preserve"> Brak danych.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5: POSTĘPOWANIE W PRZYPADKU POŻARU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5.1. Środki gaśnicze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Odpowiednie środki gaśnicze:</w:t>
      </w:r>
      <w:r>
        <w:rPr>
          <w:rFonts w:ascii="Arial" w:cs="Arial" w:eastAsia="Arial" w:hAnsi="Arial"/>
          <w:sz w:val="20"/>
          <w:szCs w:val="20"/>
        </w:rPr>
        <w:t xml:space="preserve"> Gaśnica śniegowa (CO2), gaśnica proszkowa, piana gaśnicza, woda.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Niewłaściwe środki gaśnicze:</w:t>
      </w:r>
      <w:r>
        <w:rPr>
          <w:rFonts w:ascii="Arial" w:cs="Arial" w:eastAsia="Arial" w:hAnsi="Arial"/>
          <w:sz w:val="20"/>
          <w:szCs w:val="20"/>
        </w:rPr>
        <w:t xml:space="preserve"> Brak szczególnych.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5.2. Szczególne zagrożenia związane z substancją lub mieszaniną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Szczególne zagrożenia:</w:t>
      </w:r>
      <w:r>
        <w:rPr>
          <w:rFonts w:ascii="Arial" w:cs="Arial" w:eastAsia="Arial" w:hAnsi="Arial"/>
          <w:sz w:val="20"/>
          <w:szCs w:val="20"/>
        </w:rPr>
        <w:t xml:space="preserve"> Unikać wdychania produktów spalania.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5.3. Informacje dla straży pożarnej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Środki ochrony strażaków:</w:t>
      </w:r>
      <w:r>
        <w:rPr>
          <w:rFonts w:ascii="Arial" w:cs="Arial" w:eastAsia="Arial" w:hAnsi="Arial"/>
          <w:sz w:val="20"/>
          <w:szCs w:val="20"/>
        </w:rPr>
        <w:t xml:space="preserve"> Gromadzić oddzielnie zanieczyszczoną wodę gaśniczą; nie dopuścić do jej przedostania się do kanalizacji. Stosować odzież ochronną dla strażaków zgodną z normą europejską EN 469 oraz autonomiczny aparat oddechowy (SCBA) z rękawicami odpornymi na chemikalia.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6: POSTĘPOWANIE W PRZYPADKU NIEZAMIERZONEGO UWOLNIENIA DO ŚRODOWISKA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6.1. Indywidualne środki ostrożności, wyposażenie ochronne i procedury w sytuacjach awaryjnych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Dla osób nienależących do personelu udzielającego pomocy:</w:t>
      </w:r>
      <w:r>
        <w:rPr>
          <w:rFonts w:ascii="Arial" w:cs="Arial" w:eastAsia="Arial" w:hAnsi="Arial"/>
          <w:sz w:val="20"/>
          <w:szCs w:val="20"/>
        </w:rPr>
        <w:t xml:space="preserve"> Stosować środki ochrony indywidualnej. Ewakuować osoby w bezpieczne miejsce. Patrz środki ochronne w punkcie 7 i 8.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Dla osób udzielających pomocy:</w:t>
      </w:r>
      <w:r>
        <w:rPr>
          <w:rFonts w:ascii="Arial" w:cs="Arial" w:eastAsia="Arial" w:hAnsi="Arial"/>
          <w:sz w:val="20"/>
          <w:szCs w:val="20"/>
        </w:rPr>
        <w:t xml:space="preserve"> Stosować środki ochrony indywidualnej.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6.2. Środki ostrożności w zakresie ochrony środowiska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Nie dopuścić do przedostania się do gleby/podglebia. Nie dopuścić do przedostania się do wód powierzchniowych ani kanalizacji. Zatrzymać zanieczyszczoną wodę z mycia i przekazać do utylizacji. W przypadku wycieku gazu lub przedostania się do cieków wodnych, gleby lub kanalizacji powiadomić właściwe władze.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6.3. Metody i materiały zapobiegające rozprzestrzenianiu się skażenia i służące do usuwania skażenia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Odpowiedni materiał do zbierania:</w:t>
      </w:r>
      <w:r>
        <w:rPr>
          <w:rFonts w:ascii="Arial" w:cs="Arial" w:eastAsia="Arial" w:hAnsi="Arial"/>
          <w:sz w:val="20"/>
          <w:szCs w:val="20"/>
        </w:rPr>
        <w:t xml:space="preserve"> materiał pochłaniający, organiczny, piasek. Zmyć dużą ilością wody.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6.4. Odniesienia do innych sekcji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Patrz również sekcja 8 i 13.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7: POSTĘPOWANIE Z SUBSTANCJAMI I MIESZANINAMI ORAZ ICH MAGAZYNOWANIE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7.1. Środki ostrożności dotyczące bezpiecznego postępowania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Środki ostrożności:</w:t>
      </w:r>
      <w:r>
        <w:rPr>
          <w:rFonts w:ascii="Arial" w:cs="Arial" w:eastAsia="Arial" w:hAnsi="Arial"/>
          <w:sz w:val="20"/>
          <w:szCs w:val="20"/>
        </w:rPr>
        <w:t xml:space="preserve"> Unikać kontaktu ze skórą i oczami oraz wdychania par i mgieł. Patrz również sekcja 8 w celu zapoznania się z zalecanym sprzętem ochrony osobistej.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Zalecenia dotyczące ogólnej higieny pracy:</w:t>
      </w:r>
      <w:r>
        <w:rPr>
          <w:rFonts w:ascii="Arial" w:cs="Arial" w:eastAsia="Arial" w:hAnsi="Arial"/>
          <w:sz w:val="20"/>
          <w:szCs w:val="20"/>
        </w:rPr>
        <w:t xml:space="preserve"> Nie jeść i nie pić podczas pracy.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7.2. Warunki bezpiecznego magazynowania, w tym informacje dotyczące wszelkich wzajemnych niezgodności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Materiały niezgodne:</w:t>
      </w:r>
      <w:r>
        <w:rPr>
          <w:rFonts w:ascii="Arial" w:cs="Arial" w:eastAsia="Arial" w:hAnsi="Arial"/>
          <w:sz w:val="20"/>
          <w:szCs w:val="20"/>
        </w:rPr>
        <w:t xml:space="preserve"> Brak szczególnych.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Wskazówki dotyczące pomieszczeń magazynowych:</w:t>
      </w:r>
      <w:r>
        <w:rPr>
          <w:rFonts w:ascii="Arial" w:cs="Arial" w:eastAsia="Arial" w:hAnsi="Arial"/>
          <w:sz w:val="20"/>
          <w:szCs w:val="20"/>
        </w:rPr>
        <w:t xml:space="preserve"> Pomieszczenia odpowiednio wentylowane.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7.3. Szczególne zastosowanie(-a) końcowe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Brak szczególnych.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Rozwiązania specyficzne dla sektora przemysłowego:</w:t>
      </w:r>
      <w:r>
        <w:rPr>
          <w:rFonts w:ascii="Arial" w:cs="Arial" w:eastAsia="Arial" w:hAnsi="Arial"/>
          <w:sz w:val="20"/>
          <w:szCs w:val="20"/>
        </w:rPr>
        <w:t xml:space="preserve"> Brak szczególnych.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8: KONTROLA NARAŻENIA/ŚRODKI OCHRONY INDYWIDUALNEJ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8.1. Parametry dotyczące kontroli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Krajowe wartości najwyższych dopuszczalnych stężeń w środowisku pracy (Polska):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Dla składników mieszaniny wymienionych w sekcji 3 nie określono wartości najwyższych dopuszczalnych stężeń (NDS, NDSCh, NDSP) w środowisku pracy zgodnie z Rozporządzeniem Ministra Rodziny, Pracy i Polityki Społecznej z dnia 12 czerwca 2018 r. w sprawie najwyższych dopuszczalnych stężeń i natężeń czynników szkodliwych dla zdrowia w środowisku pracy (Dz.U. 2018 poz. 1286 z późn. zm.).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Wspólnotowe i zagraniczne dopuszczalne wartości narażenia zawodowego (OEL):</w:t>
      </w:r>
    </w:p>
    <w:p>
      <w:pPr>
        <w:spacing w:after="80" w:before="1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Masa poreakcyjna 5-chloro-2-metylo-2H-izotiazol-3-onu i 2-metylo-2H-izotiazol-3-onu (3:1) (CAS: 55965-84-9):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Austria – wartość dopuszczalna długoterminowa (8h): 0,05 mg/m³; Uwagi: MAK, Sh; Źródło: GKV, BGBl. II Nr. 156/2021.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Wartości DNEL i PNEC:</w:t>
      </w:r>
      <w:r>
        <w:rPr>
          <w:rFonts w:ascii="Arial" w:cs="Arial" w:eastAsia="Arial" w:hAnsi="Arial"/>
          <w:sz w:val="20"/>
          <w:szCs w:val="20"/>
        </w:rPr>
        <w:t xml:space="preserve"> Dla mieszaniny i jej składników nie oznaczono wartości DNEL oraz PNEC.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Zalecane procedury monitorowania:</w:t>
      </w:r>
      <w:r>
        <w:rPr>
          <w:rFonts w:ascii="Arial" w:cs="Arial" w:eastAsia="Arial" w:hAnsi="Arial"/>
          <w:sz w:val="20"/>
          <w:szCs w:val="20"/>
        </w:rPr>
        <w:t xml:space="preserve"> Należy stosować procedury monitorowania stężeń niebezpiecznych substancji w powietrzu na stanowiskach pracy oraz procedury kontroli wentylacji zgodnie z odpowiednimi Polskimi Normami.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8.2. Kontrola narażenia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oczu:</w:t>
      </w:r>
      <w:r>
        <w:rPr>
          <w:rFonts w:ascii="Arial" w:cs="Arial" w:eastAsia="Arial" w:hAnsi="Arial"/>
          <w:sz w:val="20"/>
          <w:szCs w:val="20"/>
        </w:rPr>
        <w:t xml:space="preserve"> Brak szczególnych wymagań w normalnych warunkach stosowania. Należy jednak postępować zgodnie z dobrymi praktykami roboczymi.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skóry:</w:t>
      </w:r>
      <w:r>
        <w:rPr>
          <w:rFonts w:ascii="Arial" w:cs="Arial" w:eastAsia="Arial" w:hAnsi="Arial"/>
          <w:sz w:val="20"/>
          <w:szCs w:val="20"/>
        </w:rPr>
        <w:t xml:space="preserve"> Nie są wymagane szczególne środki ostrożności przy normalnym stosowaniu.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rąk:</w:t>
      </w:r>
      <w:r>
        <w:rPr>
          <w:rFonts w:ascii="Arial" w:cs="Arial" w:eastAsia="Arial" w:hAnsi="Arial"/>
          <w:sz w:val="20"/>
          <w:szCs w:val="20"/>
        </w:rPr>
        <w:t xml:space="preserve"> Nie jest wymagana przy normalnym stosowaniu.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Ochrona dróg oddechowych:</w:t>
      </w:r>
      <w:r>
        <w:rPr>
          <w:rFonts w:ascii="Arial" w:cs="Arial" w:eastAsia="Arial" w:hAnsi="Arial"/>
          <w:sz w:val="20"/>
          <w:szCs w:val="20"/>
        </w:rPr>
        <w:t xml:space="preserve"> Nie dotyczy.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Zagrożenia termiczne:</w:t>
      </w:r>
      <w:r>
        <w:rPr>
          <w:rFonts w:ascii="Arial" w:cs="Arial" w:eastAsia="Arial" w:hAnsi="Arial"/>
          <w:sz w:val="20"/>
          <w:szCs w:val="20"/>
        </w:rPr>
        <w:t xml:space="preserve"> Nie dotyczy.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Kontrola narażenia środowiska:</w:t>
      </w:r>
      <w:r>
        <w:rPr>
          <w:rFonts w:ascii="Arial" w:cs="Arial" w:eastAsia="Arial" w:hAnsi="Arial"/>
          <w:sz w:val="20"/>
          <w:szCs w:val="20"/>
        </w:rPr>
        <w:t xml:space="preserve"> Nie dotyczy.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Środki higieniczne i techniczne:</w:t>
      </w:r>
      <w:r>
        <w:rPr>
          <w:rFonts w:ascii="Arial" w:cs="Arial" w:eastAsia="Arial" w:hAnsi="Arial"/>
          <w:sz w:val="20"/>
          <w:szCs w:val="20"/>
        </w:rPr>
        <w:t xml:space="preserve"> Nie dotyczy.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9: WŁAŚCIWOŚCI FIZYCZNE I CHEMICZNE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Stan skupienia: Ciecz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Barwa: Charakterystyczna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Zapach: Zgodny ze wzorcem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10: STABILNOŚĆ I REAKTYWNOŚĆ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10.1. Reaktywność: Brak szczególnych zagrożeń.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11: INFORMACJE TOKSYKOLOGICZNE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11.1. Informacje na temat klas zagrożenia: Nie sklasyfikowano.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12: INFORMACJE EKOLOGICZNE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12.1. Toksyczność: Brak danych.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13: POSTĘPOWANIE Z ODPADAMI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13.1. Metody unieszkodliwiania odpadów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[FLAGA_QUARANTINE_REVIEW] Wymagane nadanie 6-cyfrowego kodu odpadu według katalogu BDO przez Safety Assessora.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Odpadowy produkt należy poddać odzyskowi lub likwidować w uprawnionych spalarniach lub zakładach utylizacji/unieszkodliwiania odpadów, zgodnie z obowiązującymi przepisami. Nie wprowadzać do kanalizacji.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Krajowe akty prawne: ustawa o odpadach (t.j. Dz. U. 2023, poz. 1587 wraz z późn. zm.), ustawa o gospodarce opakowaniami i odpadami opakowaniowymi (tj. Dz. U. 2023, poz. 1658 wraz z późn. zm.).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14: INFORMACJE DOTYCZĄCE TRANSPORTU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Towar nie jest niebezpieczny w rozumieniu przepisów transportowych (ADR, RID, IMDG, IATA).</w:t>
      </w:r>
    </w:p>
    <w:p>
      <w:pPr>
        <w:pBdr>
          <w:bottom w:color="00A651" w:sz="12" w:space="1"/>
        </w:pBdr>
        <w:shd w:fill="FFF9E6" w:val="clear"/>
        <w:spacing w:after="150" w:before="300"/>
      </w:pPr>
      <w:r>
        <w:rPr>
          <w:b/>
          <w:bCs/>
          <w:sz w:val="22"/>
          <w:szCs w:val="22"/>
        </w:rPr>
        <w:t xml:space="preserve">SEKCJA 15: INFORMACJE DOTYCZĄCE PRZEPISÓW PRAWNYCH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15.1. Przepisy prawne dotyczące bezpieczeństwa, zdrowia i ochrony środowiska specyficzne dla substancji lub mieszaniny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Prawodawstwo Unii Europejskiej: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(WE) nr 1907/2006 Parlamentu Europejskiego i Rady z dnia 18 grudnia 2006 r. w sprawie rejestracji, oceny, udzielania zezwoleń i stosowanych ograniczeń w zakresie chemikaliów (REACH) z późniejszymi zmianami.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Komisji (UE) 2020/878 z dnia 18 czerwca 2020 r. zmieniające załącznik II do rozporządzenia (WE) nr 1907/2006 (wymogi dotyczące sporządzania kart charakterystyki).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Parlamentu Europejskiego i Rady (WE) nr 1272/2008 z dnia 16 grudnia 2008 r. w sprawie klasyfikacji, oznakowania i pakowania substancji i mieszanin (CLP) z późniejszymi zmianami (ATP).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(WE) nr 648/2004 Parlamentu Europejskiego i Rady z dnia 31 marca 2004 r. w sprawie detergentów z późniejszymi zmianami (Uwaga dla algorytmu: pozostawić, jeśli produkt jest detergentem/środkiem czystości).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Kandydacka lista substancji wzbudzających szczególnie duże obawy (SVHC) podlegających procedurze udzielania zezwoleń (REACH załącznik XIV): Mieszanina nie zawiera substancji z listy SVHC w stężeniu &gt;= 0,1%.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Ograniczenia dotyczące produkcji, wprowadzania do obrotu i stosowania niektórych niebezpiecznych substancji, preparatów i wyrobów (REACH załącznik XVII): Nie dotyczy (chyba że w sekcji 3 zidentyfikowano składniki podlegające restrykcjom).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Dyrektywa Parlamentu Europejskiego i Rady 2012/18/UE (Seveso III): Mieszanina nie podlega.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Prawodawstwo Rzeczypospolitej Polskiej: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25 lutego 2011 r. o substancjach chemicznych i ich mieszaninach (Dz.U. 2011 nr 63 poz. 322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Rodziny, Pracy i Polityki Społecznej z dnia 12 czerwca 2018 r. w sprawie najwyższych dopuszczalnych stężeń i natężeń czynników szkodliwych dla zdrowia w środowisku pracy (Dz.U. 2018 poz. 1286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14 grudnia 2012 r. o odpadach (Dz.U. 2013 poz. 21 z późn. zm.) oraz przepisy wykonawcze do ustawy.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13 czerwca 2013 r. o gospodarce opakowaniami i odpadach opakowaniowych (Dz.U. 2013 poz. 888 z późn. zm.).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Zdrowia z dnia 2 lutego 2011 r. w sprawie badań i pomiarów czynników szkodliwych dla zdrowia w środowisku pracy (Dz.U. 2011 nr 33 poz. 166).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Ustawa z dnia 19 sierpnia 2011 r. o przewozie towarów niebezpiecznych (Dz.U. 2011 nr 227 poz. 1367 z późn. zm.) wraz z oświadczeniami rządowymi w sprawie Umowy europejskiej dotyczącej międzynarodowego przewozu drogowego towarów niebezpiecznych (ADR).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Rozporządzenie Ministra Zdrowia z dnia 30 grudnia 2004 r. w sprawie bezpieczeństwa i higieny pracy związanej z występowaniem w miejscu pracy czynników chemicznych (Dz.U. 2005 nr 11 poz. 86 z późn. zm.).</w:t>
      </w:r>
    </w:p>
    <w:p>
      <w:pPr>
        <w:pBdr>
          <w:bottom w:color="00A651" w:sz="12" w:space="1"/>
        </w:pBdr>
        <w:spacing w:after="150" w:before="300"/>
      </w:pPr>
      <w:r>
        <w:rPr>
          <w:b/>
          <w:bCs/>
          <w:sz w:val="22"/>
          <w:szCs w:val="22"/>
        </w:rPr>
        <w:t xml:space="preserve">SEKCJA 16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SECTION 16: Other information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This document was prepared by a competent person who has received appropriate training.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Main bibliographic sources: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CodeDescription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EUH071Corrosive to the respiratory tract.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H301Toxic if swallowed.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H310Fatal in contact with skin.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H314Causes severe skin burns and eye damage.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H315Causes skin irritation.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H317May cause an allergic skin reaction.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H318Causes serious eye damage.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H319Causes serious eye irritation.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H330Fatal if inhaled.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H400Very toxic to aquatic life.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H410Very toxic to aquatic life with long lasting effects.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CodeHazard class and hazard categoryDescription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3.1/2/DermalAcute Tox. 2Acute toxicity (dermal),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3.1/2/InhalAcute Tox. 2Acute toxicity (inhalation),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3.1/3/OralAcute Tox. 3Acute toxicity (oral), Category 3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3.2/1CSkin Corr. 1CSkin corrosion, Category 1C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3.2/2Skin Irrit. 2Skin irritation,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3.3/1Eye Dam. 1Serious eye damage,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3.3/2Eye Irrit. 2Eye irritation, Category 2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3.4.2/1ASkin Sens. 1ASkin Sensitisation, Category 1A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3.4.2/1BSkin Sens. 1BSkin Sensitisation, Category 1B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4.1/A1Aquatic Acute 1Acute aquatic hazard,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4.1/C1Aquatic Chronic 1Chronic (long term) aquatic hazard, category 1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n.of79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Main bibliographic sources: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ECDIN - Environmental Chemicals Data and Information Network - Joint Research Centre, Commission of the European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Communities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SAX's DANGEROUS PROPERTIES OF INDUSTRIAL MATERIALS - Eight Edition - Van Nostrand Reinold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information contained herein is based on our state of knowledge at the above-specified date. It refers solely to the product indicated 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constitutes no guarantee of particular quality.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It is the duty of the user to ensure that this information is appropriate and complete with respect to the specific use intended.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This MSDS cancels and replaces any preceding release.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Legend to abbreviations and acronyms used in the safety data sheet: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ACGIH: American Conference of Governmental Industrial Hygienists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ADR: European Agreement concerning the International Carriage of Dangerous Goods by Road.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AND: European Agreement concerning the International Carriage of Dangerous Goods by Inland Waterways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ATE: Acute Toxicity Estimate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ATEmix: Acute toxicity Estimate (Mixtures)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BCF: Biological Concentration Factor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BEI: Biological Exposure Index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BOD: Biochemical Oxygen Demand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CAS: Chemical Abstracts Service (division of the American Chemical Society).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CAV: Poison Center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CE: European Community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CLP: Classification, Labeling, Packaging.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CMR: Carcinogenic, Mutagenic and Reprotoxic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COD: Chemical Oxygen Demand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COV: Volatile Organic Compound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CSA: Chemical Safety Assessment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CSR: Chemical Safety Report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DMEL: Derived Minimal Effect Level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DNEL:</w:t>
      </w:r>
      <w:r>
        <w:rPr>
          <w:rFonts w:ascii="Arial" w:cs="Arial" w:eastAsia="Arial" w:hAnsi="Arial"/>
          <w:sz w:val="20"/>
          <w:szCs w:val="20"/>
        </w:rPr>
        <w:t xml:space="preserve"> Derived No Effect Level.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DPD: Dangerous Preparations Directive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DSD: Dangerous Substances Directive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EC50: Half Maximal Effective Concentration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ECHA: European Chemicals Agency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EINECS: European Inventory of Existing Commercial Chemical Substances.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ES: Exposure Scenario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GefStoffVO: Ordinance on Hazardous Substances, Germany.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GHS: Globally Harmonized System of Classification and Labeling of Chemicals.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IARC: International Agency for Research on Cancer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IATA: International Air Transport Association.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IATA-DGR: Dangerous Goods Regulation by the "International Air Transport Association" (IATA).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IC50: half maximal inhibitory concentration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ICAO: International Civil Aviation Organization.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ICAO-TI: Technical Instructions by the "International Civil Aviation Organization" (ICAO).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IMDG: International Maritime Code for Dangerous Goods.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INCI: International Nomenclature of Cosmetic Ingredients.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IRCCS: Scientific Institute for Research, Hospitalization and Health Care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KAFH: Keep Away From Heat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KSt: Explosion coefficient.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LC50: Lethal concentration, for 50 percent of test population.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LD50: Lethal dose, for 50 percent of test population.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LDLo: Leathal Dose Low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N.A.: Not Applicable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N/A: Not Applicable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N/D: Not defined/ Not available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NA: Not available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NIOSH: National Institute for Occupational Safety and Health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NOAEL: No Observed Adverse Effect Level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OSHA: Occupational Safety and Health Administration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PBT: Persistent, Bioaccumulative and Toxic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PGK: Packaging Instruction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PNEC:</w:t>
      </w:r>
      <w:r>
        <w:rPr>
          <w:rFonts w:ascii="Arial" w:cs="Arial" w:eastAsia="Arial" w:hAnsi="Arial"/>
          <w:sz w:val="20"/>
          <w:szCs w:val="20"/>
        </w:rPr>
        <w:t xml:space="preserve"> Predicted No Effect Concentration.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PSG: Passengers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RID: Regulation Concerning the International Transport of Dangerous Goods by Rail.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n.of89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STEL: Short Term Exposure limit.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STOT: Specific Target Organ Toxicity.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TLV: Threshold Limiting Value.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TWATLV: Threshold Limit Value for the Time Weighted Average 8 hour day. (ACGIH Standard).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vPvB: Very Persistent, Very Bioaccumulative.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WGK: German Water Hazard Class.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n.of99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07/03/2026Production NameSWEET HOME LAYALI - PROFUMA TESSUTI E AMBIENTE NAJMADate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</w:rPr>
      <w:t xml:space="preserve">Strona </w:t>
    </w:r>
    <w:r>
      <w:rPr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</w:rPr>
      <w:t xml:space="preserve"> z </w:t>
    </w:r>
    <w:r>
      <w:rPr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</w:rPr>
      <w:t xml:space="preserve">SDS | SWEET HOME LAYALI - PROFUMA TESSUTI E AMBIENTE NAJMA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2026-09-11T13:36:26.499Z</dcterms:created>
  <dcterms:modified xsi:type="dcterms:W3CDTF">2026-09-11T13:36:26.499Z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