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Arial" w:cs="Arial" w:eastAsia="Arial" w:hAnsi="Arial"/>
          <w:b/>
          <w:bCs/>
          <w:sz w:val="36"/>
          <w:szCs w:val="36"/>
        </w:rPr>
        <w:t xml:space="preserve">KARTA CHARAKTERYSTYKI</w:t>
      </w:r>
    </w:p>
    <w:p>
      <w:pPr>
        <w:spacing w:after="200"/>
        <w:jc w:val="center"/>
      </w:pPr>
      <w:r>
        <w:rPr>
          <w:rFonts w:ascii="Arial" w:cs="Arial" w:eastAsia="Arial" w:hAnsi="Arial"/>
          <w:i/>
          <w:iCs/>
          <w:color w:val="444444"/>
          <w:sz w:val="16"/>
          <w:szCs w:val="16"/>
        </w:rPr>
        <w:t xml:space="preserve">[Sporządzona zgodnie z Rozporządzeniem (WE) nr 1907/2006 (REACH), zmienionym Rozporządzeniem Komisji (UE) 2020/878]</w:t>
      </w:r>
    </w:p>
    <w:tbl>
      <w:tblPr>
        <w:tblW w:type="pct" w:w="100%"/>
        <w:tblBorders>
          <w:top w:val="single" w:color="00A651" w:sz="6"/>
          <w:left w:val="single" w:color="D0D5DD" w:sz="4"/>
          <w:bottom w:val="single" w:color="00A651" w:sz="6"/>
          <w:right w:val="single" w:color="D0D5DD" w:sz="4"/>
          <w:insideH w:val="none"/>
          <w:insideV w:val="single" w:color="E5E7EB" w:sz="4"/>
        </w:tblBorders>
      </w:tblPr>
      <w:tblGrid>
        <w:gridCol w:w="100"/>
        <w:gridCol w:w="100"/>
      </w:tblGrid>
      <w:tr>
        <w:tc>
          <w:tcPr>
            <w:tcW w:type="pct" w:w="50%"/>
            <w:shd w:fill="F9FAFB"/>
            <w:tcMar>
              <w:top w:type="dxa" w:w="100"/>
              <w:left w:type="dxa" w:w="150"/>
              <w:bottom w:type="dxa" w:w="100"/>
              <w:right w:type="dxa" w:w="150"/>
            </w:tcMar>
          </w:tcPr>
          <w:p>
            <w:pPr>
              <w:spacing w:after="60"/>
            </w:pPr>
            <w:r>
              <w:rPr>
                <w:rFonts w:ascii="Arial" w:cs="Arial" w:eastAsia="Arial" w:hAnsi="Arial"/>
                <w:b/>
                <w:bCs/>
                <w:sz w:val="18"/>
                <w:szCs w:val="18"/>
              </w:rPr>
              <w:t xml:space="preserve">Data sporządzenia: </w:t>
            </w:r>
            <w:r>
              <w:rPr>
                <w:rFonts w:ascii="Arial" w:cs="Arial" w:eastAsia="Arial" w:hAnsi="Arial"/>
                <w:sz w:val="18"/>
                <w:szCs w:val="18"/>
              </w:rPr>
              <w:t xml:space="preserve">16.09.2026</w:t>
            </w:r>
          </w:p>
          <w:p>
            <w:r>
              <w:rPr>
                <w:rFonts w:ascii="Arial" w:cs="Arial" w:eastAsia="Arial" w:hAnsi="Arial"/>
                <w:b/>
                <w:bCs/>
                <w:sz w:val="18"/>
                <w:szCs w:val="18"/>
              </w:rPr>
              <w:t xml:space="preserve">Aktualizacja: </w:t>
            </w:r>
            <w:r>
              <w:rPr>
                <w:rFonts w:ascii="Arial" w:cs="Arial" w:eastAsia="Arial" w:hAnsi="Arial"/>
                <w:sz w:val="18"/>
                <w:szCs w:val="18"/>
              </w:rPr>
              <w:t xml:space="preserve">Nie dotyczy</w:t>
            </w:r>
          </w:p>
        </w:tc>
        <w:tc>
          <w:tcPr>
            <w:tcW w:type="pct" w:w="50%"/>
            <w:shd w:fill="F9FAFB"/>
            <w:tcMar>
              <w:top w:type="dxa" w:w="100"/>
              <w:left w:type="dxa" w:w="150"/>
              <w:bottom w:type="dxa" w:w="100"/>
              <w:right w:type="dxa" w:w="150"/>
            </w:tcMar>
          </w:tcPr>
          <w:p>
            <w:pPr>
              <w:spacing w:after="60"/>
            </w:pPr>
            <w:r>
              <w:rPr>
                <w:rFonts w:ascii="Arial" w:cs="Arial" w:eastAsia="Arial" w:hAnsi="Arial"/>
                <w:b/>
                <w:bCs/>
                <w:sz w:val="18"/>
                <w:szCs w:val="18"/>
              </w:rPr>
              <w:t xml:space="preserve">Wersja: </w:t>
            </w:r>
            <w:r>
              <w:rPr>
                <w:rFonts w:ascii="Arial" w:cs="Arial" w:eastAsia="Arial" w:hAnsi="Arial"/>
                <w:sz w:val="18"/>
                <w:szCs w:val="18"/>
              </w:rPr>
              <w:t xml:space="preserve">1.0 PL</w:t>
            </w:r>
          </w:p>
          <w:p>
            <w:r>
              <w:rPr>
                <w:rFonts w:ascii="Arial" w:cs="Arial" w:eastAsia="Arial" w:hAnsi="Arial"/>
                <w:b/>
                <w:bCs/>
                <w:sz w:val="18"/>
                <w:szCs w:val="18"/>
              </w:rPr>
              <w:t xml:space="preserve">Zastępuje wersję: </w:t>
            </w:r>
            <w:r>
              <w:rPr>
                <w:rFonts w:ascii="Arial" w:cs="Arial" w:eastAsia="Arial" w:hAnsi="Arial"/>
                <w:sz w:val="18"/>
                <w:szCs w:val="18"/>
              </w:rPr>
              <w:t xml:space="preserve">Brak (wydanie pierwsze w języku polskim, opracowane na podstawie SDS producenta z dnia 14.02.2025 r.)</w:t>
            </w:r>
          </w:p>
        </w:tc>
      </w:tr>
    </w:tbl>
    <w:p>
      <w:pPr>
        <w:spacing w:after="200"/>
      </w:pPr>
    </w:p>
    <w:p>
      <w:pPr>
        <w:pBdr>
          <w:bottom w:color="00A651" w:sz="12" w:space="1"/>
        </w:pBdr>
        <w:spacing w:after="150" w:before="300"/>
      </w:pPr>
      <w:r>
        <w:rPr>
          <w:b/>
          <w:bCs/>
          <w:sz w:val="22"/>
          <w:szCs w:val="22"/>
        </w:rPr>
        <w:t xml:space="preserve">SEKCJA 1: IDENTYFIKACJA SUBSTANCJI/MIESZANINY I IDENTYFIKACJA PRZEDSIĘBIORSTWA</w:t>
      </w:r>
    </w:p>
    <w:p>
      <w:pPr>
        <w:spacing w:after="100" w:before="200"/>
      </w:pPr>
      <w:r>
        <w:rPr>
          <w:rFonts w:ascii="Arial" w:cs="Arial" w:eastAsia="Arial" w:hAnsi="Arial"/>
          <w:b/>
          <w:bCs/>
          <w:sz w:val="20"/>
          <w:szCs w:val="20"/>
        </w:rPr>
        <w:t xml:space="preserve">1.1. Identyfikator produktu</w:t>
      </w:r>
    </w:p>
    <w:p>
      <w:pPr>
        <w:spacing w:after="80" w:before="80"/>
      </w:pPr>
      <w:r>
        <w:rPr>
          <w:rFonts w:ascii="Arial" w:cs="Arial" w:eastAsia="Arial" w:hAnsi="Arial"/>
          <w:b/>
          <w:bCs/>
          <w:sz w:val="20"/>
          <w:szCs w:val="20"/>
        </w:rPr>
        <w:t xml:space="preserve">Nazwa handlowa:</w:t>
      </w:r>
      <w:r>
        <w:rPr>
          <w:rFonts w:ascii="Arial" w:cs="Arial" w:eastAsia="Arial" w:hAnsi="Arial"/>
          <w:sz w:val="20"/>
          <w:szCs w:val="20"/>
        </w:rPr>
        <w:t xml:space="preserve"> SWEET HOME - PROFUMATORE AMBIENTE ORCHIDEA E VANIGLIA V2</w:t>
      </w:r>
    </w:p>
    <w:p>
      <w:pPr>
        <w:spacing w:after="80" w:before="80"/>
      </w:pPr>
      <w:r>
        <w:rPr>
          <w:rFonts w:ascii="Arial" w:cs="Arial" w:eastAsia="Arial" w:hAnsi="Arial"/>
          <w:b/>
          <w:bCs/>
          <w:sz w:val="20"/>
          <w:szCs w:val="20"/>
        </w:rPr>
        <w:t xml:space="preserve">Kod produktu:</w:t>
      </w:r>
      <w:r>
        <w:rPr>
          <w:rFonts w:ascii="Arial" w:cs="Arial" w:eastAsia="Arial" w:hAnsi="Arial"/>
          <w:sz w:val="20"/>
          <w:szCs w:val="20"/>
        </w:rPr>
        <w:t xml:space="preserve"> BLK0033-2</w:t>
      </w:r>
    </w:p>
    <w:p>
      <w:pPr>
        <w:spacing w:after="80" w:before="80"/>
      </w:pPr>
      <w:r>
        <w:rPr>
          <w:rFonts w:ascii="Arial" w:cs="Arial" w:eastAsia="Arial" w:hAnsi="Arial"/>
          <w:b/>
          <w:bCs/>
          <w:sz w:val="20"/>
          <w:szCs w:val="20"/>
        </w:rPr>
        <w:t xml:space="preserve">UFI:</w:t>
      </w:r>
      <w:r>
        <w:rPr>
          <w:rFonts w:ascii="Arial" w:cs="Arial" w:eastAsia="Arial" w:hAnsi="Arial"/>
          <w:sz w:val="20"/>
          <w:szCs w:val="20"/>
        </w:rPr>
        <w:t xml:space="preserve"> 1JUA-J3HY-KX04-SM29</w:t>
      </w:r>
    </w:p>
    <w:p>
      <w:pPr>
        <w:spacing w:after="100" w:before="200"/>
      </w:pPr>
      <w:r>
        <w:rPr>
          <w:rFonts w:ascii="Arial" w:cs="Arial" w:eastAsia="Arial" w:hAnsi="Arial"/>
          <w:b/>
          <w:bCs/>
          <w:sz w:val="20"/>
          <w:szCs w:val="20"/>
        </w:rPr>
        <w:t xml:space="preserve">1.2. Istotne zidentyfikowane zastosowania substancji lub mieszaniny oraz zastosowania odradzane</w:t>
      </w:r>
    </w:p>
    <w:p>
      <w:pPr>
        <w:spacing w:after="80"/>
      </w:pPr>
      <w:r>
        <w:rPr>
          <w:rFonts w:ascii="Arial" w:cs="Arial" w:eastAsia="Arial" w:hAnsi="Arial"/>
          <w:sz w:val="20"/>
          <w:szCs w:val="20"/>
        </w:rPr>
        <w:t xml:space="preserve">Zastosowanie: Odświeżacz powietrza (dyfuzor zapachowy).</w:t>
      </w:r>
    </w:p>
    <w:p>
      <w:pPr>
        <w:spacing w:after="80" w:before="80"/>
      </w:pPr>
      <w:r>
        <w:rPr>
          <w:rFonts w:ascii="Arial" w:cs="Arial" w:eastAsia="Arial" w:hAnsi="Arial"/>
          <w:b/>
          <w:bCs/>
          <w:sz w:val="20"/>
          <w:szCs w:val="20"/>
        </w:rPr>
        <w:t xml:space="preserve">Zastosowania odradzane:</w:t>
      </w:r>
      <w:r>
        <w:rPr>
          <w:rFonts w:ascii="Arial" w:cs="Arial" w:eastAsia="Arial" w:hAnsi="Arial"/>
          <w:sz w:val="20"/>
          <w:szCs w:val="20"/>
        </w:rPr>
        <w:t xml:space="preserve"> Brak.</w:t>
      </w:r>
    </w:p>
    <w:p>
      <w:pPr>
        <w:spacing w:after="100" w:before="200"/>
      </w:pPr>
      <w:r>
        <w:rPr>
          <w:rFonts w:ascii="Arial" w:cs="Arial" w:eastAsia="Arial" w:hAnsi="Arial"/>
          <w:b/>
          <w:bCs/>
          <w:sz w:val="20"/>
          <w:szCs w:val="20"/>
        </w:rPr>
        <w:t xml:space="preserve">1.3. Dane dotyczące dostawcy karty charakterystyki</w:t>
      </w:r>
    </w:p>
    <w:p>
      <w:pPr>
        <w:spacing w:after="80" w:before="80"/>
      </w:pPr>
      <w:r>
        <w:rPr>
          <w:rFonts w:ascii="Arial" w:cs="Arial" w:eastAsia="Arial" w:hAnsi="Arial"/>
          <w:b/>
          <w:bCs/>
          <w:sz w:val="20"/>
          <w:szCs w:val="20"/>
        </w:rPr>
        <w:t xml:space="preserve">Firma:</w:t>
      </w:r>
      <w:r>
        <w:rPr>
          <w:rFonts w:ascii="Arial" w:cs="Arial" w:eastAsia="Arial" w:hAnsi="Arial"/>
          <w:sz w:val="20"/>
          <w:szCs w:val="20"/>
        </w:rPr>
        <w:t xml:space="preserve"> ITALLUX Sp. z o.o.</w:t>
      </w:r>
    </w:p>
    <w:p>
      <w:pPr>
        <w:spacing w:after="80" w:before="80"/>
      </w:pPr>
      <w:r>
        <w:rPr>
          <w:rFonts w:ascii="Arial" w:cs="Arial" w:eastAsia="Arial" w:hAnsi="Arial"/>
          <w:b/>
          <w:bCs/>
          <w:sz w:val="20"/>
          <w:szCs w:val="20"/>
        </w:rPr>
        <w:t xml:space="preserve">Adres:</w:t>
      </w:r>
      <w:r>
        <w:rPr>
          <w:rFonts w:ascii="Arial" w:cs="Arial" w:eastAsia="Arial" w:hAnsi="Arial"/>
          <w:sz w:val="20"/>
          <w:szCs w:val="20"/>
        </w:rPr>
        <w:t xml:space="preserve"> ul. Wesoła 16, 63-600 Kępno</w:t>
      </w:r>
    </w:p>
    <w:p>
      <w:pPr>
        <w:spacing w:after="80" w:before="80"/>
      </w:pPr>
      <w:r>
        <w:rPr>
          <w:rFonts w:ascii="Arial" w:cs="Arial" w:eastAsia="Arial" w:hAnsi="Arial"/>
          <w:b/>
          <w:bCs/>
          <w:sz w:val="20"/>
          <w:szCs w:val="20"/>
        </w:rPr>
        <w:t xml:space="preserve">Strona www:</w:t>
      </w:r>
      <w:r>
        <w:rPr>
          <w:rFonts w:ascii="Arial" w:cs="Arial" w:eastAsia="Arial" w:hAnsi="Arial"/>
          <w:sz w:val="20"/>
          <w:szCs w:val="20"/>
        </w:rPr>
        <w:t xml:space="preserve"> www.prostozwloch.pl</w:t>
      </w:r>
    </w:p>
    <w:p>
      <w:pPr>
        <w:spacing w:after="80" w:before="80"/>
      </w:pPr>
      <w:r>
        <w:rPr>
          <w:rFonts w:ascii="Arial" w:cs="Arial" w:eastAsia="Arial" w:hAnsi="Arial"/>
          <w:b/>
          <w:bCs/>
          <w:sz w:val="20"/>
          <w:szCs w:val="20"/>
        </w:rPr>
        <w:t xml:space="preserve">E-mail:</w:t>
      </w:r>
      <w:r>
        <w:rPr>
          <w:rFonts w:ascii="Arial" w:cs="Arial" w:eastAsia="Arial" w:hAnsi="Arial"/>
          <w:sz w:val="20"/>
          <w:szCs w:val="20"/>
        </w:rPr>
        <w:t xml:space="preserve"> kontakt@prostozwloch.pl</w:t>
      </w:r>
    </w:p>
    <w:p>
      <w:pPr>
        <w:spacing w:after="80" w:before="80"/>
      </w:pPr>
      <w:r>
        <w:rPr>
          <w:rFonts w:ascii="Arial" w:cs="Arial" w:eastAsia="Arial" w:hAnsi="Arial"/>
          <w:b/>
          <w:bCs/>
          <w:sz w:val="20"/>
          <w:szCs w:val="20"/>
        </w:rPr>
        <w:t xml:space="preserve">Telefon:</w:t>
      </w:r>
      <w:r>
        <w:rPr>
          <w:rFonts w:ascii="Arial" w:cs="Arial" w:eastAsia="Arial" w:hAnsi="Arial"/>
          <w:sz w:val="20"/>
          <w:szCs w:val="20"/>
        </w:rPr>
        <w:t xml:space="preserve"> +48 663116607</w:t>
      </w:r>
    </w:p>
    <w:p>
      <w:pPr>
        <w:spacing w:after="100" w:before="200"/>
      </w:pPr>
      <w:r>
        <w:rPr>
          <w:rFonts w:ascii="Arial" w:cs="Arial" w:eastAsia="Arial" w:hAnsi="Arial"/>
          <w:b/>
          <w:bCs/>
          <w:sz w:val="20"/>
          <w:szCs w:val="20"/>
        </w:rPr>
        <w:t xml:space="preserve">1.4. Numer telefonu alarmowego</w:t>
      </w:r>
    </w:p>
    <w:p>
      <w:pPr>
        <w:spacing w:after="80" w:before="80"/>
      </w:pPr>
      <w:r>
        <w:rPr>
          <w:rFonts w:ascii="Arial" w:cs="Arial" w:eastAsia="Arial" w:hAnsi="Arial"/>
          <w:b/>
          <w:bCs/>
          <w:sz w:val="20"/>
          <w:szCs w:val="20"/>
        </w:rPr>
        <w:t xml:space="preserve">Telefon alarmowy przedsiębiorstwa:</w:t>
      </w:r>
      <w:r>
        <w:rPr>
          <w:rFonts w:ascii="Arial" w:cs="Arial" w:eastAsia="Arial" w:hAnsi="Arial"/>
          <w:sz w:val="20"/>
          <w:szCs w:val="20"/>
        </w:rPr>
        <w:t xml:space="preserve"> +48 663116607 (czynny od poniedziałku do piątku w godzinach 8:00 – 16:00, informacja udzielana w języku polskim)</w:t>
      </w:r>
    </w:p>
    <w:p>
      <w:pPr>
        <w:spacing w:after="80" w:before="150"/>
      </w:pPr>
      <w:r>
        <w:rPr>
          <w:rFonts w:ascii="Arial" w:cs="Arial" w:eastAsia="Arial" w:hAnsi="Arial"/>
          <w:b/>
          <w:bCs/>
          <w:sz w:val="20"/>
          <w:szCs w:val="20"/>
        </w:rPr>
        <w:t xml:space="preserve">Informacja toksykologiczna w Polsce (organ doradczy):</w:t>
      </w:r>
    </w:p>
    <w:p>
      <w:pPr>
        <w:spacing w:after="80" w:before="80"/>
      </w:pPr>
      <w:r>
        <w:rPr>
          <w:rFonts w:ascii="Arial" w:cs="Arial" w:eastAsia="Arial" w:hAnsi="Arial"/>
          <w:b/>
          <w:bCs/>
          <w:sz w:val="20"/>
          <w:szCs w:val="20"/>
        </w:rPr>
        <w:t xml:space="preserve">Krajowe Centrum Informacji Toksykologicznej (Instytut Medycyny Pracy im. prof. J. Nofera w Łodzi):</w:t>
      </w:r>
      <w:r>
        <w:rPr>
          <w:rFonts w:ascii="Arial" w:cs="Arial" w:eastAsia="Arial" w:hAnsi="Arial"/>
          <w:sz w:val="20"/>
          <w:szCs w:val="20"/>
        </w:rPr>
        <w:t xml:space="preserve"> tel. +48 42 631 47 24, +48 42 631 47 25 (czynne w dni robocze w godz. 7:00 – 15:00)</w:t>
      </w:r>
    </w:p>
    <w:p>
      <w:pPr>
        <w:spacing w:after="80" w:before="80"/>
      </w:pPr>
      <w:r>
        <w:rPr>
          <w:rFonts w:ascii="Arial" w:cs="Arial" w:eastAsia="Arial" w:hAnsi="Arial"/>
          <w:b/>
          <w:bCs/>
          <w:sz w:val="20"/>
          <w:szCs w:val="20"/>
        </w:rPr>
        <w:t xml:space="preserve">Ośrodek Informacji Toksykologicznej w Warszawie (całodobowa informacja toksykologiczna 24/7):</w:t>
      </w:r>
      <w:r>
        <w:rPr>
          <w:rFonts w:ascii="Arial" w:cs="Arial" w:eastAsia="Arial" w:hAnsi="Arial"/>
          <w:sz w:val="20"/>
          <w:szCs w:val="20"/>
        </w:rPr>
        <w:t xml:space="preserve"> tel. +48 22 619 66 54</w:t>
      </w:r>
    </w:p>
    <w:p>
      <w:pPr>
        <w:spacing w:after="80" w:before="80"/>
      </w:pPr>
      <w:r>
        <w:rPr>
          <w:rFonts w:ascii="Arial" w:cs="Arial" w:eastAsia="Arial" w:hAnsi="Arial"/>
          <w:b/>
          <w:bCs/>
          <w:sz w:val="20"/>
          <w:szCs w:val="20"/>
        </w:rPr>
        <w:t xml:space="preserve">Ogólne telefony ratunkowe w nagłych wypadkach:</w:t>
      </w:r>
      <w:r>
        <w:rPr>
          <w:rFonts w:ascii="Arial" w:cs="Arial" w:eastAsia="Arial" w:hAnsi="Arial"/>
          <w:sz w:val="20"/>
          <w:szCs w:val="20"/>
        </w:rPr>
        <w:t xml:space="preserve"> 112 (ogólnoeuropejski numer alarmowy), 998 (straż pożarna), 999 (pogotowie ratunkowe)</w:t>
      </w:r>
    </w:p>
    <w:p>
      <w:pPr>
        <w:pBdr>
          <w:bottom w:color="00A651" w:sz="12" w:space="1"/>
        </w:pBdr>
        <w:spacing w:after="150" w:before="300"/>
      </w:pPr>
      <w:r>
        <w:rPr>
          <w:b/>
          <w:bCs/>
          <w:sz w:val="22"/>
          <w:szCs w:val="22"/>
        </w:rPr>
        <w:t xml:space="preserve">SEKCJA 2: IDENTYFIKACJA ZAGROŻEŃ</w:t>
      </w:r>
    </w:p>
    <w:p>
      <w:pPr>
        <w:spacing w:after="100" w:before="200"/>
      </w:pPr>
      <w:r>
        <w:rPr>
          <w:rFonts w:ascii="Arial" w:cs="Arial" w:eastAsia="Arial" w:hAnsi="Arial"/>
          <w:b/>
          <w:bCs/>
          <w:sz w:val="20"/>
          <w:szCs w:val="20"/>
        </w:rPr>
        <w:t xml:space="preserve">2.1. Klasyfikacja substancji lub mieszaniny</w:t>
      </w:r>
    </w:p>
    <w:p>
      <w:pPr>
        <w:spacing w:after="80"/>
      </w:pPr>
      <w:r>
        <w:rPr>
          <w:rFonts w:ascii="Arial" w:cs="Arial" w:eastAsia="Arial" w:hAnsi="Arial"/>
          <w:sz w:val="20"/>
          <w:szCs w:val="20"/>
        </w:rPr>
        <w:t xml:space="preserve">Flam. Liq. 2 (Substancja ciekła łatwopalna, kategoria 2)</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Eye Irrit. 2 (Działanie drażniące na oczy, kategoria 2)</w:t>
      </w:r>
    </w:p>
    <w:p>
      <w:pPr>
        <w:spacing w:after="80"/>
      </w:pPr>
      <w:r>
        <w:rPr>
          <w:rFonts w:ascii="Arial" w:cs="Arial" w:eastAsia="Arial" w:hAnsi="Arial"/>
          <w:sz w:val="20"/>
          <w:szCs w:val="20"/>
        </w:rPr>
        <w:t xml:space="preserve">H319 Działa drażniąco na oczy.</w:t>
      </w:r>
    </w:p>
    <w:p>
      <w:pPr>
        <w:spacing w:after="100" w:before="200"/>
      </w:pPr>
      <w:r>
        <w:rPr>
          <w:rFonts w:ascii="Arial" w:cs="Arial" w:eastAsia="Arial" w:hAnsi="Arial"/>
          <w:b/>
          <w:bCs/>
          <w:sz w:val="20"/>
          <w:szCs w:val="20"/>
        </w:rPr>
        <w:t xml:space="preserve">2.2. Elementy oznakowania</w:t>
      </w:r>
    </w:p>
    <w:p>
      <w:pPr>
        <w:spacing w:after="80" w:before="150"/>
      </w:pPr>
      <w:r>
        <w:rPr>
          <w:rFonts w:ascii="Arial" w:cs="Arial" w:eastAsia="Arial" w:hAnsi="Arial"/>
          <w:b/>
          <w:bCs/>
          <w:sz w:val="20"/>
          <w:szCs w:val="20"/>
        </w:rPr>
        <w:t xml:space="preserve">Piktogramy określające rodzaj zagrożenia:</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14375"/>
                    </a:xfrm>
                    <a:prstGeom prst="rect">
                      <a:avLst/>
                    </a:prstGeom>
                  </pic:spPr>
                </pic:pic>
              </a:graphicData>
            </a:graphic>
          </wp:inline>
        </w:drawing>
      </w: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GHS02, GHS07</w:t>
      </w:r>
    </w:p>
    <w:p>
      <w:pPr>
        <w:spacing w:after="80" w:before="80"/>
      </w:pPr>
      <w:r>
        <w:rPr>
          <w:rFonts w:ascii="Arial" w:cs="Arial" w:eastAsia="Arial" w:hAnsi="Arial"/>
          <w:b/>
          <w:bCs/>
          <w:sz w:val="20"/>
          <w:szCs w:val="20"/>
        </w:rPr>
        <w:t xml:space="preserve">Hasło ostrzegawcze:</w:t>
      </w:r>
      <w:r>
        <w:rPr>
          <w:rFonts w:ascii="Arial" w:cs="Arial" w:eastAsia="Arial" w:hAnsi="Arial"/>
          <w:sz w:val="20"/>
          <w:szCs w:val="20"/>
        </w:rPr>
        <w:t xml:space="preserve"/>
      </w:r>
    </w:p>
    <w:p>
      <w:pPr>
        <w:spacing w:after="80"/>
      </w:pPr>
      <w:r>
        <w:rPr>
          <w:rFonts w:ascii="Arial" w:cs="Arial" w:eastAsia="Arial" w:hAnsi="Arial"/>
          <w:sz w:val="20"/>
          <w:szCs w:val="20"/>
        </w:rPr>
        <w:t xml:space="preserve">Niebezpieczeństwo</w:t>
      </w:r>
    </w:p>
    <w:p>
      <w:pPr>
        <w:spacing w:after="80"/>
      </w:pPr>
      <w:r>
        <w:rPr>
          <w:rFonts w:ascii="Arial" w:cs="Arial" w:eastAsia="Arial" w:hAnsi="Arial"/>
          <w:sz w:val="20"/>
          <w:szCs w:val="20"/>
        </w:rPr>
        <w:t xml:space="preserve">Nazwy niebezpiecznych substancji wymienione na etykiecie:</w:t>
      </w:r>
    </w:p>
    <w:p>
      <w:pPr>
        <w:spacing w:after="80"/>
      </w:pPr>
      <w:r>
        <w:rPr>
          <w:rFonts w:ascii="Arial" w:cs="Arial" w:eastAsia="Arial" w:hAnsi="Arial"/>
          <w:sz w:val="20"/>
          <w:szCs w:val="20"/>
        </w:rPr>
        <w:t xml:space="preserve">etanol</w:t>
      </w:r>
    </w:p>
    <w:p>
      <w:pPr>
        <w:spacing w:after="80"/>
      </w:pPr>
      <w:r>
        <w:rPr>
          <w:rFonts w:ascii="Arial" w:cs="Arial" w:eastAsia="Arial" w:hAnsi="Arial"/>
          <w:sz w:val="20"/>
          <w:szCs w:val="20"/>
        </w:rPr>
        <w:t xml:space="preserve">Zwroty wskazujące rodzaj zagrożenia:</w:t>
      </w:r>
    </w:p>
    <w:p>
      <w:pPr>
        <w:spacing w:after="80"/>
      </w:pPr>
      <w:r>
        <w:rPr>
          <w:rFonts w:ascii="Arial" w:cs="Arial" w:eastAsia="Arial" w:hAnsi="Arial"/>
          <w:sz w:val="20"/>
          <w:szCs w:val="20"/>
        </w:rPr>
        <w:t xml:space="preserve">H225 Wysoce łatwopalna ciecz i pary.</w:t>
      </w:r>
    </w:p>
    <w:p>
      <w:pPr>
        <w:spacing w:after="80"/>
      </w:pPr>
      <w:r>
        <w:rPr>
          <w:rFonts w:ascii="Arial" w:cs="Arial" w:eastAsia="Arial" w:hAnsi="Arial"/>
          <w:sz w:val="20"/>
          <w:szCs w:val="20"/>
        </w:rPr>
        <w:t xml:space="preserve">H319 Działa drażniąco na oczy.</w:t>
      </w:r>
    </w:p>
    <w:p>
      <w:pPr>
        <w:spacing w:after="80"/>
      </w:pPr>
      <w:r>
        <w:rPr>
          <w:rFonts w:ascii="Arial" w:cs="Arial" w:eastAsia="Arial" w:hAnsi="Arial"/>
          <w:sz w:val="20"/>
          <w:szCs w:val="20"/>
        </w:rPr>
        <w:t xml:space="preserve">Zwroty wskazujące środki ostrożności:</w:t>
      </w:r>
    </w:p>
    <w:p>
      <w:pPr>
        <w:spacing w:after="80"/>
      </w:pPr>
      <w:r>
        <w:rPr>
          <w:rFonts w:ascii="Arial" w:cs="Arial" w:eastAsia="Arial" w:hAnsi="Arial"/>
          <w:sz w:val="20"/>
          <w:szCs w:val="20"/>
        </w:rPr>
        <w:t xml:space="preserve">P101 W razie konieczności zasięgnięcia porady lekarza należy pokazać pojemnik lub etykietę.</w:t>
      </w:r>
    </w:p>
    <w:p>
      <w:pPr>
        <w:spacing w:after="80"/>
      </w:pPr>
      <w:r>
        <w:rPr>
          <w:rFonts w:ascii="Arial" w:cs="Arial" w:eastAsia="Arial" w:hAnsi="Arial"/>
          <w:sz w:val="20"/>
          <w:szCs w:val="20"/>
        </w:rPr>
        <w:t xml:space="preserve">P102 Chronić przed dziećmi.</w:t>
      </w:r>
    </w:p>
    <w:p>
      <w:pPr>
        <w:spacing w:after="80"/>
      </w:pPr>
      <w:r>
        <w:rPr>
          <w:rFonts w:ascii="Arial" w:cs="Arial" w:eastAsia="Arial" w:hAnsi="Arial"/>
          <w:sz w:val="20"/>
          <w:szCs w:val="20"/>
        </w:rPr>
        <w:t xml:space="preserve">P210 Przechowywać z dala od źródeł ciepła, gorących powierzchni, źródeł iskrzenia, otwartego ognia i innych źródeł zapłonu. Nie palić.</w:t>
      </w:r>
    </w:p>
    <w:p>
      <w:pPr>
        <w:spacing w:after="80"/>
      </w:pPr>
      <w:r>
        <w:rPr>
          <w:rFonts w:ascii="Arial" w:cs="Arial" w:eastAsia="Arial" w:hAnsi="Arial"/>
          <w:sz w:val="20"/>
          <w:szCs w:val="20"/>
        </w:rPr>
        <w:t xml:space="preserve">P305+P351+P338 W PRZYPADKU DOSTANIA SIĘ DO OCZU: Ostrożnie płukać wodą przez kilka minut. Wyjąć soczewki kontaktowe, jeżeli są i można je łatwo usunąć. Nadal płukać.</w:t>
      </w:r>
    </w:p>
    <w:p>
      <w:pPr>
        <w:spacing w:after="80"/>
      </w:pPr>
      <w:r>
        <w:rPr>
          <w:rFonts w:ascii="Arial" w:cs="Arial" w:eastAsia="Arial" w:hAnsi="Arial"/>
          <w:sz w:val="20"/>
          <w:szCs w:val="20"/>
        </w:rPr>
        <w:t xml:space="preserve">P337+P313 W przypadku utrzymywania się działania drażniącego na oczy: Zasięgnąć porady/zgłosić się pod opiekę lekarza.</w:t>
      </w:r>
    </w:p>
    <w:p>
      <w:pPr>
        <w:spacing w:after="80"/>
      </w:pPr>
      <w:r>
        <w:rPr>
          <w:rFonts w:ascii="Arial" w:cs="Arial" w:eastAsia="Arial" w:hAnsi="Arial"/>
          <w:sz w:val="20"/>
          <w:szCs w:val="20"/>
        </w:rPr>
        <w:t xml:space="preserve">P501 Zawartość/pojemnik usuwać do odpowiednio oznakowanych pojemników na odpady zgodnie z krajowymi przepisami.</w:t>
      </w:r>
    </w:p>
    <w:p>
      <w:pPr>
        <w:spacing w:after="80"/>
      </w:pPr>
      <w:r>
        <w:rPr>
          <w:rFonts w:ascii="Arial" w:cs="Arial" w:eastAsia="Arial" w:hAnsi="Arial"/>
          <w:sz w:val="20"/>
          <w:szCs w:val="20"/>
        </w:rPr>
        <w:t xml:space="preserve">Informacje uzupełniające:</w:t>
      </w:r>
    </w:p>
    <w:p>
      <w:pPr>
        <w:spacing w:after="80"/>
      </w:pPr>
      <w:r>
        <w:rPr>
          <w:rFonts w:ascii="Arial" w:cs="Arial" w:eastAsia="Arial" w:hAnsi="Arial"/>
          <w:sz w:val="20"/>
          <w:szCs w:val="20"/>
        </w:rPr>
        <w:t xml:space="preserve">EUH208 Zawiera kumarynę (2H-chromen-2-on). Może powodować wystąpienie reakcji alergicznej.</w:t>
      </w:r>
    </w:p>
    <w:p>
      <w:pPr>
        <w:spacing w:after="100" w:before="200"/>
      </w:pPr>
      <w:r>
        <w:rPr>
          <w:rFonts w:ascii="Arial" w:cs="Arial" w:eastAsia="Arial" w:hAnsi="Arial"/>
          <w:b/>
          <w:bCs/>
          <w:sz w:val="20"/>
          <w:szCs w:val="20"/>
        </w:rPr>
        <w:t xml:space="preserve">2.3. Inne zagrożenia</w:t>
      </w:r>
    </w:p>
    <w:p>
      <w:pPr>
        <w:spacing w:after="80"/>
      </w:pPr>
      <w:r>
        <w:rPr>
          <w:rFonts w:ascii="Arial" w:cs="Arial" w:eastAsia="Arial" w:hAnsi="Arial"/>
          <w:sz w:val="20"/>
          <w:szCs w:val="20"/>
        </w:rPr>
        <w:t xml:space="preserve">Produkt nie zawiera składników wpisanych do wykazu ustanowionego zgodnie z art. 59 ust. 1 jako posiadające właściwości zaburzające funkcjonowanie układu hormonalnego ani składników o właściwościach zaburzających funkcjonowanie układu hormonalnego zgodnie z kryteriami określonymi w rozporządzeniu 2017/2100/UE lub rozporządzeniu 2018/605/UE w stężeniu równym lub większym od 0,1 %.</w:t>
      </w:r>
    </w:p>
    <w:p>
      <w:pPr>
        <w:spacing w:after="80"/>
      </w:pPr>
      <w:r>
        <w:rPr>
          <w:rFonts w:ascii="Arial" w:cs="Arial" w:eastAsia="Arial" w:hAnsi="Arial"/>
          <w:sz w:val="20"/>
          <w:szCs w:val="20"/>
        </w:rPr>
        <w:t xml:space="preserve">Komponenty mieszaniny nie spełniają kryteriów PBT lub vPvB zgodnie z załącznikiem XIII rozporządzenia REACH.</w:t>
      </w:r>
    </w:p>
    <w:p>
      <w:pPr>
        <w:pBdr>
          <w:bottom w:color="00A651" w:sz="12" w:space="1"/>
        </w:pBdr>
        <w:spacing w:after="150" w:before="300"/>
      </w:pPr>
      <w:r>
        <w:rPr>
          <w:b/>
          <w:bCs/>
          <w:sz w:val="22"/>
          <w:szCs w:val="22"/>
        </w:rPr>
        <w:t xml:space="preserve">SEKCJA 3: SKŁAD / INFORMACJA O SKŁADNIKACH</w:t>
      </w:r>
    </w:p>
    <w:p>
      <w:pPr>
        <w:spacing w:after="100" w:before="180"/>
      </w:pPr>
      <w:r>
        <w:rPr>
          <w:rFonts w:ascii="Arial" w:cs="Arial" w:eastAsia="Arial" w:hAnsi="Arial"/>
          <w:b/>
          <w:bCs/>
          <w:sz w:val="20"/>
          <w:szCs w:val="20"/>
        </w:rPr>
        <w:t xml:space="preserve">3.1. Substancje: Nie dotyczy.</w:t>
      </w:r>
    </w:p>
    <w:p>
      <w:pPr>
        <w:spacing w:after="80" w:before="180"/>
      </w:pPr>
      <w:r>
        <w:rPr>
          <w:rFonts w:ascii="Arial" w:cs="Arial" w:eastAsia="Arial" w:hAnsi="Arial"/>
          <w:b/>
          <w:bCs/>
          <w:sz w:val="20"/>
          <w:szCs w:val="20"/>
        </w:rPr>
        <w:t xml:space="preserve">3.2. Mieszaniny</w:t>
      </w:r>
    </w:p>
    <w:p>
      <w:pPr>
        <w:spacing w:after="150"/>
      </w:pPr>
      <w:r>
        <w:rPr>
          <w:rFonts w:ascii="Arial" w:cs="Arial" w:eastAsia="Arial" w:hAnsi="Arial"/>
          <w:sz w:val="20"/>
          <w:szCs w:val="20"/>
        </w:rPr>
        <w:t xml:space="preserve">Opis chemiczny: Mieszanina substancji stwarzających zagrożenie wraz z dodatkami niesklasyfikowanymi.</w:t>
      </w:r>
    </w:p>
    <w:tbl>
      <w:tblPr>
        <w:tblW w:type="dxa" w:w="9600"/>
        <w:tblBorders>
          <w:top w:val="single" w:color="CCCCCC" w:sz="4"/>
          <w:left w:val="single" w:color="CCCCCC" w:sz="4"/>
          <w:bottom w:val="single" w:color="CCCCCC" w:sz="4"/>
          <w:right w:val="single" w:color="CCCCCC" w:sz="4"/>
          <w:insideH w:val="single" w:color="E0E0E0" w:sz="4"/>
          <w:insideV w:val="single" w:color="E0E0E0" w:sz="4"/>
        </w:tblBorders>
      </w:tblPr>
      <w:tblGrid>
        <w:gridCol w:w="100"/>
        <w:gridCol w:w="100"/>
        <w:gridCol w:w="100"/>
        <w:gridCol w:w="100"/>
      </w:tblGrid>
      <w:tr>
        <w:trPr>
          <w:tblHeader/>
        </w:trPr>
        <w:tc>
          <w:tcPr>
            <w:tcW w:type="dxa" w:w="2800"/>
            <w:shd w:fill="F2F4F7"/>
          </w:tcPr>
          <w:p>
            <w:r>
              <w:rPr>
                <w:rFonts w:ascii="Arial" w:cs="Arial" w:eastAsia="Arial" w:hAnsi="Arial"/>
                <w:b/>
                <w:bCs/>
                <w:sz w:val="18"/>
                <w:szCs w:val="18"/>
              </w:rPr>
              <w:t xml:space="preserve">Nazwa substancji</w:t>
            </w:r>
          </w:p>
        </w:tc>
        <w:tc>
          <w:tcPr>
            <w:tcW w:type="dxa" w:w="2600"/>
            <w:shd w:fill="F2F4F7"/>
          </w:tcPr>
          <w:p>
            <w:r>
              <w:rPr>
                <w:rFonts w:ascii="Arial" w:cs="Arial" w:eastAsia="Arial" w:hAnsi="Arial"/>
                <w:b/>
                <w:bCs/>
                <w:sz w:val="18"/>
                <w:szCs w:val="18"/>
              </w:rPr>
              <w:t xml:space="preserve">Identyfikatory</w:t>
            </w:r>
          </w:p>
        </w:tc>
        <w:tc>
          <w:tcPr>
            <w:tcW w:type="dxa" w:w="2800"/>
            <w:shd w:fill="F2F4F7"/>
          </w:tcPr>
          <w:p>
            <w:r>
              <w:rPr>
                <w:rFonts w:ascii="Arial" w:cs="Arial" w:eastAsia="Arial" w:hAnsi="Arial"/>
                <w:b/>
                <w:bCs/>
                <w:sz w:val="18"/>
                <w:szCs w:val="18"/>
              </w:rPr>
              <w:t xml:space="preserve">Klasyfikacja CLP</w:t>
            </w:r>
          </w:p>
        </w:tc>
        <w:tc>
          <w:tcPr>
            <w:tcW w:type="dxa" w:w="1400"/>
            <w:shd w:fill="F2F4F7"/>
          </w:tcPr>
          <w:p>
            <w:r>
              <w:rPr>
                <w:rFonts w:ascii="Arial" w:cs="Arial" w:eastAsia="Arial" w:hAnsi="Arial"/>
                <w:b/>
                <w:bCs/>
                <w:sz w:val="18"/>
                <w:szCs w:val="18"/>
              </w:rPr>
              <w:t xml:space="preserve">Stężenie</w:t>
            </w:r>
          </w:p>
        </w:tc>
      </w:tr>
      <w:tr>
        <w:tc>
          <w:tcPr>
            <w:tcW w:type="dxa" w:w="2800"/>
          </w:tcPr>
          <w:p>
            <w:pPr>
              <w:spacing w:after="40"/>
            </w:pPr>
            <w:r>
              <w:rPr>
                <w:rFonts w:ascii="Arial" w:cs="Arial" w:eastAsia="Arial" w:hAnsi="Arial"/>
                <w:b/>
                <w:bCs/>
                <w:sz w:val="18"/>
                <w:szCs w:val="18"/>
              </w:rPr>
              <w:t xml:space="preserve">etanol</w:t>
            </w:r>
          </w:p>
          <w:p>
            <w:r>
              <w:rPr>
                <w:rFonts w:ascii="Arial" w:cs="Arial" w:eastAsia="Arial" w:hAnsi="Arial"/>
                <w:i/>
                <w:iCs/>
                <w:color w:val="666666"/>
                <w:sz w:val="16"/>
                <w:szCs w:val="16"/>
              </w:rPr>
              <w:t xml:space="preserve">(ang. ETHANOL)</w:t>
            </w:r>
          </w:p>
        </w:tc>
        <w:tc>
          <w:tcPr>
            <w:tcW w:type="dxa" w:w="2600"/>
          </w:tcPr>
          <w:p>
            <w:pPr>
              <w:spacing w:after="40"/>
            </w:pPr>
            <w:r>
              <w:rPr>
                <w:rFonts w:ascii="Arial" w:cs="Arial" w:eastAsia="Arial" w:hAnsi="Arial"/>
                <w:sz w:val="17"/>
                <w:szCs w:val="17"/>
              </w:rPr>
              <w:t xml:space="preserve">Numer CAS: 64-17-5</w:t>
            </w:r>
          </w:p>
          <w:p>
            <w:pPr>
              <w:spacing w:after="40"/>
            </w:pPr>
            <w:r>
              <w:rPr>
                <w:rFonts w:ascii="Arial" w:cs="Arial" w:eastAsia="Arial" w:hAnsi="Arial"/>
                <w:sz w:val="17"/>
                <w:szCs w:val="17"/>
              </w:rPr>
              <w:t xml:space="preserve">Numer WE: 200-578-6</w:t>
            </w:r>
          </w:p>
          <w:p>
            <w:pPr>
              <w:spacing w:after="40"/>
            </w:pPr>
            <w:r>
              <w:rPr>
                <w:rFonts w:ascii="Arial" w:cs="Arial" w:eastAsia="Arial" w:hAnsi="Arial"/>
                <w:sz w:val="17"/>
                <w:szCs w:val="17"/>
              </w:rPr>
              <w:t xml:space="preserve">Numer indeksowy: 603-002-00-5</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01-2119457610-43</w:t>
            </w:r>
          </w:p>
        </w:tc>
        <w:tc>
          <w:tcPr>
            <w:tcW w:type="dxa" w:w="2800"/>
          </w:tcPr>
          <w:p>
            <w:pPr>
              <w:spacing w:after="40"/>
            </w:pPr>
            <w:r>
              <w:rPr>
                <w:rFonts w:ascii="Arial" w:cs="Arial" w:eastAsia="Arial" w:hAnsi="Arial"/>
                <w:sz w:val="17"/>
                <w:szCs w:val="17"/>
              </w:rPr>
              <w:t xml:space="preserve">Flam. Liq. 2 H225, Eye Irrit. 2 H319</w:t>
            </w:r>
          </w:p>
          <w:p>
            <w:pPr>
              <w:spacing w:after="40"/>
            </w:pPr>
            <w:r>
              <w:rPr>
                <w:rFonts w:ascii="Arial" w:cs="Arial" w:eastAsia="Arial" w:hAnsi="Arial"/>
                <w:sz w:val="17"/>
                <w:szCs w:val="17"/>
              </w:rPr>
              <w:t xml:space="preserve">Eye Irrit. 2 H319: ≥ 50%</w:t>
            </w:r>
          </w:p>
        </w:tc>
        <w:tc>
          <w:tcPr>
            <w:tcW w:type="dxa" w:w="1400"/>
          </w:tcPr>
          <w:p>
            <w:r>
              <w:rPr>
                <w:rFonts w:ascii="Arial" w:cs="Arial" w:eastAsia="Arial" w:hAnsi="Arial"/>
                <w:sz w:val="18"/>
                <w:szCs w:val="18"/>
              </w:rPr>
              <w:t xml:space="preserve">74 ≤ x &lt; 78 %</w:t>
            </w:r>
          </w:p>
        </w:tc>
      </w:tr>
      <w:tr>
        <w:tc>
          <w:tcPr>
            <w:tcW w:type="dxa" w:w="2800"/>
          </w:tcPr>
          <w:p>
            <w:pPr>
              <w:spacing w:after="40"/>
            </w:pPr>
            <w:r>
              <w:rPr>
                <w:rFonts w:ascii="Arial" w:cs="Arial" w:eastAsia="Arial" w:hAnsi="Arial"/>
                <w:b/>
                <w:bCs/>
                <w:sz w:val="18"/>
                <w:szCs w:val="18"/>
              </w:rPr>
              <w:t xml:space="preserve">aldehyd anyżowy (4-metoksybenzaldehyd)</w:t>
            </w:r>
          </w:p>
          <w:p>
            <w:r>
              <w:rPr>
                <w:rFonts w:ascii="Arial" w:cs="Arial" w:eastAsia="Arial" w:hAnsi="Arial"/>
                <w:i/>
                <w:iCs/>
                <w:color w:val="666666"/>
                <w:sz w:val="16"/>
                <w:szCs w:val="16"/>
              </w:rPr>
              <w:t xml:space="preserve">(ang. ANISALDEHYDE)</w:t>
            </w:r>
          </w:p>
        </w:tc>
        <w:tc>
          <w:tcPr>
            <w:tcW w:type="dxa" w:w="2600"/>
          </w:tcPr>
          <w:p>
            <w:pPr>
              <w:spacing w:after="40"/>
            </w:pPr>
            <w:r>
              <w:rPr>
                <w:rFonts w:ascii="Arial" w:cs="Arial" w:eastAsia="Arial" w:hAnsi="Arial"/>
                <w:sz w:val="17"/>
                <w:szCs w:val="17"/>
              </w:rPr>
              <w:t xml:space="preserve">Numer CAS: 123-11-5</w:t>
            </w:r>
          </w:p>
          <w:p>
            <w:pPr>
              <w:spacing w:after="40"/>
            </w:pPr>
            <w:r>
              <w:rPr>
                <w:rFonts w:ascii="Arial" w:cs="Arial" w:eastAsia="Arial" w:hAnsi="Arial"/>
                <w:sz w:val="17"/>
                <w:szCs w:val="17"/>
              </w:rPr>
              <w:t xml:space="preserve">Numer WE: 204-602-6</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01-2119977101-43</w:t>
            </w:r>
          </w:p>
        </w:tc>
        <w:tc>
          <w:tcPr>
            <w:tcW w:type="dxa" w:w="2800"/>
          </w:tcPr>
          <w:p>
            <w:pPr>
              <w:spacing w:after="40"/>
            </w:pPr>
            <w:r>
              <w:rPr>
                <w:rFonts w:ascii="Arial" w:cs="Arial" w:eastAsia="Arial" w:hAnsi="Arial"/>
                <w:sz w:val="17"/>
                <w:szCs w:val="17"/>
              </w:rPr>
              <w:t xml:space="preserve">Repr. 2 H361fd, Stwarzające zagrożenie dla środowiska wodnego - kategoria przewlekła 3 H412</w:t>
            </w:r>
          </w:p>
        </w:tc>
        <w:tc>
          <w:tcPr>
            <w:tcW w:type="dxa" w:w="1400"/>
          </w:tcPr>
          <w:p>
            <w:r>
              <w:rPr>
                <w:rFonts w:ascii="Arial" w:cs="Arial" w:eastAsia="Arial" w:hAnsi="Arial"/>
                <w:sz w:val="18"/>
                <w:szCs w:val="18"/>
              </w:rPr>
              <w:t xml:space="preserve">0,7 ≤ x &lt; 0,8 %</w:t>
            </w:r>
          </w:p>
        </w:tc>
      </w:tr>
      <w:tr>
        <w:tc>
          <w:tcPr>
            <w:tcW w:type="dxa" w:w="2800"/>
          </w:tcPr>
          <w:p>
            <w:pPr>
              <w:spacing w:after="40"/>
            </w:pPr>
            <w:r>
              <w:rPr>
                <w:rFonts w:ascii="Arial" w:cs="Arial" w:eastAsia="Arial" w:hAnsi="Arial"/>
                <w:b/>
                <w:bCs/>
                <w:sz w:val="18"/>
                <w:szCs w:val="18"/>
              </w:rPr>
              <w:t xml:space="preserve">kumaryna (2H-chromen-2-on)</w:t>
            </w:r>
          </w:p>
          <w:p>
            <w:r>
              <w:rPr>
                <w:rFonts w:ascii="Arial" w:cs="Arial" w:eastAsia="Arial" w:hAnsi="Arial"/>
                <w:i/>
                <w:iCs/>
                <w:color w:val="666666"/>
                <w:sz w:val="16"/>
                <w:szCs w:val="16"/>
              </w:rPr>
              <w:t xml:space="preserve">(ang. 2H-CHROMEN-2-ONE)</w:t>
            </w:r>
          </w:p>
        </w:tc>
        <w:tc>
          <w:tcPr>
            <w:tcW w:type="dxa" w:w="2600"/>
          </w:tcPr>
          <w:p>
            <w:pPr>
              <w:spacing w:after="40"/>
            </w:pPr>
            <w:r>
              <w:rPr>
                <w:rFonts w:ascii="Arial" w:cs="Arial" w:eastAsia="Arial" w:hAnsi="Arial"/>
                <w:sz w:val="17"/>
                <w:szCs w:val="17"/>
              </w:rPr>
              <w:t xml:space="preserve">Numer CAS: 91-64-5</w:t>
            </w:r>
          </w:p>
          <w:p>
            <w:pPr>
              <w:spacing w:after="40"/>
            </w:pPr>
            <w:r>
              <w:rPr>
                <w:rFonts w:ascii="Arial" w:cs="Arial" w:eastAsia="Arial" w:hAnsi="Arial"/>
                <w:sz w:val="17"/>
                <w:szCs w:val="17"/>
              </w:rPr>
              <w:t xml:space="preserve">Numer WE: 202-086-7</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01-2119943756-26</w:t>
            </w:r>
          </w:p>
        </w:tc>
        <w:tc>
          <w:tcPr>
            <w:tcW w:type="dxa" w:w="2800"/>
          </w:tcPr>
          <w:p>
            <w:pPr>
              <w:spacing w:after="40"/>
            </w:pPr>
            <w:r>
              <w:rPr>
                <w:rFonts w:ascii="Arial" w:cs="Arial" w:eastAsia="Arial" w:hAnsi="Arial"/>
                <w:sz w:val="17"/>
                <w:szCs w:val="17"/>
              </w:rPr>
              <w:t xml:space="preserve">Acute Tox. 4 H302, Skin Sens. 1 H317, Stwarzające zagrożenie dla środowiska wodnego - kategoria przewlekła 3 H412</w:t>
            </w:r>
          </w:p>
          <w:p>
            <w:pPr>
              <w:spacing w:after="40"/>
            </w:pPr>
            <w:r>
              <w:rPr>
                <w:rFonts w:ascii="Arial" w:cs="Arial" w:eastAsia="Arial" w:hAnsi="Arial"/>
                <w:sz w:val="17"/>
                <w:szCs w:val="17"/>
              </w:rPr>
              <w:t xml:space="preserve">ATE (droga pokarmowa) = 500 mg/kg</w:t>
            </w:r>
          </w:p>
        </w:tc>
        <w:tc>
          <w:tcPr>
            <w:tcW w:type="dxa" w:w="1400"/>
          </w:tcPr>
          <w:p>
            <w:r>
              <w:rPr>
                <w:rFonts w:ascii="Arial" w:cs="Arial" w:eastAsia="Arial" w:hAnsi="Arial"/>
                <w:sz w:val="18"/>
                <w:szCs w:val="18"/>
              </w:rPr>
              <w:t xml:space="preserve">0,4 ≤ x &lt; 0,45 %</w:t>
            </w:r>
          </w:p>
        </w:tc>
      </w:tr>
      <w:tr>
        <w:tc>
          <w:tcPr>
            <w:tcW w:type="dxa" w:w="2800"/>
          </w:tcPr>
          <w:p>
            <w:pPr>
              <w:spacing w:after="40"/>
            </w:pPr>
            <w:r>
              <w:rPr>
                <w:rFonts w:ascii="Arial" w:cs="Arial" w:eastAsia="Arial" w:hAnsi="Arial"/>
                <w:b/>
                <w:bCs/>
                <w:sz w:val="18"/>
                <w:szCs w:val="18"/>
              </w:rPr>
              <w:t xml:space="preserve">2,6-di-tert-butylo-4-metylofenol (BHT)</w:t>
            </w:r>
          </w:p>
          <w:p>
            <w:r>
              <w:rPr>
                <w:rFonts w:ascii="Arial" w:cs="Arial" w:eastAsia="Arial" w:hAnsi="Arial"/>
                <w:i/>
                <w:iCs/>
                <w:color w:val="666666"/>
                <w:sz w:val="16"/>
                <w:szCs w:val="16"/>
              </w:rPr>
              <w:t xml:space="preserve">(ang. 2,6-di-tert-butyl-p-cresol)</w:t>
            </w:r>
          </w:p>
        </w:tc>
        <w:tc>
          <w:tcPr>
            <w:tcW w:type="dxa" w:w="2600"/>
          </w:tcPr>
          <w:p>
            <w:pPr>
              <w:spacing w:after="40"/>
            </w:pPr>
            <w:r>
              <w:rPr>
                <w:rFonts w:ascii="Arial" w:cs="Arial" w:eastAsia="Arial" w:hAnsi="Arial"/>
                <w:sz w:val="17"/>
                <w:szCs w:val="17"/>
              </w:rPr>
              <w:t xml:space="preserve">Numer CAS: 128-37-0</w:t>
            </w:r>
          </w:p>
          <w:p>
            <w:pPr>
              <w:spacing w:after="40"/>
            </w:pPr>
            <w:r>
              <w:rPr>
                <w:rFonts w:ascii="Arial" w:cs="Arial" w:eastAsia="Arial" w:hAnsi="Arial"/>
                <w:sz w:val="17"/>
                <w:szCs w:val="17"/>
              </w:rPr>
              <w:t xml:space="preserve">Numer WE: 204-881-4</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01-2119565113-46</w:t>
            </w:r>
          </w:p>
        </w:tc>
        <w:tc>
          <w:tcPr>
            <w:tcW w:type="dxa" w:w="2800"/>
          </w:tcPr>
          <w:p>
            <w:pPr>
              <w:spacing w:after="40"/>
            </w:pPr>
            <w:r>
              <w:rPr>
                <w:rFonts w:ascii="Arial" w:cs="Arial" w:eastAsia="Arial" w:hAnsi="Arial"/>
                <w:sz w:val="17"/>
                <w:szCs w:val="17"/>
              </w:rPr>
              <w:t xml:space="preserve">Stwarzające zagrożenie dla środowiska wodnego - kategoria przewlekła 1 H410 M = 1</w:t>
            </w:r>
          </w:p>
        </w:tc>
        <w:tc>
          <w:tcPr>
            <w:tcW w:type="dxa" w:w="1400"/>
          </w:tcPr>
          <w:p>
            <w:r>
              <w:rPr>
                <w:rFonts w:ascii="Arial" w:cs="Arial" w:eastAsia="Arial" w:hAnsi="Arial"/>
                <w:sz w:val="18"/>
                <w:szCs w:val="18"/>
              </w:rPr>
              <w:t xml:space="preserve">0,1 ≤ x &lt; 0,15 %</w:t>
            </w:r>
          </w:p>
        </w:tc>
      </w:tr>
      <w:tr>
        <w:tc>
          <w:tcPr>
            <w:tcW w:type="dxa" w:w="2800"/>
          </w:tcPr>
          <w:p>
            <w:pPr>
              <w:spacing w:after="40"/>
            </w:pPr>
            <w:r>
              <w:rPr>
                <w:rFonts w:ascii="Arial" w:cs="Arial" w:eastAsia="Arial" w:hAnsi="Arial"/>
                <w:b/>
                <w:bCs/>
                <w:sz w:val="18"/>
                <w:szCs w:val="18"/>
              </w:rPr>
              <w:t xml:space="preserve">toluen</w:t>
            </w:r>
          </w:p>
          <w:p>
            <w:r>
              <w:rPr>
                <w:rFonts w:ascii="Arial" w:cs="Arial" w:eastAsia="Arial" w:hAnsi="Arial"/>
                <w:i/>
                <w:iCs/>
                <w:color w:val="666666"/>
                <w:sz w:val="16"/>
                <w:szCs w:val="16"/>
              </w:rPr>
              <w:t xml:space="preserve">(ang. toluene)</w:t>
            </w:r>
          </w:p>
        </w:tc>
        <w:tc>
          <w:tcPr>
            <w:tcW w:type="dxa" w:w="2600"/>
          </w:tcPr>
          <w:p>
            <w:pPr>
              <w:spacing w:after="40"/>
            </w:pPr>
            <w:r>
              <w:rPr>
                <w:rFonts w:ascii="Arial" w:cs="Arial" w:eastAsia="Arial" w:hAnsi="Arial"/>
                <w:sz w:val="17"/>
                <w:szCs w:val="17"/>
              </w:rPr>
              <w:t xml:space="preserve">Numer CAS: 108-88-3</w:t>
            </w:r>
          </w:p>
          <w:p>
            <w:pPr>
              <w:spacing w:after="40"/>
            </w:pPr>
            <w:r>
              <w:rPr>
                <w:rFonts w:ascii="Arial" w:cs="Arial" w:eastAsia="Arial" w:hAnsi="Arial"/>
                <w:sz w:val="17"/>
                <w:szCs w:val="17"/>
              </w:rPr>
              <w:t xml:space="preserve">Numer WE: 203-625-9</w:t>
            </w:r>
          </w:p>
          <w:p>
            <w:pPr>
              <w:spacing w:after="40"/>
            </w:pPr>
            <w:r>
              <w:rPr>
                <w:rFonts w:ascii="Arial" w:cs="Arial" w:eastAsia="Arial" w:hAnsi="Arial"/>
                <w:sz w:val="17"/>
                <w:szCs w:val="17"/>
              </w:rPr>
              <w:t xml:space="preserve">Numer indeksowy: 601-021-00-3</w:t>
            </w:r>
          </w:p>
          <w:p>
            <w:pPr>
              <w:spacing w:after="40"/>
            </w:pPr>
            <w:r>
              <w:rPr>
                <w:rFonts w:ascii="Arial" w:cs="Arial" w:eastAsia="Arial" w:hAnsi="Arial"/>
                <w:sz w:val="17"/>
                <w:szCs w:val="17"/>
              </w:rPr>
              <w:t xml:space="preserve">Numer rejestracji REACH:</w:t>
            </w:r>
          </w:p>
          <w:p>
            <w:pPr>
              <w:spacing w:after="40"/>
            </w:pPr>
            <w:r>
              <w:rPr>
                <w:rFonts w:ascii="Arial" w:cs="Arial" w:eastAsia="Arial" w:hAnsi="Arial"/>
                <w:sz w:val="17"/>
                <w:szCs w:val="17"/>
              </w:rPr>
              <w:t xml:space="preserve">01-2119471310-51</w:t>
            </w:r>
          </w:p>
        </w:tc>
        <w:tc>
          <w:tcPr>
            <w:tcW w:type="dxa" w:w="2800"/>
          </w:tcPr>
          <w:p>
            <w:pPr>
              <w:spacing w:after="40"/>
            </w:pPr>
            <w:r>
              <w:rPr>
                <w:rFonts w:ascii="Arial" w:cs="Arial" w:eastAsia="Arial" w:hAnsi="Arial"/>
                <w:sz w:val="17"/>
                <w:szCs w:val="17"/>
              </w:rPr>
              <w:t xml:space="preserve">Flam. Liq. 2 H225, Repr. 2 H361d, Asp. Tox. 1 H304, Działanie toksyczne na narządy docelowe – narażenie powtarzane 2 H373, Skin</w:t>
            </w:r>
          </w:p>
          <w:p>
            <w:pPr>
              <w:spacing w:after="40"/>
            </w:pPr>
            <w:r>
              <w:rPr>
                <w:rFonts w:ascii="Arial" w:cs="Arial" w:eastAsia="Arial" w:hAnsi="Arial"/>
                <w:sz w:val="17"/>
                <w:szCs w:val="17"/>
              </w:rPr>
              <w:t xml:space="preserve">Irrit. 2 H315, Działanie toksyczne na narządy docelowe – narażenie jednorazowe 3 H336</w:t>
            </w:r>
          </w:p>
        </w:tc>
        <w:tc>
          <w:tcPr>
            <w:tcW w:type="dxa" w:w="1400"/>
          </w:tcPr>
          <w:p>
            <w:r>
              <w:rPr>
                <w:rFonts w:ascii="Arial" w:cs="Arial" w:eastAsia="Arial" w:hAnsi="Arial"/>
                <w:sz w:val="18"/>
                <w:szCs w:val="18"/>
              </w:rPr>
              <w:t xml:space="preserve">0 &lt; x &lt; 0,05 %</w:t>
            </w:r>
          </w:p>
        </w:tc>
      </w:tr>
    </w:tbl>
    <w:p>
      <w:pPr>
        <w:spacing w:after="150" w:before="180"/>
      </w:pPr>
      <w:r>
        <w:rPr>
          <w:rFonts w:ascii="Arial" w:cs="Arial" w:eastAsia="Arial" w:hAnsi="Arial"/>
          <w:i/>
          <w:iCs/>
          <w:sz w:val="18"/>
          <w:szCs w:val="18"/>
        </w:rPr>
        <w:t xml:space="preserve">Pełne brzmienie zwrotów H i EUH znajduje się w sekcji 16 karty charakterystyki.</w:t>
      </w:r>
    </w:p>
    <w:p>
      <w:pPr>
        <w:pBdr>
          <w:bottom w:color="00A651" w:sz="12" w:space="1"/>
        </w:pBdr>
        <w:spacing w:after="150" w:before="300"/>
      </w:pPr>
      <w:r>
        <w:rPr>
          <w:b/>
          <w:bCs/>
          <w:sz w:val="22"/>
          <w:szCs w:val="22"/>
        </w:rPr>
        <w:t xml:space="preserve">SEKCJA 4: ŚRODKI PIERWSZEJ POMOCY</w:t>
      </w:r>
    </w:p>
    <w:p>
      <w:pPr>
        <w:spacing w:after="100" w:before="200"/>
      </w:pPr>
      <w:r>
        <w:rPr>
          <w:rFonts w:ascii="Arial" w:cs="Arial" w:eastAsia="Arial" w:hAnsi="Arial"/>
          <w:b/>
          <w:bCs/>
          <w:sz w:val="20"/>
          <w:szCs w:val="20"/>
        </w:rPr>
        <w:t xml:space="preserve">4.1. Opis środków pierwszej pomocy</w:t>
      </w:r>
    </w:p>
    <w:p>
      <w:pPr>
        <w:spacing w:after="80"/>
      </w:pPr>
      <w:r>
        <w:rPr>
          <w:rFonts w:ascii="Arial" w:cs="Arial" w:eastAsia="Arial" w:hAnsi="Arial"/>
          <w:sz w:val="20"/>
          <w:szCs w:val="20"/>
        </w:rPr>
        <w:t xml:space="preserve">W razie wątpliwości lub w przypadku wystąpienia objawów skonsultować się z lekarzem i pokazać mu niniejszą kartę charakterystyki. W przypadku cięższych objawów wezwać natychmiastową pomoc medyczną.</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Natychmiast zdjąć zanieczyszczoną odzież. Zmyć natychmiast i dokładnie dużą ilością bieżącej wody (oraz w miarę możliwości mydłem). Zasięgnąć porady lekarza. Unikać dalszego kontaktu z zanieczyszczoną odzieżą.</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Wyjąć soczewki kontaktowe, jeżeli są i można je łatwo usunąć. Płukać natychmiast dużą ilością wody przez co najmniej 15 minut, całkowicie otwierając powieki. Zasięgnąć porady/zgłosić się pod opiekę lekarza (skonsultować się z lekarzem okulistą).</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Nie wywoływać wymiotów, chyba że zostało to wyraźnie zalecone przez lekarza. Nigdy nie podawać niczego doustnie osobie nieprzytomnej. Niezwłocznie zasięgnąć porady lekarza, pokazując kartę charakterystyki lub etykietę produktu.</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Wyprowadzić poszkodowanego na świeże powietrze, z dala od miejsca zdarzenia, zapewnić ciepło i spokój. Zasięgnąć porady/zgłosić się pod opiekę lekarza.</w:t>
      </w:r>
    </w:p>
    <w:p>
      <w:pPr>
        <w:spacing w:after="80"/>
      </w:pPr>
      <w:r>
        <w:rPr>
          <w:rFonts w:ascii="Arial" w:cs="Arial" w:eastAsia="Arial" w:hAnsi="Arial"/>
          <w:sz w:val="20"/>
          <w:szCs w:val="20"/>
        </w:rPr>
        <w:t xml:space="preserve">Ochrona osób udzielających pierwszej pomocy:</w:t>
      </w:r>
    </w:p>
    <w:p>
      <w:pPr>
        <w:spacing w:after="80"/>
      </w:pPr>
      <w:r>
        <w:rPr>
          <w:rFonts w:ascii="Arial" w:cs="Arial" w:eastAsia="Arial" w:hAnsi="Arial"/>
          <w:sz w:val="20"/>
          <w:szCs w:val="20"/>
        </w:rPr>
        <w:t xml:space="preserve">Dobrą praktyką jest, aby ratownicy udzielający pomocy osobie narażonej na działanie substancji lub mieszaniny chemicznej stosowali środki ochrony indywidualnej. Rodzaj ochrony zależy od stopnia zagrożenia stwarzanego przez substancję lub mieszaninę, rodzaju narażenia i stopnia skażenia. W przypadku braku innych, bardziej szczegółowych wskazań, w razie możliwości kontaktu z płynami ustrojowymi zaleca się stosowanie rękawic jednorazowych. Informacje na temat odpowiednich środków ochrony indywidualnej podano w sekcji 8.</w:t>
      </w:r>
    </w:p>
    <w:p>
      <w:pPr>
        <w:spacing w:after="100" w:before="200"/>
      </w:pPr>
      <w:r>
        <w:rPr>
          <w:rFonts w:ascii="Arial" w:cs="Arial" w:eastAsia="Arial" w:hAnsi="Arial"/>
          <w:b/>
          <w:bCs/>
          <w:sz w:val="20"/>
          <w:szCs w:val="20"/>
        </w:rPr>
        <w:t xml:space="preserve">4.2. Najważniejsze ostre i opóźnione objawy oraz skutki narażenia</w:t>
      </w:r>
    </w:p>
    <w:p>
      <w:pPr>
        <w:spacing w:after="80" w:before="80"/>
      </w:pPr>
      <w:r>
        <w:rPr>
          <w:rFonts w:ascii="Arial" w:cs="Arial" w:eastAsia="Arial" w:hAnsi="Arial"/>
          <w:b/>
          <w:bCs/>
          <w:sz w:val="20"/>
          <w:szCs w:val="20"/>
        </w:rPr>
        <w:t xml:space="preserve">W kontakcie z oczami:</w:t>
      </w:r>
      <w:r>
        <w:rPr>
          <w:rFonts w:ascii="Arial" w:cs="Arial" w:eastAsia="Arial" w:hAnsi="Arial"/>
          <w:sz w:val="20"/>
          <w:szCs w:val="20"/>
        </w:rPr>
        <w:t xml:space="preserve"> Działa drażniąco na oczy. Może powodować zaczerwienienie spojówek, pieczenie, łzawienie i ból.</w:t>
      </w:r>
    </w:p>
    <w:p>
      <w:pPr>
        <w:spacing w:after="80" w:before="80"/>
      </w:pPr>
      <w:r>
        <w:rPr>
          <w:rFonts w:ascii="Arial" w:cs="Arial" w:eastAsia="Arial" w:hAnsi="Arial"/>
          <w:b/>
          <w:bCs/>
          <w:sz w:val="20"/>
          <w:szCs w:val="20"/>
        </w:rPr>
        <w:t xml:space="preserve">W kontakcie ze skórą:</w:t>
      </w:r>
      <w:r>
        <w:rPr>
          <w:rFonts w:ascii="Arial" w:cs="Arial" w:eastAsia="Arial" w:hAnsi="Arial"/>
          <w:sz w:val="20"/>
          <w:szCs w:val="20"/>
        </w:rPr>
        <w:t xml:space="preserve"> U osób szczególnie wrażliwych może wywołać reakcję alergiczną skóry (zawiera kumarynę (2H-chromen-2-on)). Przy długotrwałym kontakcie może powodować wysuszenie lub pękanie skóry.</w:t>
      </w:r>
    </w:p>
    <w:p>
      <w:pPr>
        <w:spacing w:after="80" w:before="80"/>
      </w:pPr>
      <w:r>
        <w:rPr>
          <w:rFonts w:ascii="Arial" w:cs="Arial" w:eastAsia="Arial" w:hAnsi="Arial"/>
          <w:b/>
          <w:bCs/>
          <w:sz w:val="20"/>
          <w:szCs w:val="20"/>
        </w:rPr>
        <w:t xml:space="preserve">Po narażeniu drogą oddechową:</w:t>
      </w:r>
      <w:r>
        <w:rPr>
          <w:rFonts w:ascii="Arial" w:cs="Arial" w:eastAsia="Arial" w:hAnsi="Arial"/>
          <w:sz w:val="20"/>
          <w:szCs w:val="20"/>
        </w:rPr>
        <w:t xml:space="preserve"> Wdychanie wysokich stężeń par może wywoływać podrażnienie błon śluzowych dróg oddechowych, bóle i zawroty głowy oraz uczucie senności.</w:t>
      </w:r>
    </w:p>
    <w:p>
      <w:pPr>
        <w:spacing w:after="80" w:before="80"/>
      </w:pPr>
      <w:r>
        <w:rPr>
          <w:rFonts w:ascii="Arial" w:cs="Arial" w:eastAsia="Arial" w:hAnsi="Arial"/>
          <w:b/>
          <w:bCs/>
          <w:sz w:val="20"/>
          <w:szCs w:val="20"/>
        </w:rPr>
        <w:t xml:space="preserve">W przypadku spożycia:</w:t>
      </w:r>
      <w:r>
        <w:rPr>
          <w:rFonts w:ascii="Arial" w:cs="Arial" w:eastAsia="Arial" w:hAnsi="Arial"/>
          <w:sz w:val="20"/>
          <w:szCs w:val="20"/>
        </w:rPr>
        <w:t xml:space="preserve"> Może wywołać podrażnienie układu pokarmowego, nudności, wymioty oraz objawy intoksykacji alkoholowej.</w:t>
      </w:r>
    </w:p>
    <w:p>
      <w:pPr>
        <w:spacing w:after="80"/>
      </w:pPr>
      <w:r>
        <w:rPr>
          <w:rFonts w:ascii="Arial" w:cs="Arial" w:eastAsia="Arial" w:hAnsi="Arial"/>
          <w:sz w:val="20"/>
          <w:szCs w:val="20"/>
        </w:rPr>
        <w:t xml:space="preserve">SKUTKI OPÓŹNIONE: W oparciu o dostępne dane, w warunkach prawidłowego stosowania nie są znane przypadki wystąpienia opóźnionych powikłań zdrowotnych.</w:t>
      </w:r>
    </w:p>
    <w:p>
      <w:pPr>
        <w:spacing w:after="100" w:before="200"/>
      </w:pPr>
      <w:r>
        <w:rPr>
          <w:rFonts w:ascii="Arial" w:cs="Arial" w:eastAsia="Arial" w:hAnsi="Arial"/>
          <w:b/>
          <w:bCs/>
          <w:sz w:val="20"/>
          <w:szCs w:val="20"/>
        </w:rPr>
        <w:t xml:space="preserve">4.3. Wskazania dotyczące wszelkiej natychmiastowej pomocy lekarskiej i szczególnego postępowania z poszkodowanym</w:t>
      </w:r>
    </w:p>
    <w:p>
      <w:pPr>
        <w:spacing w:after="80"/>
      </w:pPr>
      <w:r>
        <w:rPr>
          <w:rFonts w:ascii="Arial" w:cs="Arial" w:eastAsia="Arial" w:hAnsi="Arial"/>
          <w:sz w:val="20"/>
          <w:szCs w:val="20"/>
        </w:rPr>
        <w:t xml:space="preserve">W przypadku wystąpienia objawów (ostrych lub opóźnionych) skonsultować się z lekarzem.</w:t>
      </w:r>
    </w:p>
    <w:p>
      <w:pPr>
        <w:spacing w:after="80"/>
      </w:pPr>
      <w:r>
        <w:rPr>
          <w:rFonts w:ascii="Arial" w:cs="Arial" w:eastAsia="Arial" w:hAnsi="Arial"/>
          <w:sz w:val="20"/>
          <w:szCs w:val="20"/>
        </w:rPr>
        <w:t xml:space="preserve">Środki, które powinny być dostępne w miejscu pracy w celu zapewnienia natychmiastowego i specyficznego leczenia: Bieżąca woda do przemywania oczu i zmywania skóry.</w:t>
      </w:r>
    </w:p>
    <w:p>
      <w:pPr>
        <w:pBdr>
          <w:bottom w:color="00A651" w:sz="12" w:space="1"/>
        </w:pBdr>
        <w:spacing w:after="150" w:before="300"/>
      </w:pPr>
      <w:r>
        <w:rPr>
          <w:b/>
          <w:bCs/>
          <w:sz w:val="22"/>
          <w:szCs w:val="22"/>
        </w:rPr>
        <w:t xml:space="preserve">SEKCJA 5: POSTĘPOWANIE W PRZYPADKU POŻARU</w:t>
      </w:r>
    </w:p>
    <w:p>
      <w:pPr>
        <w:spacing w:after="100" w:before="200"/>
      </w:pPr>
      <w:r>
        <w:rPr>
          <w:rFonts w:ascii="Arial" w:cs="Arial" w:eastAsia="Arial" w:hAnsi="Arial"/>
          <w:b/>
          <w:bCs/>
          <w:sz w:val="20"/>
          <w:szCs w:val="20"/>
        </w:rPr>
        <w:t xml:space="preserve">5.1. Środki gaśnicze</w:t>
      </w:r>
    </w:p>
    <w:p>
      <w:pPr>
        <w:spacing w:after="80" w:before="80"/>
      </w:pPr>
      <w:r>
        <w:rPr>
          <w:rFonts w:ascii="Arial" w:cs="Arial" w:eastAsia="Arial" w:hAnsi="Arial"/>
          <w:b/>
          <w:bCs/>
          <w:sz w:val="20"/>
          <w:szCs w:val="20"/>
        </w:rPr>
        <w:t xml:space="preserve">Odpowiednie środki gaśnicze:</w:t>
      </w:r>
      <w:r>
        <w:rPr>
          <w:rFonts w:ascii="Arial" w:cs="Arial" w:eastAsia="Arial" w:hAnsi="Arial"/>
          <w:sz w:val="20"/>
          <w:szCs w:val="20"/>
        </w:rPr>
        <w:t xml:space="preserve"> piana gaśnicza, proszek gaśniczy, dwutlenek węgla.</w:t>
      </w:r>
    </w:p>
    <w:p>
      <w:pPr>
        <w:pBdr>
          <w:bottom w:color="00A651" w:sz="12" w:space="1"/>
        </w:pBdr>
        <w:spacing w:after="150" w:before="300"/>
      </w:pPr>
      <w:r>
        <w:rPr>
          <w:b/>
          <w:bCs/>
          <w:sz w:val="22"/>
          <w:szCs w:val="22"/>
        </w:rPr>
        <w:t xml:space="preserve">SEKCJA 6: POSTĘPOWANIE W PRZYPADKU NIEZAMIERZONEGO UWOLNIENIA DO ŚRODOWISKA</w:t>
      </w:r>
    </w:p>
    <w:p>
      <w:pPr>
        <w:spacing w:after="100" w:before="200"/>
      </w:pPr>
      <w:r>
        <w:rPr>
          <w:rFonts w:ascii="Arial" w:cs="Arial" w:eastAsia="Arial" w:hAnsi="Arial"/>
          <w:b/>
          <w:bCs/>
          <w:sz w:val="20"/>
          <w:szCs w:val="20"/>
        </w:rPr>
        <w:t xml:space="preserve">6.1. Indywidualne środki ostrożności: usunąć wszelkie źródła zapłonu.</w:t>
      </w:r>
    </w:p>
    <w:p>
      <w:pPr>
        <w:pBdr>
          <w:bottom w:color="00A651" w:sz="12" w:space="1"/>
        </w:pBdr>
        <w:spacing w:after="150" w:before="300"/>
      </w:pPr>
      <w:r>
        <w:rPr>
          <w:b/>
          <w:bCs/>
          <w:sz w:val="22"/>
          <w:szCs w:val="22"/>
        </w:rPr>
        <w:t xml:space="preserve">SEKCJA 7: POSTĘPOWANIE Z SUBSTANCJAMI I MIESZANINAMI ORAZ ICH MAGAZYNOWANIE</w:t>
      </w:r>
    </w:p>
    <w:p>
      <w:pPr>
        <w:spacing w:after="100" w:before="200"/>
      </w:pPr>
      <w:r>
        <w:rPr>
          <w:rFonts w:ascii="Arial" w:cs="Arial" w:eastAsia="Arial" w:hAnsi="Arial"/>
          <w:b/>
          <w:bCs/>
          <w:sz w:val="20"/>
          <w:szCs w:val="20"/>
        </w:rPr>
        <w:t xml:space="preserve">7.1. Środki ostrożności dotyczące bezpiecznego postępowania: unikać kontaktu z oczami i skórą.</w:t>
      </w:r>
    </w:p>
    <w:p>
      <w:pPr>
        <w:pBdr>
          <w:bottom w:color="00A651" w:sz="12" w:space="1"/>
        </w:pBdr>
        <w:spacing w:after="150" w:before="300"/>
      </w:pPr>
      <w:r>
        <w:rPr>
          <w:b/>
          <w:bCs/>
          <w:sz w:val="22"/>
          <w:szCs w:val="22"/>
        </w:rPr>
        <w:t xml:space="preserve">SEKCJA 8: KONTROLA NARAŻENIA/ŚRODKI OCHRONY INDYWIDUALNEJ</w:t>
      </w:r>
    </w:p>
    <w:p>
      <w:pPr>
        <w:spacing w:after="100" w:before="200"/>
      </w:pPr>
      <w:r>
        <w:rPr>
          <w:rFonts w:ascii="Arial" w:cs="Arial" w:eastAsia="Arial" w:hAnsi="Arial"/>
          <w:b/>
          <w:bCs/>
          <w:sz w:val="20"/>
          <w:szCs w:val="20"/>
        </w:rPr>
        <w:t xml:space="preserve">8.1. Parametry dotyczące kontroli</w:t>
      </w:r>
    </w:p>
    <w:p>
      <w:pPr>
        <w:spacing w:after="80"/>
      </w:pPr>
      <w:r>
        <w:rPr>
          <w:rFonts w:ascii="Arial" w:cs="Arial" w:eastAsia="Arial" w:hAnsi="Arial"/>
          <w:sz w:val="20"/>
          <w:szCs w:val="20"/>
        </w:rPr>
        <w:t xml:space="preserve">Krajowe wartości najwyższych dopuszczalnych stężeń w środowisku pracy (Polska – Dz.U. 2018 poz. 1286 z późn. zm., w tym Dz.U. 2024 poz. 1017):</w:t>
      </w:r>
    </w:p>
    <w:p>
      <w:pPr>
        <w:spacing w:after="80"/>
      </w:pPr>
      <w:r>
        <w:rPr>
          <w:rFonts w:ascii="Arial" w:cs="Arial" w:eastAsia="Arial" w:hAnsi="Arial"/>
          <w:sz w:val="20"/>
          <w:szCs w:val="20"/>
        </w:rPr>
        <w:t xml:space="preserve">Etanol [CAS: 64-17-5]:</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1900 mg/m³</w:t>
      </w:r>
    </w:p>
    <w:p>
      <w:pPr>
        <w:spacing w:after="80"/>
      </w:pPr>
      <w:r>
        <w:rPr>
          <w:rFonts w:ascii="Arial" w:cs="Arial" w:eastAsia="Arial" w:hAnsi="Arial"/>
          <w:sz w:val="20"/>
          <w:szCs w:val="20"/>
        </w:rPr>
        <w:t xml:space="preserve">2,6-di-tert-butylo-4-metylofenol (BHT) [CAS: 128-37-0]:</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 mg/m³ (frakcja wdychalna)</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nie ustalono</w:t>
      </w:r>
    </w:p>
    <w:p>
      <w:pPr>
        <w:spacing w:after="80"/>
      </w:pPr>
      <w:r>
        <w:rPr>
          <w:rFonts w:ascii="Arial" w:cs="Arial" w:eastAsia="Arial" w:hAnsi="Arial"/>
          <w:sz w:val="20"/>
          <w:szCs w:val="20"/>
        </w:rPr>
        <w:t xml:space="preserve">Toluen [CAS: 108-88-3]:</w:t>
      </w:r>
    </w:p>
    <w:p>
      <w:pPr>
        <w:spacing w:after="60" w:before="60"/>
      </w:pPr>
      <w:r>
        <w:rPr>
          <w:rFonts w:ascii="Arial" w:cs="Arial" w:eastAsia="Arial" w:hAnsi="Arial"/>
          <w:b/>
          <w:bCs/>
          <w:sz w:val="20"/>
          <w:szCs w:val="20"/>
        </w:rPr>
        <w:t xml:space="preserve">- NDS:</w:t>
      </w:r>
      <w:r>
        <w:rPr>
          <w:rFonts w:ascii="Arial" w:cs="Arial" w:eastAsia="Arial" w:hAnsi="Arial"/>
          <w:sz w:val="20"/>
          <w:szCs w:val="20"/>
        </w:rPr>
        <w:t xml:space="preserve"> 100 mg/m³</w:t>
      </w:r>
    </w:p>
    <w:p>
      <w:pPr>
        <w:spacing w:after="60" w:before="60"/>
      </w:pPr>
      <w:r>
        <w:rPr>
          <w:rFonts w:ascii="Arial" w:cs="Arial" w:eastAsia="Arial" w:hAnsi="Arial"/>
          <w:b/>
          <w:bCs/>
          <w:sz w:val="20"/>
          <w:szCs w:val="20"/>
        </w:rPr>
        <w:t xml:space="preserve">- NDSCh:</w:t>
      </w:r>
      <w:r>
        <w:rPr>
          <w:rFonts w:ascii="Arial" w:cs="Arial" w:eastAsia="Arial" w:hAnsi="Arial"/>
          <w:sz w:val="20"/>
          <w:szCs w:val="20"/>
        </w:rPr>
        <w:t xml:space="preserve"> 200 mg/m³</w:t>
      </w:r>
    </w:p>
    <w:p>
      <w:pPr>
        <w:spacing w:after="60" w:before="60"/>
      </w:pPr>
      <w:r>
        <w:rPr>
          <w:rFonts w:ascii="Arial" w:cs="Arial" w:eastAsia="Arial" w:hAnsi="Arial"/>
          <w:b/>
          <w:bCs/>
          <w:sz w:val="20"/>
          <w:szCs w:val="20"/>
        </w:rPr>
        <w:t xml:space="preserve">- Uwagi:</w:t>
      </w:r>
      <w:r>
        <w:rPr>
          <w:rFonts w:ascii="Arial" w:cs="Arial" w:eastAsia="Arial" w:hAnsi="Arial"/>
          <w:sz w:val="20"/>
          <w:szCs w:val="20"/>
        </w:rPr>
        <w:t xml:space="preserve"> oznakowanie substancji notacją „skóra”</w:t>
      </w:r>
    </w:p>
    <w:p>
      <w:pPr>
        <w:spacing w:after="80" w:before="150"/>
      </w:pPr>
      <w:r>
        <w:rPr>
          <w:rFonts w:ascii="Arial" w:cs="Arial" w:eastAsia="Arial" w:hAnsi="Arial"/>
          <w:b/>
          <w:bCs/>
          <w:sz w:val="20"/>
          <w:szCs w:val="20"/>
        </w:rPr>
        <w:t xml:space="preserve">Wspólnotowe i zagraniczne dopuszczalne wartości narażenia zawodowego (OEL):</w:t>
      </w:r>
    </w:p>
    <w:p>
      <w:pPr>
        <w:spacing w:after="80" w:before="150"/>
      </w:pPr>
      <w:r>
        <w:rPr>
          <w:rFonts w:ascii="Arial" w:cs="Arial" w:eastAsia="Arial" w:hAnsi="Arial"/>
          <w:b/>
          <w:bCs/>
          <w:sz w:val="20"/>
          <w:szCs w:val="20"/>
        </w:rPr>
        <w:t xml:space="preserve">Etanol (CAS: 64-17-5):</w:t>
      </w:r>
    </w:p>
    <w:p>
      <w:pPr>
        <w:spacing w:after="80"/>
      </w:pPr>
      <w:r>
        <w:rPr>
          <w:rFonts w:ascii="Arial" w:cs="Arial" w:eastAsia="Arial" w:hAnsi="Arial"/>
          <w:sz w:val="20"/>
          <w:szCs w:val="20"/>
        </w:rPr>
        <w:t xml:space="preserve">Niemcy (AGW) / Austria (MAK): 380 mg/m³ (200 ppm) / 960 mg/m³ (500 ppm).</w:t>
      </w:r>
    </w:p>
    <w:p>
      <w:pPr>
        <w:spacing w:after="80"/>
      </w:pPr>
      <w:r>
        <w:rPr>
          <w:rFonts w:ascii="Arial" w:cs="Arial" w:eastAsia="Arial" w:hAnsi="Arial"/>
          <w:sz w:val="20"/>
          <w:szCs w:val="20"/>
        </w:rPr>
        <w:t xml:space="preserve">Pochodne poziomy niepowodujące zmian (DNEL) oraz Przewidywane stężenia niepowodujące zmian w środowisku (PNEC):</w:t>
      </w:r>
    </w:p>
    <w:p>
      <w:pPr>
        <w:spacing w:after="80"/>
      </w:pPr>
      <w:r>
        <w:rPr>
          <w:rFonts w:ascii="Arial" w:cs="Arial" w:eastAsia="Arial" w:hAnsi="Arial"/>
          <w:sz w:val="20"/>
          <w:szCs w:val="20"/>
        </w:rPr>
        <w:t xml:space="preserve">Substancja: etanol [CAS: 64-17-5]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87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114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skutki przewlekłe układowe: 950 mg/m³; skutki ostre miejscowe: 1900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206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343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0,96mg/l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0,79mg/l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3,6mg/kg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2,9mg/kg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2,75mg/l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580mg/l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0,38mg/kg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0,63mg/kg</w:t>
      </w:r>
    </w:p>
    <w:p>
      <w:pPr>
        <w:spacing w:after="80"/>
      </w:pPr>
      <w:r>
        <w:rPr>
          <w:rFonts w:ascii="Arial" w:cs="Arial" w:eastAsia="Arial" w:hAnsi="Arial"/>
          <w:sz w:val="20"/>
          <w:szCs w:val="20"/>
        </w:rPr>
        <w:t xml:space="preserve">Substancja: aldehyd anyżowy (4-metoksybenzaldehyd) [CAS: 123-11-5]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2,5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4,35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14,7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4,2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6,9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0,081mg/l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0,008111mg/l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0,409mg/kg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0,0409mg/kg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0,8111mg/l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4,5mg/l</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0,0967mg/kg</w:t>
      </w:r>
    </w:p>
    <w:p>
      <w:pPr>
        <w:spacing w:after="80"/>
      </w:pPr>
      <w:r>
        <w:rPr>
          <w:rFonts w:ascii="Arial" w:cs="Arial" w:eastAsia="Arial" w:hAnsi="Arial"/>
          <w:sz w:val="20"/>
          <w:szCs w:val="20"/>
        </w:rPr>
        <w:t xml:space="preserve">Substancja: kumaryna (2H-chromen-2-on) [CAS: 91-64-5]</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0,39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1,69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6,78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0,39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0,79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0,019mg/l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0,0019mg/l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0,15mg/kg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0,015mg/kg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0,0142mg/l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6,4mg/l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30,7mg/kg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0,018mg/kg</w:t>
      </w:r>
    </w:p>
    <w:p>
      <w:pPr>
        <w:spacing w:after="80"/>
      </w:pPr>
      <w:r>
        <w:rPr>
          <w:rFonts w:ascii="Arial" w:cs="Arial" w:eastAsia="Arial" w:hAnsi="Arial"/>
          <w:sz w:val="20"/>
          <w:szCs w:val="20"/>
        </w:rPr>
        <w:t xml:space="preserve">Substancja: 2,6-di-tert-butylo-4-metylofenol (BHT) [CAS: 128-37-0]</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0,25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0,86 mg/m³</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3,5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0,25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0,5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0,000199mg/l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0,02 μg/l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0,0996mg/kg</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0,00996mg/kg</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0,00199mg/l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0,17mg/l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8,33mg/kg</w:t>
      </w:r>
    </w:p>
    <w:p>
      <w:pPr>
        <w:spacing w:after="60" w:before="60"/>
      </w:pPr>
      <w:r>
        <w:rPr>
          <w:rFonts w:ascii="Arial" w:cs="Arial" w:eastAsia="Arial" w:hAnsi="Arial"/>
          <w:b/>
          <w:bCs/>
          <w:sz w:val="20"/>
          <w:szCs w:val="20"/>
        </w:rPr>
        <w:t xml:space="preserve">- środowisko glebowe (gleba):</w:t>
      </w:r>
      <w:r>
        <w:rPr>
          <w:rFonts w:ascii="Arial" w:cs="Arial" w:eastAsia="Arial" w:hAnsi="Arial"/>
          <w:sz w:val="20"/>
          <w:szCs w:val="20"/>
        </w:rPr>
        <w:t xml:space="preserve">0,04769mg/kg</w:t>
      </w:r>
    </w:p>
    <w:p>
      <w:pPr>
        <w:spacing w:after="80"/>
      </w:pPr>
      <w:r>
        <w:rPr>
          <w:rFonts w:ascii="Arial" w:cs="Arial" w:eastAsia="Arial" w:hAnsi="Arial"/>
          <w:sz w:val="20"/>
          <w:szCs w:val="20"/>
        </w:rPr>
        <w:t xml:space="preserve">Substancja: toluen [CAS: 108-88-3]</w:t>
      </w:r>
    </w:p>
    <w:p>
      <w:pPr>
        <w:spacing w:after="80"/>
      </w:pPr>
      <w:r>
        <w:rPr>
          <w:rFonts w:ascii="Arial" w:cs="Arial" w:eastAsia="Arial" w:hAnsi="Arial"/>
          <w:sz w:val="20"/>
          <w:szCs w:val="20"/>
        </w:rPr>
        <w:t xml:space="preserve">Pochodne poziomy niepowodujące zmian (DNEL):</w:t>
      </w:r>
    </w:p>
    <w:p>
      <w:pPr>
        <w:spacing w:after="60" w:before="60"/>
      </w:pPr>
      <w:r>
        <w:rPr>
          <w:rFonts w:ascii="Arial" w:cs="Arial" w:eastAsia="Arial" w:hAnsi="Arial"/>
          <w:b/>
          <w:bCs/>
          <w:sz w:val="20"/>
          <w:szCs w:val="20"/>
        </w:rPr>
        <w:t xml:space="preserve">- Droga pokarmowa (doustnie):</w:t>
      </w:r>
      <w:r>
        <w:rPr>
          <w:rFonts w:ascii="Arial" w:cs="Arial" w:eastAsia="Arial" w:hAnsi="Arial"/>
          <w:sz w:val="20"/>
          <w:szCs w:val="20"/>
        </w:rPr>
        <w:t xml:space="preserve"> Konsumenci (skutki przewlekłe układowe): 8,13 mg/kg mc/dzień</w:t>
      </w:r>
    </w:p>
    <w:p>
      <w:pPr>
        <w:spacing w:after="60" w:before="60"/>
      </w:pPr>
      <w:r>
        <w:rPr>
          <w:rFonts w:ascii="Arial" w:cs="Arial" w:eastAsia="Arial" w:hAnsi="Arial"/>
          <w:b/>
          <w:bCs/>
          <w:sz w:val="20"/>
          <w:szCs w:val="20"/>
        </w:rPr>
        <w:t xml:space="preserve">- Drogi oddechowe (inhalacyjnie):</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w:t>
      </w:r>
      <w:r>
        <w:rPr>
          <w:rFonts w:ascii="Arial" w:cs="Arial" w:eastAsia="Arial" w:hAnsi="Arial"/>
          <w:sz w:val="20"/>
          <w:szCs w:val="20"/>
        </w:rPr>
        <w:t xml:space="preserve"> ostre miejscowe: 226 mg/m³, ostre układowe: 226 mg/m³, przewlekłe miejscowe: 56,5 mg/m³, przewlekłe układowe: 56,5 mg/m³</w:t>
      </w:r>
    </w:p>
    <w:p>
      <w:pPr>
        <w:spacing w:after="60" w:before="60"/>
      </w:pPr>
      <w:r>
        <w:rPr>
          <w:rFonts w:ascii="Arial" w:cs="Arial" w:eastAsia="Arial" w:hAnsi="Arial"/>
          <w:b/>
          <w:bCs/>
          <w:sz w:val="20"/>
          <w:szCs w:val="20"/>
        </w:rPr>
        <w:t xml:space="preserve">* Pracownicy:</w:t>
      </w:r>
      <w:r>
        <w:rPr>
          <w:rFonts w:ascii="Arial" w:cs="Arial" w:eastAsia="Arial" w:hAnsi="Arial"/>
          <w:sz w:val="20"/>
          <w:szCs w:val="20"/>
        </w:rPr>
        <w:t xml:space="preserve"> ostre miejscowe: 384 mg/m³, ostre układowe: 384 mg/m³, przewlekłe miejscowe: 192 mg/m³, przewlekłe układowe: 192 mg/m³</w:t>
      </w:r>
    </w:p>
    <w:p>
      <w:pPr>
        <w:spacing w:after="60" w:before="60"/>
      </w:pPr>
      <w:r>
        <w:rPr>
          <w:rFonts w:ascii="Arial" w:cs="Arial" w:eastAsia="Arial" w:hAnsi="Arial"/>
          <w:b/>
          <w:bCs/>
          <w:sz w:val="20"/>
          <w:szCs w:val="20"/>
        </w:rPr>
        <w:t xml:space="preserve">- Na skórę:</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Konsumenci (skutki przewlekłe układowe):</w:t>
      </w:r>
      <w:r>
        <w:rPr>
          <w:rFonts w:ascii="Arial" w:cs="Arial" w:eastAsia="Arial" w:hAnsi="Arial"/>
          <w:sz w:val="20"/>
          <w:szCs w:val="20"/>
        </w:rPr>
        <w:t xml:space="preserve"> 226 mg/kg mc/dzień</w:t>
      </w:r>
    </w:p>
    <w:p>
      <w:pPr>
        <w:spacing w:after="60" w:before="60"/>
      </w:pPr>
      <w:r>
        <w:rPr>
          <w:rFonts w:ascii="Arial" w:cs="Arial" w:eastAsia="Arial" w:hAnsi="Arial"/>
          <w:b/>
          <w:bCs/>
          <w:sz w:val="20"/>
          <w:szCs w:val="20"/>
        </w:rPr>
        <w:t xml:space="preserve">* Pracownicy (skutki przewlekłe układowe):</w:t>
      </w:r>
      <w:r>
        <w:rPr>
          <w:rFonts w:ascii="Arial" w:cs="Arial" w:eastAsia="Arial" w:hAnsi="Arial"/>
          <w:sz w:val="20"/>
          <w:szCs w:val="20"/>
        </w:rPr>
        <w:t xml:space="preserve"> 384 mg/kg mc/dzień</w:t>
      </w:r>
    </w:p>
    <w:p>
      <w:pPr>
        <w:spacing w:after="80"/>
      </w:pPr>
      <w:r>
        <w:rPr>
          <w:rFonts w:ascii="Arial" w:cs="Arial" w:eastAsia="Arial" w:hAnsi="Arial"/>
          <w:sz w:val="20"/>
          <w:szCs w:val="20"/>
        </w:rPr>
        <w:t xml:space="preserve">Przewidywane stężenia niepowodujące zmian w środowisku (PNEC):</w:t>
      </w:r>
    </w:p>
    <w:p>
      <w:pPr>
        <w:spacing w:after="60" w:before="60"/>
      </w:pPr>
      <w:r>
        <w:rPr>
          <w:rFonts w:ascii="Arial" w:cs="Arial" w:eastAsia="Arial" w:hAnsi="Arial"/>
          <w:b/>
          <w:bCs/>
          <w:sz w:val="20"/>
          <w:szCs w:val="20"/>
        </w:rPr>
        <w:t xml:space="preserve">- woda słodka:</w:t>
      </w:r>
      <w:r>
        <w:rPr>
          <w:rFonts w:ascii="Arial" w:cs="Arial" w:eastAsia="Arial" w:hAnsi="Arial"/>
          <w:sz w:val="20"/>
          <w:szCs w:val="20"/>
        </w:rPr>
        <w:t xml:space="preserve">0,68mg/l</w:t>
      </w:r>
    </w:p>
    <w:p>
      <w:pPr>
        <w:spacing w:after="60" w:before="60"/>
      </w:pPr>
      <w:r>
        <w:rPr>
          <w:rFonts w:ascii="Arial" w:cs="Arial" w:eastAsia="Arial" w:hAnsi="Arial"/>
          <w:b/>
          <w:bCs/>
          <w:sz w:val="20"/>
          <w:szCs w:val="20"/>
        </w:rPr>
        <w:t xml:space="preserve">- woda morska:</w:t>
      </w:r>
      <w:r>
        <w:rPr>
          <w:rFonts w:ascii="Arial" w:cs="Arial" w:eastAsia="Arial" w:hAnsi="Arial"/>
          <w:sz w:val="20"/>
          <w:szCs w:val="20"/>
        </w:rPr>
        <w:t xml:space="preserve">0,68mg/l</w:t>
      </w:r>
    </w:p>
    <w:p>
      <w:pPr>
        <w:spacing w:after="60" w:before="60"/>
      </w:pPr>
      <w:r>
        <w:rPr>
          <w:rFonts w:ascii="Arial" w:cs="Arial" w:eastAsia="Arial" w:hAnsi="Arial"/>
          <w:b/>
          <w:bCs/>
          <w:sz w:val="20"/>
          <w:szCs w:val="20"/>
        </w:rPr>
        <w:t xml:space="preserve">- osady słodkowodne:</w:t>
      </w:r>
      <w:r>
        <w:rPr>
          <w:rFonts w:ascii="Arial" w:cs="Arial" w:eastAsia="Arial" w:hAnsi="Arial"/>
          <w:sz w:val="20"/>
          <w:szCs w:val="20"/>
        </w:rPr>
        <w:t xml:space="preserve">16,39mg/kg/d</w:t>
      </w:r>
    </w:p>
    <w:p>
      <w:pPr>
        <w:spacing w:after="60" w:before="60"/>
      </w:pPr>
      <w:r>
        <w:rPr>
          <w:rFonts w:ascii="Arial" w:cs="Arial" w:eastAsia="Arial" w:hAnsi="Arial"/>
          <w:b/>
          <w:bCs/>
          <w:sz w:val="20"/>
          <w:szCs w:val="20"/>
        </w:rPr>
        <w:t xml:space="preserve">- osady morskie:</w:t>
      </w:r>
      <w:r>
        <w:rPr>
          <w:rFonts w:ascii="Arial" w:cs="Arial" w:eastAsia="Arial" w:hAnsi="Arial"/>
          <w:sz w:val="20"/>
          <w:szCs w:val="20"/>
        </w:rPr>
        <w:t xml:space="preserve">16,39mg/kg/d</w:t>
      </w:r>
    </w:p>
    <w:p>
      <w:pPr>
        <w:spacing w:after="60" w:before="60"/>
      </w:pPr>
      <w:r>
        <w:rPr>
          <w:rFonts w:ascii="Arial" w:cs="Arial" w:eastAsia="Arial" w:hAnsi="Arial"/>
          <w:b/>
          <w:bCs/>
          <w:sz w:val="20"/>
          <w:szCs w:val="20"/>
        </w:rPr>
        <w:t xml:space="preserve">- woda (uwalnianie okresowe):</w:t>
      </w:r>
      <w:r>
        <w:rPr>
          <w:rFonts w:ascii="Arial" w:cs="Arial" w:eastAsia="Arial" w:hAnsi="Arial"/>
          <w:sz w:val="20"/>
          <w:szCs w:val="20"/>
        </w:rPr>
        <w:t xml:space="preserve">0,68mg/l</w:t>
      </w:r>
    </w:p>
    <w:p>
      <w:pPr>
        <w:spacing w:after="60" w:before="60"/>
      </w:pPr>
      <w:r>
        <w:rPr>
          <w:rFonts w:ascii="Arial" w:cs="Arial" w:eastAsia="Arial" w:hAnsi="Arial"/>
          <w:b/>
          <w:bCs/>
          <w:sz w:val="20"/>
          <w:szCs w:val="20"/>
        </w:rPr>
        <w:t xml:space="preserve">- mikroorganizmy w oczyszczalni ścieków (STP):</w:t>
      </w:r>
      <w:r>
        <w:rPr>
          <w:rFonts w:ascii="Arial" w:cs="Arial" w:eastAsia="Arial" w:hAnsi="Arial"/>
          <w:sz w:val="20"/>
          <w:szCs w:val="20"/>
        </w:rPr>
        <w:t xml:space="preserve">13,61mg/l</w:t>
      </w:r>
    </w:p>
    <w:p>
      <w:pPr>
        <w:spacing w:after="60" w:before="60"/>
      </w:pPr>
      <w:r>
        <w:rPr>
          <w:rFonts w:ascii="Arial" w:cs="Arial" w:eastAsia="Arial" w:hAnsi="Arial"/>
          <w:b/>
          <w:bCs/>
          <w:sz w:val="20"/>
          <w:szCs w:val="20"/>
        </w:rPr>
        <w:t xml:space="preserve">- łańcuch pokarmowy (zatrucie wtórne):</w:t>
      </w:r>
      <w:r>
        <w:rPr>
          <w:rFonts w:ascii="Arial" w:cs="Arial" w:eastAsia="Arial" w:hAnsi="Arial"/>
          <w:sz w:val="20"/>
          <w:szCs w:val="20"/>
        </w:rPr>
        <w:t xml:space="preserve">2,89mg/kg soil dw</w:t>
      </w:r>
    </w:p>
    <w:p>
      <w:pPr>
        <w:spacing w:after="80" w:before="80"/>
      </w:pPr>
      <w:r>
        <w:rPr>
          <w:rFonts w:ascii="Arial" w:cs="Arial" w:eastAsia="Arial" w:hAnsi="Arial"/>
          <w:b/>
          <w:bCs/>
          <w:sz w:val="20"/>
          <w:szCs w:val="20"/>
        </w:rPr>
        <w:t xml:space="preserve">Zalecane procedury monitorowania:</w:t>
      </w:r>
      <w:r>
        <w:rPr>
          <w:rFonts w:ascii="Arial" w:cs="Arial" w:eastAsia="Arial" w:hAnsi="Arial"/>
          <w:sz w:val="20"/>
          <w:szCs w:val="20"/>
        </w:rPr>
        <w:t xml:space="preserve"> Należy stosować procedury monitorowania stężeń niebezpiecznych substancji w powietrzu na stanowiskach pracy oraz procedury kontroli wentylacji zgodnie z odpowiednimi Polskimi Normami.</w:t>
      </w:r>
    </w:p>
    <w:p>
      <w:pPr>
        <w:spacing w:after="100" w:before="200"/>
      </w:pPr>
      <w:r>
        <w:rPr>
          <w:rFonts w:ascii="Arial" w:cs="Arial" w:eastAsia="Arial" w:hAnsi="Arial"/>
          <w:b/>
          <w:bCs/>
          <w:sz w:val="20"/>
          <w:szCs w:val="20"/>
        </w:rPr>
        <w:t xml:space="preserve">8.2. Kontrola narażenia</w:t>
      </w:r>
    </w:p>
    <w:p>
      <w:pPr>
        <w:spacing w:after="80" w:before="80"/>
      </w:pPr>
      <w:r>
        <w:rPr>
          <w:rFonts w:ascii="Arial" w:cs="Arial" w:eastAsia="Arial" w:hAnsi="Arial"/>
          <w:b/>
          <w:bCs/>
          <w:sz w:val="20"/>
          <w:szCs w:val="20"/>
        </w:rPr>
        <w:t xml:space="preserve">Ochrona oczu:</w:t>
      </w:r>
      <w:r>
        <w:rPr>
          <w:rFonts w:ascii="Arial" w:cs="Arial" w:eastAsia="Arial" w:hAnsi="Arial"/>
          <w:sz w:val="20"/>
          <w:szCs w:val="20"/>
        </w:rPr>
        <w:t xml:space="preserve"> Nosić okulary ochronne w szczelnej obudowie lub gogle ochronne zgodne z normą PN-EN 166.</w:t>
      </w:r>
    </w:p>
    <w:p>
      <w:pPr>
        <w:spacing w:after="80" w:before="80"/>
      </w:pPr>
      <w:r>
        <w:rPr>
          <w:rFonts w:ascii="Arial" w:cs="Arial" w:eastAsia="Arial" w:hAnsi="Arial"/>
          <w:b/>
          <w:bCs/>
          <w:sz w:val="20"/>
          <w:szCs w:val="20"/>
        </w:rPr>
        <w:t xml:space="preserve">Ochrona skóry:</w:t>
      </w:r>
      <w:r>
        <w:rPr>
          <w:rFonts w:ascii="Arial" w:cs="Arial" w:eastAsia="Arial" w:hAnsi="Arial"/>
          <w:sz w:val="20"/>
          <w:szCs w:val="20"/>
        </w:rPr>
        <w:t xml:space="preserve"> Stosować odpowiednią odzież roboczą chroniącą przed kontaktem z chemikaliami.</w:t>
      </w:r>
    </w:p>
    <w:p>
      <w:pPr>
        <w:spacing w:after="80" w:before="80"/>
      </w:pPr>
      <w:r>
        <w:rPr>
          <w:rFonts w:ascii="Arial" w:cs="Arial" w:eastAsia="Arial" w:hAnsi="Arial"/>
          <w:b/>
          <w:bCs/>
          <w:sz w:val="20"/>
          <w:szCs w:val="20"/>
        </w:rPr>
        <w:t xml:space="preserve">Ochrona rąk:</w:t>
      </w:r>
      <w:r>
        <w:rPr>
          <w:rFonts w:ascii="Arial" w:cs="Arial" w:eastAsia="Arial" w:hAnsi="Arial"/>
          <w:sz w:val="20"/>
          <w:szCs w:val="20"/>
        </w:rPr>
        <w:t xml:space="preserve"> Stosować rękawice ochronne odporne na działanie chemikaliów (np. z kauczuku nitrylowego lub neoprenu) zgodne z normą PN-EN ISO 374-1. Czas przebicia i grubość materiału należy skonsultować z dostawcą rękawic.</w:t>
      </w:r>
    </w:p>
    <w:p>
      <w:pPr>
        <w:spacing w:after="80" w:before="80"/>
      </w:pPr>
      <w:r>
        <w:rPr>
          <w:rFonts w:ascii="Arial" w:cs="Arial" w:eastAsia="Arial" w:hAnsi="Arial"/>
          <w:b/>
          <w:bCs/>
          <w:sz w:val="20"/>
          <w:szCs w:val="20"/>
        </w:rPr>
        <w:t xml:space="preserve">Ochrona dróg oddechowych:</w:t>
      </w:r>
      <w:r>
        <w:rPr>
          <w:rFonts w:ascii="Arial" w:cs="Arial" w:eastAsia="Arial" w:hAnsi="Arial"/>
          <w:sz w:val="20"/>
          <w:szCs w:val="20"/>
        </w:rPr>
        <w:t xml:space="preserve"> W normalnych warunkach stosowania przy właściwej wentylacji nie jest wymagana. W przypadku niedostatecznej wentylacji lub przekroczenia dopuszczalnych stężeń NDS stosować odpowiedni sprzęt ochrony dróg oddechowych z pochłaniaczem par typu A (norma PN-EN 14387).</w:t>
      </w:r>
    </w:p>
    <w:p>
      <w:pPr>
        <w:spacing w:after="80" w:before="80"/>
      </w:pPr>
      <w:r>
        <w:rPr>
          <w:rFonts w:ascii="Arial" w:cs="Arial" w:eastAsia="Arial" w:hAnsi="Arial"/>
          <w:b/>
          <w:bCs/>
          <w:sz w:val="20"/>
          <w:szCs w:val="20"/>
        </w:rPr>
        <w:t xml:space="preserve">Zagrożenia termiczne:</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Kontrola narażenia środowiska:</w:t>
      </w:r>
      <w:r>
        <w:rPr>
          <w:rFonts w:ascii="Arial" w:cs="Arial" w:eastAsia="Arial" w:hAnsi="Arial"/>
          <w:sz w:val="20"/>
          <w:szCs w:val="20"/>
        </w:rPr>
        <w:t xml:space="preserve"> Nie dopuścić do przedostania się dużych ilości produktu do kanalizacji, wód powierzchniowych ani gruntowych.</w:t>
      </w:r>
    </w:p>
    <w:p>
      <w:pPr>
        <w:spacing w:after="80" w:before="80"/>
      </w:pPr>
      <w:r>
        <w:rPr>
          <w:rFonts w:ascii="Arial" w:cs="Arial" w:eastAsia="Arial" w:hAnsi="Arial"/>
          <w:b/>
          <w:bCs/>
          <w:sz w:val="20"/>
          <w:szCs w:val="20"/>
        </w:rPr>
        <w:t xml:space="preserve">Środki higieniczne i techniczne:</w:t>
      </w:r>
      <w:r>
        <w:rPr>
          <w:rFonts w:ascii="Arial" w:cs="Arial" w:eastAsia="Arial" w:hAnsi="Arial"/>
          <w:sz w:val="20"/>
          <w:szCs w:val="20"/>
        </w:rPr>
        <w:t xml:space="preserve"> Zapewnić odpowiednią wentylację ogólną i miejscową na stanowiskach pracy. Myć ręce po zakończeniu pracy z produktem. Nie jeść i nie pić podczas stosowania.</w:t>
      </w:r>
    </w:p>
    <w:p>
      <w:pPr>
        <w:pBdr>
          <w:bottom w:color="00A651" w:sz="12" w:space="1"/>
        </w:pBdr>
        <w:spacing w:after="150" w:before="300"/>
      </w:pPr>
      <w:r>
        <w:rPr>
          <w:b/>
          <w:bCs/>
          <w:sz w:val="22"/>
          <w:szCs w:val="22"/>
        </w:rPr>
        <w:t xml:space="preserve">SEKCJA 9: WŁAŚCIWOŚCI FIZYCZNE I CHEMICZNE</w:t>
      </w:r>
    </w:p>
    <w:p>
      <w:pPr>
        <w:spacing w:after="100" w:before="200"/>
      </w:pPr>
      <w:r>
        <w:rPr>
          <w:rFonts w:ascii="Arial" w:cs="Arial" w:eastAsia="Arial" w:hAnsi="Arial"/>
          <w:b/>
          <w:bCs/>
          <w:sz w:val="20"/>
          <w:szCs w:val="20"/>
        </w:rPr>
        <w:t xml:space="preserve">9.1. Informacje na temat podstawowych właściwości fizycznych i chemicznych</w:t>
      </w:r>
    </w:p>
    <w:p>
      <w:pPr>
        <w:spacing w:after="80" w:before="80"/>
      </w:pPr>
      <w:r>
        <w:rPr>
          <w:rFonts w:ascii="Arial" w:cs="Arial" w:eastAsia="Arial" w:hAnsi="Arial"/>
          <w:b/>
          <w:bCs/>
          <w:sz w:val="20"/>
          <w:szCs w:val="20"/>
        </w:rPr>
        <w:t xml:space="preserve">Stan skupienia:</w:t>
      </w:r>
      <w:r>
        <w:rPr>
          <w:rFonts w:ascii="Arial" w:cs="Arial" w:eastAsia="Arial" w:hAnsi="Arial"/>
          <w:sz w:val="20"/>
          <w:szCs w:val="20"/>
        </w:rPr>
        <w:t xml:space="preserve"> ciecz (temperatura: 20 °C)</w:t>
      </w:r>
    </w:p>
    <w:p>
      <w:pPr>
        <w:spacing w:after="80" w:before="80"/>
      </w:pPr>
      <w:r>
        <w:rPr>
          <w:rFonts w:ascii="Arial" w:cs="Arial" w:eastAsia="Arial" w:hAnsi="Arial"/>
          <w:b/>
          <w:bCs/>
          <w:sz w:val="20"/>
          <w:szCs w:val="20"/>
        </w:rPr>
        <w:t xml:space="preserve">Kolor:</w:t>
      </w:r>
      <w:r>
        <w:rPr>
          <w:rFonts w:ascii="Arial" w:cs="Arial" w:eastAsia="Arial" w:hAnsi="Arial"/>
          <w:sz w:val="20"/>
          <w:szCs w:val="20"/>
        </w:rPr>
        <w:t xml:space="preserve"> różowy (temperatura: 20 °C)</w:t>
      </w:r>
    </w:p>
    <w:p>
      <w:pPr>
        <w:spacing w:after="80" w:before="80"/>
      </w:pPr>
      <w:r>
        <w:rPr>
          <w:rFonts w:ascii="Arial" w:cs="Arial" w:eastAsia="Arial" w:hAnsi="Arial"/>
          <w:b/>
          <w:bCs/>
          <w:sz w:val="20"/>
          <w:szCs w:val="20"/>
        </w:rPr>
        <w:t xml:space="preserve">Zapach:</w:t>
      </w:r>
      <w:r>
        <w:rPr>
          <w:rFonts w:ascii="Arial" w:cs="Arial" w:eastAsia="Arial" w:hAnsi="Arial"/>
          <w:sz w:val="20"/>
          <w:szCs w:val="20"/>
        </w:rPr>
        <w:t xml:space="preserve"> charakterystyczny (metoda wewnętrzna)</w:t>
      </w:r>
    </w:p>
    <w:p>
      <w:pPr>
        <w:spacing w:after="80" w:before="80"/>
      </w:pPr>
      <w:r>
        <w:rPr>
          <w:rFonts w:ascii="Arial" w:cs="Arial" w:eastAsia="Arial" w:hAnsi="Arial"/>
          <w:b/>
          <w:bCs/>
          <w:sz w:val="20"/>
          <w:szCs w:val="20"/>
        </w:rPr>
        <w:t xml:space="preserve">Temperatura topnienia/krzepnięcia:</w:t>
      </w:r>
      <w:r>
        <w:rPr>
          <w:rFonts w:ascii="Arial" w:cs="Arial" w:eastAsia="Arial" w:hAnsi="Arial"/>
          <w:sz w:val="20"/>
          <w:szCs w:val="20"/>
        </w:rPr>
        <w:t xml:space="preserve"> -114 °C</w:t>
      </w:r>
    </w:p>
    <w:p>
      <w:pPr>
        <w:spacing w:after="80" w:before="80"/>
      </w:pPr>
      <w:r>
        <w:rPr>
          <w:rFonts w:ascii="Arial" w:cs="Arial" w:eastAsia="Arial" w:hAnsi="Arial"/>
          <w:b/>
          <w:bCs/>
          <w:sz w:val="20"/>
          <w:szCs w:val="20"/>
        </w:rPr>
        <w:t xml:space="preserve">Temperatura wrzenia lub początkowa temperatura wrzenia i zakres temperatur wrzenia:</w:t>
      </w:r>
      <w:r>
        <w:rPr>
          <w:rFonts w:ascii="Arial" w:cs="Arial" w:eastAsia="Arial" w:hAnsi="Arial"/>
          <w:sz w:val="20"/>
          <w:szCs w:val="20"/>
        </w:rPr>
        <w:t xml:space="preserve"> 78,5 °C</w:t>
      </w:r>
    </w:p>
    <w:p>
      <w:pPr>
        <w:spacing w:after="80" w:before="80"/>
      </w:pPr>
      <w:r>
        <w:rPr>
          <w:rFonts w:ascii="Arial" w:cs="Arial" w:eastAsia="Arial" w:hAnsi="Arial"/>
          <w:b/>
          <w:bCs/>
          <w:sz w:val="20"/>
          <w:szCs w:val="20"/>
        </w:rPr>
        <w:t xml:space="preserve">Palność materiałów:</w:t>
      </w:r>
      <w:r>
        <w:rPr>
          <w:rFonts w:ascii="Arial" w:cs="Arial" w:eastAsia="Arial" w:hAnsi="Arial"/>
          <w:sz w:val="20"/>
          <w:szCs w:val="20"/>
        </w:rPr>
        <w:t xml:space="preserve"> ciecz łatwopalna (metoda: ISO 3679:2015)</w:t>
      </w:r>
    </w:p>
    <w:p>
      <w:pPr>
        <w:spacing w:after="80" w:before="80"/>
      </w:pPr>
      <w:r>
        <w:rPr>
          <w:rFonts w:ascii="Arial" w:cs="Arial" w:eastAsia="Arial" w:hAnsi="Arial"/>
          <w:b/>
          <w:bCs/>
          <w:sz w:val="20"/>
          <w:szCs w:val="20"/>
        </w:rPr>
        <w:t xml:space="preserve">Dolna i górna granica wybuchowości:</w:t>
      </w:r>
      <w:r>
        <w:rPr>
          <w:rFonts w:ascii="Arial" w:cs="Arial" w:eastAsia="Arial" w:hAnsi="Arial"/>
          <w:sz w:val="20"/>
          <w:szCs w:val="20"/>
        </w:rPr>
        <w:t xml:space="preserve"> Dolna granica wybuchowości (DGW): 3,3 % (v/v); Górna granica wybuchowości (GGW): 19 % (v/v)</w:t>
      </w:r>
    </w:p>
    <w:p>
      <w:pPr>
        <w:spacing w:after="80" w:before="80"/>
      </w:pPr>
      <w:r>
        <w:rPr>
          <w:rFonts w:ascii="Arial" w:cs="Arial" w:eastAsia="Arial" w:hAnsi="Arial"/>
          <w:b/>
          <w:bCs/>
          <w:sz w:val="20"/>
          <w:szCs w:val="20"/>
        </w:rPr>
        <w:t xml:space="preserve">Temperatura zapłonu:</w:t>
      </w:r>
      <w:r>
        <w:rPr>
          <w:rFonts w:ascii="Arial" w:cs="Arial" w:eastAsia="Arial" w:hAnsi="Arial"/>
          <w:sz w:val="20"/>
          <w:szCs w:val="20"/>
        </w:rPr>
        <w:t xml:space="preserve"> 18,7 °C (metoda: ISO 3679:2015)</w:t>
      </w:r>
    </w:p>
    <w:p>
      <w:pPr>
        <w:spacing w:after="80" w:before="80"/>
      </w:pPr>
      <w:r>
        <w:rPr>
          <w:rFonts w:ascii="Arial" w:cs="Arial" w:eastAsia="Arial" w:hAnsi="Arial"/>
          <w:b/>
          <w:bCs/>
          <w:sz w:val="20"/>
          <w:szCs w:val="20"/>
        </w:rPr>
        <w:t xml:space="preserve">Temperatura samozapłonu:</w:t>
      </w:r>
      <w:r>
        <w:rPr>
          <w:rFonts w:ascii="Arial" w:cs="Arial" w:eastAsia="Arial" w:hAnsi="Arial"/>
          <w:sz w:val="20"/>
          <w:szCs w:val="20"/>
        </w:rPr>
        <w:t xml:space="preserve"> 363 °C</w:t>
      </w:r>
    </w:p>
    <w:p>
      <w:pPr>
        <w:spacing w:after="80" w:before="80"/>
      </w:pPr>
      <w:r>
        <w:rPr>
          <w:rFonts w:ascii="Arial" w:cs="Arial" w:eastAsia="Arial" w:hAnsi="Arial"/>
          <w:b/>
          <w:bCs/>
          <w:sz w:val="20"/>
          <w:szCs w:val="20"/>
        </w:rPr>
        <w:t xml:space="preserve">Temperatura rozkładu:</w:t>
      </w:r>
      <w:r>
        <w:rPr>
          <w:rFonts w:ascii="Arial" w:cs="Arial" w:eastAsia="Arial" w:hAnsi="Arial"/>
          <w:sz w:val="20"/>
          <w:szCs w:val="20"/>
        </w:rPr>
        <w:t xml:space="preserve"> nie określono (substancje mogą ulegać rozkładowi)</w:t>
      </w:r>
    </w:p>
    <w:p>
      <w:pPr>
        <w:spacing w:after="80" w:before="80"/>
      </w:pPr>
      <w:r>
        <w:rPr>
          <w:rFonts w:ascii="Arial" w:cs="Arial" w:eastAsia="Arial" w:hAnsi="Arial"/>
          <w:b/>
          <w:bCs/>
          <w:sz w:val="20"/>
          <w:szCs w:val="20"/>
        </w:rPr>
        <w:t xml:space="preserve">pH:</w:t>
      </w:r>
      <w:r>
        <w:rPr>
          <w:rFonts w:ascii="Arial" w:cs="Arial" w:eastAsia="Arial" w:hAnsi="Arial"/>
          <w:sz w:val="20"/>
          <w:szCs w:val="20"/>
        </w:rPr>
        <w:t xml:space="preserve"> 5 - 8</w:t>
      </w:r>
    </w:p>
    <w:p>
      <w:pPr>
        <w:spacing w:after="80" w:before="80"/>
      </w:pPr>
      <w:r>
        <w:rPr>
          <w:rFonts w:ascii="Arial" w:cs="Arial" w:eastAsia="Arial" w:hAnsi="Arial"/>
          <w:b/>
          <w:bCs/>
          <w:sz w:val="20"/>
          <w:szCs w:val="20"/>
        </w:rPr>
        <w:t xml:space="preserve">Lepkość kinematyczna:</w:t>
      </w:r>
      <w:r>
        <w:rPr>
          <w:rFonts w:ascii="Arial" w:cs="Arial" w:eastAsia="Arial" w:hAnsi="Arial"/>
          <w:sz w:val="20"/>
          <w:szCs w:val="20"/>
        </w:rPr>
        <w:t xml:space="preserve"> 1,5 mm²/s</w:t>
      </w:r>
    </w:p>
    <w:p>
      <w:pPr>
        <w:spacing w:after="80" w:before="80"/>
      </w:pPr>
      <w:r>
        <w:rPr>
          <w:rFonts w:ascii="Arial" w:cs="Arial" w:eastAsia="Arial" w:hAnsi="Arial"/>
          <w:b/>
          <w:bCs/>
          <w:sz w:val="20"/>
          <w:szCs w:val="20"/>
        </w:rPr>
        <w:t xml:space="preserve">Rozpuszczalność w wodzie:</w:t>
      </w:r>
      <w:r>
        <w:rPr>
          <w:rFonts w:ascii="Arial" w:cs="Arial" w:eastAsia="Arial" w:hAnsi="Arial"/>
          <w:sz w:val="20"/>
          <w:szCs w:val="20"/>
        </w:rPr>
        <w:t xml:space="preserve"> rozpuszczalny w wodzie</w:t>
      </w:r>
    </w:p>
    <w:p>
      <w:pPr>
        <w:spacing w:after="80" w:before="80"/>
      </w:pPr>
      <w:r>
        <w:rPr>
          <w:rFonts w:ascii="Arial" w:cs="Arial" w:eastAsia="Arial" w:hAnsi="Arial"/>
          <w:b/>
          <w:bCs/>
          <w:sz w:val="20"/>
          <w:szCs w:val="20"/>
        </w:rPr>
        <w:t xml:space="preserve">Rozpuszczalność w innych rozpuszczalnikach:</w:t>
      </w:r>
      <w:r>
        <w:rPr>
          <w:rFonts w:ascii="Arial" w:cs="Arial" w:eastAsia="Arial" w:hAnsi="Arial"/>
          <w:sz w:val="20"/>
          <w:szCs w:val="20"/>
        </w:rPr>
        <w:t xml:space="preserve"> Nie dotyczy</w:t>
      </w:r>
    </w:p>
    <w:p>
      <w:pPr>
        <w:spacing w:after="80" w:before="80"/>
      </w:pPr>
      <w:r>
        <w:rPr>
          <w:rFonts w:ascii="Arial" w:cs="Arial" w:eastAsia="Arial" w:hAnsi="Arial"/>
          <w:b/>
          <w:bCs/>
          <w:sz w:val="20"/>
          <w:szCs w:val="20"/>
        </w:rPr>
        <w:t xml:space="preserve">Współczynnik podziału n-oktanol/woda (wartość współczynnika log):</w:t>
      </w:r>
      <w:r>
        <w:rPr>
          <w:rFonts w:ascii="Arial" w:cs="Arial" w:eastAsia="Arial" w:hAnsi="Arial"/>
          <w:sz w:val="20"/>
          <w:szCs w:val="20"/>
        </w:rPr>
        <w:t xml:space="preserve"> -0,35</w:t>
      </w:r>
    </w:p>
    <w:p>
      <w:pPr>
        <w:spacing w:after="80" w:before="80"/>
      </w:pPr>
      <w:r>
        <w:rPr>
          <w:rFonts w:ascii="Arial" w:cs="Arial" w:eastAsia="Arial" w:hAnsi="Arial"/>
          <w:b/>
          <w:bCs/>
          <w:sz w:val="20"/>
          <w:szCs w:val="20"/>
        </w:rPr>
        <w:t xml:space="preserve">Prężność pary:</w:t>
      </w:r>
      <w:r>
        <w:rPr>
          <w:rFonts w:ascii="Arial" w:cs="Arial" w:eastAsia="Arial" w:hAnsi="Arial"/>
          <w:sz w:val="20"/>
          <w:szCs w:val="20"/>
        </w:rPr>
        <w:t xml:space="preserve"> 5,9 kPa</w:t>
      </w:r>
    </w:p>
    <w:p>
      <w:pPr>
        <w:spacing w:after="80" w:before="80"/>
      </w:pPr>
      <w:r>
        <w:rPr>
          <w:rFonts w:ascii="Arial" w:cs="Arial" w:eastAsia="Arial" w:hAnsi="Arial"/>
          <w:b/>
          <w:bCs/>
          <w:sz w:val="20"/>
          <w:szCs w:val="20"/>
        </w:rPr>
        <w:t xml:space="preserve">Gęstość lub gęstość względna:</w:t>
      </w:r>
      <w:r>
        <w:rPr>
          <w:rFonts w:ascii="Arial" w:cs="Arial" w:eastAsia="Arial" w:hAnsi="Arial"/>
          <w:sz w:val="20"/>
          <w:szCs w:val="20"/>
        </w:rPr>
        <w:t xml:space="preserve"> 0,855 g/cm³ (metoda wewnętrzna)</w:t>
      </w:r>
    </w:p>
    <w:p>
      <w:pPr>
        <w:spacing w:after="80" w:before="80"/>
      </w:pPr>
      <w:r>
        <w:rPr>
          <w:rFonts w:ascii="Arial" w:cs="Arial" w:eastAsia="Arial" w:hAnsi="Arial"/>
          <w:b/>
          <w:bCs/>
          <w:sz w:val="20"/>
          <w:szCs w:val="20"/>
        </w:rPr>
        <w:t xml:space="preserve">Względna gęstość pary:</w:t>
      </w:r>
      <w:r>
        <w:rPr>
          <w:rFonts w:ascii="Arial" w:cs="Arial" w:eastAsia="Arial" w:hAnsi="Arial"/>
          <w:sz w:val="20"/>
          <w:szCs w:val="20"/>
        </w:rPr>
        <w:t xml:space="preserve"> 1,6 (metoda: HSDB, 2015; INRS, 2011)</w:t>
      </w:r>
    </w:p>
    <w:p>
      <w:pPr>
        <w:spacing w:after="80" w:before="80"/>
      </w:pPr>
      <w:r>
        <w:rPr>
          <w:rFonts w:ascii="Arial" w:cs="Arial" w:eastAsia="Arial" w:hAnsi="Arial"/>
          <w:b/>
          <w:bCs/>
          <w:sz w:val="20"/>
          <w:szCs w:val="20"/>
        </w:rPr>
        <w:t xml:space="preserve">Charakterystyka cząsteczek:</w:t>
      </w:r>
      <w:r>
        <w:rPr>
          <w:rFonts w:ascii="Arial" w:cs="Arial" w:eastAsia="Arial" w:hAnsi="Arial"/>
          <w:sz w:val="20"/>
          <w:szCs w:val="20"/>
        </w:rPr>
        <w:t xml:space="preserve"> Nie dotyczy (produkt płynny)</w:t>
      </w:r>
    </w:p>
    <w:p>
      <w:pPr>
        <w:spacing w:after="100" w:before="200"/>
      </w:pPr>
      <w:r>
        <w:rPr>
          <w:rFonts w:ascii="Arial" w:cs="Arial" w:eastAsia="Arial" w:hAnsi="Arial"/>
          <w:b/>
          <w:bCs/>
          <w:sz w:val="20"/>
          <w:szCs w:val="20"/>
        </w:rPr>
        <w:t xml:space="preserve">9.2. Inne informacje</w:t>
      </w:r>
    </w:p>
    <w:p>
      <w:pPr>
        <w:spacing w:after="80" w:before="80"/>
      </w:pPr>
      <w:r>
        <w:rPr>
          <w:rFonts w:ascii="Arial" w:cs="Arial" w:eastAsia="Arial" w:hAnsi="Arial"/>
          <w:b/>
          <w:bCs/>
          <w:sz w:val="20"/>
          <w:szCs w:val="20"/>
        </w:rPr>
        <w:t xml:space="preserve">Lotne Związki Organiczne (LZO / VOC):</w:t>
      </w:r>
      <w:r>
        <w:rPr>
          <w:rFonts w:ascii="Arial" w:cs="Arial" w:eastAsia="Arial" w:hAnsi="Arial"/>
          <w:sz w:val="20"/>
          <w:szCs w:val="20"/>
        </w:rPr>
        <w:t xml:space="preserve"> ok. 76–78% (ok. 663 g/l)</w:t>
      </w:r>
    </w:p>
    <w:p>
      <w:pPr>
        <w:spacing w:after="100" w:before="200"/>
      </w:pPr>
      <w:r>
        <w:rPr>
          <w:rFonts w:ascii="Arial" w:cs="Arial" w:eastAsia="Arial" w:hAnsi="Arial"/>
          <w:b/>
          <w:bCs/>
          <w:sz w:val="20"/>
          <w:szCs w:val="20"/>
        </w:rPr>
        <w:t xml:space="preserve">9.2.1. Informacje dotyczące klas zagrożenia fizycznego: Brak dodatkowych danych badawczych.</w:t>
      </w:r>
    </w:p>
    <w:p>
      <w:pPr>
        <w:spacing w:after="100" w:before="200"/>
      </w:pPr>
      <w:r>
        <w:rPr>
          <w:rFonts w:ascii="Arial" w:cs="Arial" w:eastAsia="Arial" w:hAnsi="Arial"/>
          <w:b/>
          <w:bCs/>
          <w:sz w:val="20"/>
          <w:szCs w:val="20"/>
        </w:rPr>
        <w:t xml:space="preserve">9.2.2. Inne właściwości bezpieczeństwa: Zawartość LZO (VOC): ok. 76–78% (ok. 663 g/l).</w:t>
      </w:r>
    </w:p>
    <w:p>
      <w:pPr>
        <w:pBdr>
          <w:bottom w:color="00A651" w:sz="12" w:space="1"/>
        </w:pBdr>
        <w:spacing w:after="150" w:before="300"/>
      </w:pPr>
      <w:r>
        <w:rPr>
          <w:b/>
          <w:bCs/>
          <w:sz w:val="22"/>
          <w:szCs w:val="22"/>
        </w:rPr>
        <w:t xml:space="preserve">SEKCJA 10: STABILNOŚĆ I REAKTYWNOŚĆ</w:t>
      </w:r>
    </w:p>
    <w:p>
      <w:pPr>
        <w:spacing w:after="100" w:before="200"/>
      </w:pPr>
      <w:r>
        <w:rPr>
          <w:rFonts w:ascii="Arial" w:cs="Arial" w:eastAsia="Arial" w:hAnsi="Arial"/>
          <w:b/>
          <w:bCs/>
          <w:sz w:val="20"/>
          <w:szCs w:val="20"/>
        </w:rPr>
        <w:t xml:space="preserve">10.1. Reaktywność: brak szczególnych zagrożeń.</w:t>
      </w:r>
    </w:p>
    <w:p>
      <w:pPr>
        <w:pBdr>
          <w:bottom w:color="00A651" w:sz="12" w:space="1"/>
        </w:pBdr>
        <w:spacing w:after="150" w:before="300"/>
      </w:pPr>
      <w:r>
        <w:rPr>
          <w:b/>
          <w:bCs/>
          <w:sz w:val="22"/>
          <w:szCs w:val="22"/>
        </w:rPr>
        <w:t xml:space="preserve">SEKCJA 11: INFORMACJE TOKSYKOLOGICZNE</w:t>
      </w:r>
    </w:p>
    <w:p>
      <w:pPr>
        <w:spacing w:after="100" w:before="200"/>
      </w:pPr>
      <w:r>
        <w:rPr>
          <w:rFonts w:ascii="Arial" w:cs="Arial" w:eastAsia="Arial" w:hAnsi="Arial"/>
          <w:b/>
          <w:bCs/>
          <w:sz w:val="20"/>
          <w:szCs w:val="20"/>
        </w:rPr>
        <w:t xml:space="preserve">11.1. Informacje na temat klas zagrożenia zdefiniowanych w rozporządzeniu (WE) nr 1272/2008</w:t>
      </w:r>
    </w:p>
    <w:p>
      <w:pPr>
        <w:spacing w:after="80"/>
      </w:pPr>
      <w:r>
        <w:rPr>
          <w:rFonts w:ascii="Arial" w:cs="Arial" w:eastAsia="Arial" w:hAnsi="Arial"/>
          <w:sz w:val="20"/>
          <w:szCs w:val="20"/>
        </w:rPr>
        <w:t xml:space="preserve">W przypadku braku danych doświadczalnych dla samego produktu, zagrożenia dla zdrowia ocenia się na podstawie właściwości substancji w nim zawartych, stosując kryteria określone w odpowiednich przepisach dotyczących klasyfikacji.</w:t>
      </w:r>
    </w:p>
    <w:p>
      <w:pPr>
        <w:spacing w:after="80"/>
      </w:pPr>
      <w:r>
        <w:rPr>
          <w:rFonts w:ascii="Arial" w:cs="Arial" w:eastAsia="Arial" w:hAnsi="Arial"/>
          <w:sz w:val="20"/>
          <w:szCs w:val="20"/>
        </w:rPr>
        <w:t xml:space="preserve">W związku z tym, w celu oceny skutków toksykologicznych narażenia na produkt, konieczne jest uwzględnienie stężeń poszczególnych substancji niebezpiecznych wskazanych w sekcji 3.</w:t>
      </w:r>
    </w:p>
    <w:p>
      <w:pPr>
        <w:spacing w:after="80"/>
      </w:pPr>
      <w:r>
        <w:rPr>
          <w:rFonts w:ascii="Arial" w:cs="Arial" w:eastAsia="Arial" w:hAnsi="Arial"/>
          <w:sz w:val="20"/>
          <w:szCs w:val="20"/>
        </w:rPr>
        <w:t xml:space="preserve">Metabolizm, toksykokinetyka, mechanizm działania i inne informacje:</w:t>
      </w:r>
    </w:p>
    <w:p>
      <w:pPr>
        <w:spacing w:after="80"/>
      </w:pPr>
      <w:r>
        <w:rPr>
          <w:rFonts w:ascii="Arial" w:cs="Arial" w:eastAsia="Arial" w:hAnsi="Arial"/>
          <w:sz w:val="20"/>
          <w:szCs w:val="20"/>
        </w:rPr>
        <w:t xml:space="preserve">Brak dostępnych informacji.</w:t>
      </w:r>
    </w:p>
    <w:p>
      <w:pPr>
        <w:spacing w:after="80"/>
      </w:pPr>
      <w:r>
        <w:rPr>
          <w:rFonts w:ascii="Arial" w:cs="Arial" w:eastAsia="Arial" w:hAnsi="Arial"/>
          <w:sz w:val="20"/>
          <w:szCs w:val="20"/>
        </w:rPr>
        <w:t xml:space="preserve">Informacje dotyczące prawdopodobnych dróg narażenia: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PRACOWNICY: inhalacyjnie (drogi oddechowe); kontakt ze skórą.</w:t>
      </w:r>
    </w:p>
    <w:p>
      <w:pPr>
        <w:spacing w:after="80"/>
      </w:pPr>
      <w:r>
        <w:rPr>
          <w:rFonts w:ascii="Arial" w:cs="Arial" w:eastAsia="Arial" w:hAnsi="Arial"/>
          <w:sz w:val="20"/>
          <w:szCs w:val="20"/>
        </w:rPr>
        <w:t xml:space="preserve">KONSUMENCI: spożycie skażonej żywności lub wody; inhalacyjnie (wdychanie powietrza otoczenia); kontakt ze skórą z produktami zawierającymi substancję.</w:t>
      </w:r>
    </w:p>
    <w:p>
      <w:pPr>
        <w:spacing w:after="80"/>
      </w:pPr>
      <w:r>
        <w:rPr>
          <w:rFonts w:ascii="Arial" w:cs="Arial" w:eastAsia="Arial" w:hAnsi="Arial"/>
          <w:sz w:val="20"/>
          <w:szCs w:val="20"/>
        </w:rPr>
        <w:t xml:space="preserve">Opóźnione, bezpośrednie oraz przewlekłe skutki krótko- i długotrwałego narażenia: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Działanie toksyczne na ośrodkowy i obwodowy układ nerwowy z encefalopatią i polineuropatią; działa drażniąco na skórę, spojówki, rogówkę i układ oddechowy.</w:t>
      </w:r>
    </w:p>
    <w:p>
      <w:pPr>
        <w:spacing w:after="80"/>
      </w:pPr>
      <w:r>
        <w:rPr>
          <w:rFonts w:ascii="Arial" w:cs="Arial" w:eastAsia="Arial" w:hAnsi="Arial"/>
          <w:sz w:val="20"/>
          <w:szCs w:val="20"/>
        </w:rPr>
        <w:t xml:space="preserve">Skutki wzajemnego oddziaływania:</w:t>
      </w:r>
    </w:p>
    <w:p>
      <w:pPr>
        <w:spacing w:after="80"/>
      </w:pPr>
      <w:r>
        <w:rPr>
          <w:rFonts w:ascii="Arial" w:cs="Arial" w:eastAsia="Arial" w:hAnsi="Arial"/>
          <w:sz w:val="20"/>
          <w:szCs w:val="20"/>
        </w:rPr>
        <w:t xml:space="preserve">Toluen:</w:t>
      </w:r>
    </w:p>
    <w:p>
      <w:pPr>
        <w:spacing w:after="80"/>
      </w:pPr>
      <w:r>
        <w:rPr>
          <w:rFonts w:ascii="Arial" w:cs="Arial" w:eastAsia="Arial" w:hAnsi="Arial"/>
          <w:sz w:val="20"/>
          <w:szCs w:val="20"/>
        </w:rPr>
        <w:t xml:space="preserve">Niektóre leki i inne substancje przemysłowe mogą zakłócać metabolizm toluenu.</w:t>
      </w:r>
    </w:p>
    <w:p>
      <w:pPr>
        <w:spacing w:after="80"/>
      </w:pPr>
      <w:r>
        <w:rPr>
          <w:rFonts w:ascii="Arial" w:cs="Arial" w:eastAsia="Arial" w:hAnsi="Arial"/>
          <w:sz w:val="20"/>
          <w:szCs w:val="20"/>
        </w:rPr>
        <w:t xml:space="preserve">Toksyczność ostra:</w:t>
      </w:r>
    </w:p>
    <w:p>
      <w:pPr>
        <w:spacing w:after="80"/>
      </w:pPr>
      <w:r>
        <w:rPr>
          <w:rFonts w:ascii="Arial" w:cs="Arial" w:eastAsia="Arial" w:hAnsi="Arial"/>
          <w:sz w:val="20"/>
          <w:szCs w:val="20"/>
        </w:rPr>
        <w:t xml:space="preserve">ATE mieszaniny (drogi oddechowe / inhalacyjnie): Nie sklasyfikowano (brak istotnych składników)</w:t>
      </w:r>
    </w:p>
    <w:p>
      <w:pPr>
        <w:spacing w:after="80"/>
      </w:pPr>
      <w:r>
        <w:rPr>
          <w:rFonts w:ascii="Arial" w:cs="Arial" w:eastAsia="Arial" w:hAnsi="Arial"/>
          <w:sz w:val="20"/>
          <w:szCs w:val="20"/>
        </w:rPr>
        <w:t xml:space="preserve">ATE mieszaniny (droga pokarmowa / doustnie): Nie sklasyfikowano (brak istotnych składników)</w:t>
      </w:r>
    </w:p>
    <w:p>
      <w:pPr>
        <w:spacing w:after="80"/>
      </w:pPr>
      <w:r>
        <w:rPr>
          <w:rFonts w:ascii="Arial" w:cs="Arial" w:eastAsia="Arial" w:hAnsi="Arial"/>
          <w:sz w:val="20"/>
          <w:szCs w:val="20"/>
        </w:rPr>
        <w:t xml:space="preserve">ATE mieszaniny (na skórę): Nie sklasyfikowano (brak istotnych składników)</w:t>
      </w:r>
    </w:p>
    <w:p>
      <w:pPr>
        <w:spacing w:after="80"/>
      </w:pPr>
      <w:r>
        <w:rPr>
          <w:rFonts w:ascii="Arial" w:cs="Arial" w:eastAsia="Arial" w:hAnsi="Arial"/>
          <w:sz w:val="20"/>
          <w:szCs w:val="20"/>
        </w:rPr>
        <w:t xml:space="preserve">Informacje o składnikach:</w:t>
      </w:r>
    </w:p>
    <w:p>
      <w:pPr>
        <w:spacing w:after="80"/>
      </w:pPr>
      <w:r>
        <w:rPr>
          <w:rFonts w:ascii="Arial" w:cs="Arial" w:eastAsia="Arial" w:hAnsi="Arial"/>
          <w:sz w:val="20"/>
          <w:szCs w:val="20"/>
        </w:rPr>
        <w:t xml:space="preserve">Etanol [CAS: 64-17-5]:</w:t>
      </w:r>
    </w:p>
    <w:p>
      <w:pPr>
        <w:spacing w:after="60" w:before="60"/>
      </w:pPr>
      <w:r>
        <w:rPr>
          <w:rFonts w:ascii="Arial" w:cs="Arial" w:eastAsia="Arial" w:hAnsi="Arial"/>
          <w:b/>
          <w:bCs/>
          <w:sz w:val="20"/>
          <w:szCs w:val="20"/>
        </w:rPr>
        <w:t xml:space="preserve">- LD50 (doustnie, szczur):</w:t>
      </w:r>
      <w:r>
        <w:rPr>
          <w:rFonts w:ascii="Arial" w:cs="Arial" w:eastAsia="Arial" w:hAnsi="Arial"/>
          <w:sz w:val="20"/>
          <w:szCs w:val="20"/>
        </w:rPr>
        <w:t xml:space="preserve"> &gt; 5000 mg/kg</w:t>
      </w:r>
    </w:p>
    <w:p>
      <w:pPr>
        <w:spacing w:after="60" w:before="60"/>
      </w:pPr>
      <w:r>
        <w:rPr>
          <w:rFonts w:ascii="Arial" w:cs="Arial" w:eastAsia="Arial" w:hAnsi="Arial"/>
          <w:b/>
          <w:bCs/>
          <w:sz w:val="20"/>
          <w:szCs w:val="20"/>
        </w:rPr>
        <w:t xml:space="preserve">- LC50 (inhalacyjnie, pary, szczur):</w:t>
      </w:r>
      <w:r>
        <w:rPr>
          <w:rFonts w:ascii="Arial" w:cs="Arial" w:eastAsia="Arial" w:hAnsi="Arial"/>
          <w:sz w:val="20"/>
          <w:szCs w:val="20"/>
        </w:rPr>
        <w:t xml:space="preserve"> &gt; 50 mg/l/4h</w:t>
      </w:r>
    </w:p>
    <w:p>
      <w:pPr>
        <w:spacing w:after="80"/>
      </w:pPr>
      <w:r>
        <w:rPr>
          <w:rFonts w:ascii="Arial" w:cs="Arial" w:eastAsia="Arial" w:hAnsi="Arial"/>
          <w:sz w:val="20"/>
          <w:szCs w:val="20"/>
        </w:rPr>
        <w:t xml:space="preserve">Aldehyd anyżowy [CAS: 123-11-5]:</w:t>
      </w:r>
    </w:p>
    <w:p>
      <w:pPr>
        <w:spacing w:after="60" w:before="60"/>
      </w:pPr>
      <w:r>
        <w:rPr>
          <w:rFonts w:ascii="Arial" w:cs="Arial" w:eastAsia="Arial" w:hAnsi="Arial"/>
          <w:b/>
          <w:bCs/>
          <w:sz w:val="20"/>
          <w:szCs w:val="20"/>
        </w:rPr>
        <w:t xml:space="preserve">- LD50 (skóra, królik):</w:t>
      </w:r>
      <w:r>
        <w:rPr>
          <w:rFonts w:ascii="Arial" w:cs="Arial" w:eastAsia="Arial" w:hAnsi="Arial"/>
          <w:sz w:val="20"/>
          <w:szCs w:val="20"/>
        </w:rPr>
        <w:t xml:space="preserve"> &gt; 5000 mg/kg</w:t>
      </w:r>
    </w:p>
    <w:p>
      <w:pPr>
        <w:spacing w:after="60" w:before="60"/>
      </w:pPr>
      <w:r>
        <w:rPr>
          <w:rFonts w:ascii="Arial" w:cs="Arial" w:eastAsia="Arial" w:hAnsi="Arial"/>
          <w:b/>
          <w:bCs/>
          <w:sz w:val="20"/>
          <w:szCs w:val="20"/>
        </w:rPr>
        <w:t xml:space="preserve">- LD50 (doustnie, szczur):</w:t>
      </w:r>
      <w:r>
        <w:rPr>
          <w:rFonts w:ascii="Arial" w:cs="Arial" w:eastAsia="Arial" w:hAnsi="Arial"/>
          <w:sz w:val="20"/>
          <w:szCs w:val="20"/>
        </w:rPr>
        <w:t xml:space="preserve"> 3210 mg/kg</w:t>
      </w:r>
    </w:p>
    <w:p>
      <w:pPr>
        <w:spacing w:after="60" w:before="60"/>
      </w:pPr>
      <w:r>
        <w:rPr>
          <w:rFonts w:ascii="Arial" w:cs="Arial" w:eastAsia="Arial" w:hAnsi="Arial"/>
          <w:b/>
          <w:bCs/>
          <w:sz w:val="20"/>
          <w:szCs w:val="20"/>
        </w:rPr>
        <w:t xml:space="preserve">- LC50 (inhalacyjnie, pary, szczur):</w:t>
      </w:r>
      <w:r>
        <w:rPr>
          <w:rFonts w:ascii="Arial" w:cs="Arial" w:eastAsia="Arial" w:hAnsi="Arial"/>
          <w:sz w:val="20"/>
          <w:szCs w:val="20"/>
        </w:rPr>
        <w:t xml:space="preserve"> 0,32 mg/l/7h</w:t>
      </w:r>
    </w:p>
    <w:p>
      <w:pPr>
        <w:spacing w:after="80"/>
      </w:pPr>
      <w:r>
        <w:rPr>
          <w:rFonts w:ascii="Arial" w:cs="Arial" w:eastAsia="Arial" w:hAnsi="Arial"/>
          <w:sz w:val="20"/>
          <w:szCs w:val="20"/>
        </w:rPr>
        <w:t xml:space="preserve">Kumaryna [CAS: 91-64-5]:</w:t>
      </w:r>
    </w:p>
    <w:p>
      <w:pPr>
        <w:spacing w:after="60" w:before="60"/>
      </w:pPr>
      <w:r>
        <w:rPr>
          <w:rFonts w:ascii="Arial" w:cs="Arial" w:eastAsia="Arial" w:hAnsi="Arial"/>
          <w:b/>
          <w:bCs/>
          <w:sz w:val="20"/>
          <w:szCs w:val="20"/>
        </w:rPr>
        <w:t xml:space="preserve">- LD50 (skóra, szczur):</w:t>
      </w:r>
      <w:r>
        <w:rPr>
          <w:rFonts w:ascii="Arial" w:cs="Arial" w:eastAsia="Arial" w:hAnsi="Arial"/>
          <w:sz w:val="20"/>
          <w:szCs w:val="20"/>
        </w:rPr>
        <w:t xml:space="preserve"> 293 mg/kg mc.</w:t>
      </w:r>
    </w:p>
    <w:p>
      <w:pPr>
        <w:spacing w:after="60" w:before="60"/>
      </w:pPr>
      <w:r>
        <w:rPr>
          <w:rFonts w:ascii="Arial" w:cs="Arial" w:eastAsia="Arial" w:hAnsi="Arial"/>
          <w:b/>
          <w:bCs/>
          <w:sz w:val="20"/>
          <w:szCs w:val="20"/>
        </w:rPr>
        <w:t xml:space="preserve">- LD50 (doustnie, szczur):</w:t>
      </w:r>
      <w:r>
        <w:rPr>
          <w:rFonts w:ascii="Arial" w:cs="Arial" w:eastAsia="Arial" w:hAnsi="Arial"/>
          <w:sz w:val="20"/>
          <w:szCs w:val="20"/>
        </w:rPr>
        <w:t xml:space="preserve"> 290 mg/kg mc.</w:t>
      </w:r>
    </w:p>
    <w:p>
      <w:pPr>
        <w:spacing w:after="60" w:before="60"/>
      </w:pPr>
      <w:r>
        <w:rPr>
          <w:rFonts w:ascii="Arial" w:cs="Arial" w:eastAsia="Arial" w:hAnsi="Arial"/>
          <w:b/>
          <w:bCs/>
          <w:sz w:val="20"/>
          <w:szCs w:val="20"/>
        </w:rPr>
        <w:t xml:space="preserve">- LC50 (inhalacyjnie, aerozole/pyły, szczur):</w:t>
      </w:r>
      <w:r>
        <w:rPr>
          <w:rFonts w:ascii="Arial" w:cs="Arial" w:eastAsia="Arial" w:hAnsi="Arial"/>
          <w:sz w:val="20"/>
          <w:szCs w:val="20"/>
        </w:rPr>
        <w:t xml:space="preserve"> 293 mg/kg</w:t>
      </w:r>
    </w:p>
    <w:p>
      <w:pPr>
        <w:spacing w:after="80"/>
      </w:pPr>
      <w:r>
        <w:rPr>
          <w:rFonts w:ascii="Arial" w:cs="Arial" w:eastAsia="Arial" w:hAnsi="Arial"/>
          <w:sz w:val="20"/>
          <w:szCs w:val="20"/>
        </w:rPr>
        <w:t xml:space="preserve">2,6-di-tert-butylo-4-metylofenol (BHT) [CAS: 128-37-0]:</w:t>
      </w:r>
    </w:p>
    <w:p>
      <w:pPr>
        <w:spacing w:after="60" w:before="60"/>
      </w:pPr>
      <w:r>
        <w:rPr>
          <w:rFonts w:ascii="Arial" w:cs="Arial" w:eastAsia="Arial" w:hAnsi="Arial"/>
          <w:b/>
          <w:bCs/>
          <w:sz w:val="20"/>
          <w:szCs w:val="20"/>
        </w:rPr>
        <w:t xml:space="preserve">- LD50 (skóra, szczur):</w:t>
      </w:r>
      <w:r>
        <w:rPr>
          <w:rFonts w:ascii="Arial" w:cs="Arial" w:eastAsia="Arial" w:hAnsi="Arial"/>
          <w:sz w:val="20"/>
          <w:szCs w:val="20"/>
        </w:rPr>
        <w:t xml:space="preserve"> &gt; 2000 mg/kg</w:t>
      </w:r>
    </w:p>
    <w:p>
      <w:pPr>
        <w:spacing w:after="60" w:before="60"/>
      </w:pPr>
      <w:r>
        <w:rPr>
          <w:rFonts w:ascii="Arial" w:cs="Arial" w:eastAsia="Arial" w:hAnsi="Arial"/>
          <w:b/>
          <w:bCs/>
          <w:sz w:val="20"/>
          <w:szCs w:val="20"/>
        </w:rPr>
        <w:t xml:space="preserve">- LD50 (doustnie, szczur):</w:t>
      </w:r>
      <w:r>
        <w:rPr>
          <w:rFonts w:ascii="Arial" w:cs="Arial" w:eastAsia="Arial" w:hAnsi="Arial"/>
          <w:sz w:val="20"/>
          <w:szCs w:val="20"/>
        </w:rPr>
        <w:t xml:space="preserve"> 2930 mg/kg</w:t>
      </w:r>
    </w:p>
    <w:p>
      <w:pPr>
        <w:spacing w:after="80"/>
      </w:pPr>
      <w:r>
        <w:rPr>
          <w:rFonts w:ascii="Arial" w:cs="Arial" w:eastAsia="Arial" w:hAnsi="Arial"/>
          <w:sz w:val="20"/>
          <w:szCs w:val="20"/>
        </w:rPr>
        <w:t xml:space="preserve">Toluen [CAS: 108-88-3]:</w:t>
      </w:r>
    </w:p>
    <w:p>
      <w:pPr>
        <w:spacing w:after="60" w:before="60"/>
      </w:pPr>
      <w:r>
        <w:rPr>
          <w:rFonts w:ascii="Arial" w:cs="Arial" w:eastAsia="Arial" w:hAnsi="Arial"/>
          <w:b/>
          <w:bCs/>
          <w:sz w:val="20"/>
          <w:szCs w:val="20"/>
        </w:rPr>
        <w:t xml:space="preserve">- LD50 (skóra, królik):</w:t>
      </w:r>
      <w:r>
        <w:rPr>
          <w:rFonts w:ascii="Arial" w:cs="Arial" w:eastAsia="Arial" w:hAnsi="Arial"/>
          <w:sz w:val="20"/>
          <w:szCs w:val="20"/>
        </w:rPr>
        <w:t xml:space="preserve"> &gt; 5000 mg/kg mc.</w:t>
      </w:r>
    </w:p>
    <w:p>
      <w:pPr>
        <w:spacing w:after="60" w:before="60"/>
      </w:pPr>
      <w:r>
        <w:rPr>
          <w:rFonts w:ascii="Arial" w:cs="Arial" w:eastAsia="Arial" w:hAnsi="Arial"/>
          <w:b/>
          <w:bCs/>
          <w:sz w:val="20"/>
          <w:szCs w:val="20"/>
        </w:rPr>
        <w:t xml:space="preserve">- LD50 (doustnie, szczur):</w:t>
      </w:r>
      <w:r>
        <w:rPr>
          <w:rFonts w:ascii="Arial" w:cs="Arial" w:eastAsia="Arial" w:hAnsi="Arial"/>
          <w:sz w:val="20"/>
          <w:szCs w:val="20"/>
        </w:rPr>
        <w:t xml:space="preserve"> &gt; 5000 mg/kg mc.</w:t>
      </w:r>
    </w:p>
    <w:p>
      <w:pPr>
        <w:spacing w:after="60" w:before="60"/>
      </w:pPr>
      <w:r>
        <w:rPr>
          <w:rFonts w:ascii="Arial" w:cs="Arial" w:eastAsia="Arial" w:hAnsi="Arial"/>
          <w:b/>
          <w:bCs/>
          <w:sz w:val="20"/>
          <w:szCs w:val="20"/>
        </w:rPr>
        <w:t xml:space="preserve">- LC50 (inhalacyjnie, pary, człowiek):</w:t>
      </w:r>
      <w:r>
        <w:rPr>
          <w:rFonts w:ascii="Arial" w:cs="Arial" w:eastAsia="Arial" w:hAnsi="Arial"/>
          <w:sz w:val="20"/>
          <w:szCs w:val="20"/>
        </w:rPr>
        <w:t xml:space="preserve"> 100 ppm</w:t>
      </w:r>
    </w:p>
    <w:p>
      <w:pPr>
        <w:spacing w:after="80"/>
      </w:pPr>
      <w:r>
        <w:rPr>
          <w:rFonts w:ascii="Arial" w:cs="Arial" w:eastAsia="Arial" w:hAnsi="Arial"/>
          <w:sz w:val="20"/>
          <w:szCs w:val="20"/>
        </w:rPr>
        <w:t xml:space="preserve">Działanie żrące/drażniące na skórę:</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Poważne uszkodzenie oczu/działanie drażniące na oczy:</w:t>
      </w:r>
    </w:p>
    <w:p>
      <w:pPr>
        <w:spacing w:after="80"/>
      </w:pPr>
      <w:r>
        <w:rPr>
          <w:rFonts w:ascii="Arial" w:cs="Arial" w:eastAsia="Arial" w:hAnsi="Arial"/>
          <w:sz w:val="20"/>
          <w:szCs w:val="20"/>
        </w:rPr>
        <w:t xml:space="preserve">Działa drażniąco na oczy (kategoria Eye Irrit. 2 na podstawie zawartości etanolu ≥ 50%).</w:t>
      </w:r>
    </w:p>
    <w:p>
      <w:pPr>
        <w:spacing w:after="80"/>
      </w:pPr>
      <w:r>
        <w:rPr>
          <w:rFonts w:ascii="Arial" w:cs="Arial" w:eastAsia="Arial" w:hAnsi="Arial"/>
          <w:sz w:val="20"/>
          <w:szCs w:val="20"/>
        </w:rPr>
        <w:t xml:space="preserve">Działanie uczulające na drogi oddechowe lub skórę:</w:t>
      </w:r>
    </w:p>
    <w:p>
      <w:pPr>
        <w:spacing w:after="80"/>
      </w:pPr>
      <w:r>
        <w:rPr>
          <w:rFonts w:ascii="Arial" w:cs="Arial" w:eastAsia="Arial" w:hAnsi="Arial"/>
          <w:sz w:val="20"/>
          <w:szCs w:val="20"/>
        </w:rPr>
        <w:t xml:space="preserve">Może powodować wystąpienie reakcji alergicznej. Zawiera kumarynę (2H-chromen-2-on).</w:t>
      </w:r>
    </w:p>
    <w:p>
      <w:pPr>
        <w:spacing w:after="80"/>
      </w:pPr>
      <w:r>
        <w:rPr>
          <w:rFonts w:ascii="Arial" w:cs="Arial" w:eastAsia="Arial" w:hAnsi="Arial"/>
          <w:sz w:val="20"/>
          <w:szCs w:val="20"/>
        </w:rPr>
        <w:t xml:space="preserve">Działanie mutagenne na komórki rozrodcze: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Rakotwórczość:</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Toluen: Zaklasyfikowany do Grupy 3 (nie można zaklasyfikować jako rakotwórczy dla ludzi) przez Międzynarodową Agencję Badań nad Rakiem (IARC) - (IARC, 1999). Agencja Ochrony Środowiska USA (EPA) podaje, że dane są niewystarczające do oceny potencjału rakotwórczego.</w:t>
      </w:r>
    </w:p>
    <w:p>
      <w:pPr>
        <w:spacing w:after="80"/>
      </w:pPr>
      <w:r>
        <w:rPr>
          <w:rFonts w:ascii="Arial" w:cs="Arial" w:eastAsia="Arial" w:hAnsi="Arial"/>
          <w:sz w:val="20"/>
          <w:szCs w:val="20"/>
        </w:rPr>
        <w:t xml:space="preserve">Szkodliwe działanie na rozrodczość:</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Działanie toksyczne na narządy docelowe – narażenie jednorazowe: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Działanie toksyczne na narządy docelowe – narażenie powtarzane:</w:t>
      </w:r>
    </w:p>
    <w:p>
      <w:pPr>
        <w:spacing w:after="80"/>
      </w:pPr>
      <w:r>
        <w:rPr>
          <w:rFonts w:ascii="Arial" w:cs="Arial" w:eastAsia="Arial" w:hAnsi="Arial"/>
          <w:sz w:val="20"/>
          <w:szCs w:val="20"/>
        </w:rPr>
        <w:t xml:space="preserve">W oparciu o dostępne dane, kryteria klasyfikacji nie są spełnione.</w:t>
      </w:r>
    </w:p>
    <w:p>
      <w:pPr>
        <w:spacing w:after="80"/>
      </w:pPr>
      <w:r>
        <w:rPr>
          <w:rFonts w:ascii="Arial" w:cs="Arial" w:eastAsia="Arial" w:hAnsi="Arial"/>
          <w:sz w:val="20"/>
          <w:szCs w:val="20"/>
        </w:rPr>
        <w:t xml:space="preserve">Zagrożenie spowodowane aspiracją:</w:t>
      </w:r>
    </w:p>
    <w:p>
      <w:pPr>
        <w:spacing w:after="80"/>
      </w:pPr>
      <w:r>
        <w:rPr>
          <w:rFonts w:ascii="Arial" w:cs="Arial" w:eastAsia="Arial" w:hAnsi="Arial"/>
          <w:sz w:val="20"/>
          <w:szCs w:val="20"/>
        </w:rPr>
        <w:t xml:space="preserve">W oparciu o dostępne dane, kryteria klasyfikacji nie są spełnione.</w:t>
      </w:r>
    </w:p>
    <w:p>
      <w:pPr>
        <w:spacing w:after="100" w:before="200"/>
      </w:pPr>
      <w:r>
        <w:rPr>
          <w:rFonts w:ascii="Arial" w:cs="Arial" w:eastAsia="Arial" w:hAnsi="Arial"/>
          <w:b/>
          <w:bCs/>
          <w:sz w:val="20"/>
          <w:szCs w:val="20"/>
        </w:rPr>
        <w:t xml:space="preserve">11.2. Informacje o innych zagrożeniach</w:t>
      </w:r>
    </w:p>
    <w:p>
      <w:pPr>
        <w:spacing w:after="100" w:before="200"/>
      </w:pPr>
      <w:r>
        <w:rPr>
          <w:rFonts w:ascii="Arial" w:cs="Arial" w:eastAsia="Arial" w:hAnsi="Arial"/>
          <w:b/>
          <w:bCs/>
          <w:sz w:val="20"/>
          <w:szCs w:val="20"/>
        </w:rPr>
        <w:t xml:space="preserve">11.2.1. Właściwości zaburzające funkcjonowanie układu hormonalnego:</w:t>
      </w:r>
    </w:p>
    <w:p>
      <w:pPr>
        <w:spacing w:after="80"/>
      </w:pPr>
      <w:r>
        <w:rPr>
          <w:rFonts w:ascii="Arial" w:cs="Arial" w:eastAsia="Arial" w:hAnsi="Arial"/>
          <w:sz w:val="20"/>
          <w:szCs w:val="20"/>
        </w:rPr>
        <w:t xml:space="preserve">Na podstawie dostępnych danych produkt nie zawiera substancji wymienionych w głównych europejskich wykazach substancji potencjalnie lub podejrzewanych o zaburzanie funkcjonowania układu hormonalnego pod kątem wpływu na zdrowie ludzi w stężeniu ≥ 0,1% wag.</w:t>
      </w:r>
    </w:p>
    <w:p>
      <w:pPr>
        <w:spacing w:after="100" w:before="200"/>
      </w:pPr>
      <w:r>
        <w:rPr>
          <w:rFonts w:ascii="Arial" w:cs="Arial" w:eastAsia="Arial" w:hAnsi="Arial"/>
          <w:b/>
          <w:bCs/>
          <w:sz w:val="20"/>
          <w:szCs w:val="20"/>
        </w:rPr>
        <w:t xml:space="preserve">11.2.2. Inne informacje:</w:t>
      </w:r>
    </w:p>
    <w:p>
      <w:pPr>
        <w:spacing w:after="80"/>
      </w:pPr>
      <w:r>
        <w:rPr>
          <w:rFonts w:ascii="Arial" w:cs="Arial" w:eastAsia="Arial" w:hAnsi="Arial"/>
          <w:sz w:val="20"/>
          <w:szCs w:val="20"/>
        </w:rPr>
        <w:t xml:space="preserve">Brak innych znanych zagrożeń dla zdrowia.</w:t>
      </w:r>
    </w:p>
    <w:p>
      <w:pPr>
        <w:pBdr>
          <w:bottom w:color="00A651" w:sz="12" w:space="1"/>
        </w:pBdr>
        <w:spacing w:after="150" w:before="300"/>
      </w:pPr>
      <w:r>
        <w:rPr>
          <w:b/>
          <w:bCs/>
          <w:sz w:val="22"/>
          <w:szCs w:val="22"/>
        </w:rPr>
        <w:t xml:space="preserve">SEKCJA 12: INFORMACJE EKOLOGICZNE</w:t>
      </w:r>
    </w:p>
    <w:p>
      <w:pPr>
        <w:spacing w:after="100" w:before="200"/>
      </w:pPr>
      <w:r>
        <w:rPr>
          <w:rFonts w:ascii="Arial" w:cs="Arial" w:eastAsia="Arial" w:hAnsi="Arial"/>
          <w:b/>
          <w:bCs/>
          <w:sz w:val="20"/>
          <w:szCs w:val="20"/>
        </w:rPr>
        <w:t xml:space="preserve">12.1. Toksyczność</w:t>
      </w:r>
    </w:p>
    <w:p>
      <w:pPr>
        <w:spacing w:after="80"/>
      </w:pPr>
      <w:r>
        <w:rPr>
          <w:rFonts w:ascii="Arial" w:cs="Arial" w:eastAsia="Arial" w:hAnsi="Arial"/>
          <w:sz w:val="20"/>
          <w:szCs w:val="20"/>
        </w:rPr>
        <w:t xml:space="preserve">Stosować dobrą praktykę zawodową, unikając przedostawania się produktu do środowiska.</w:t>
      </w:r>
    </w:p>
    <w:p>
      <w:pPr>
        <w:spacing w:after="80" w:before="150"/>
      </w:pPr>
      <w:r>
        <w:rPr>
          <w:rFonts w:ascii="Arial" w:cs="Arial" w:eastAsia="Arial" w:hAnsi="Arial"/>
          <w:b/>
          <w:bCs/>
          <w:sz w:val="20"/>
          <w:szCs w:val="20"/>
        </w:rPr>
        <w:t xml:space="preserve">Właściwości ekotoksykologiczne mieszaniny:</w:t>
      </w:r>
    </w:p>
    <w:p>
      <w:pPr>
        <w:spacing w:after="80"/>
      </w:pPr>
      <w:r>
        <w:rPr>
          <w:rFonts w:ascii="Arial" w:cs="Arial" w:eastAsia="Arial" w:hAnsi="Arial"/>
          <w:sz w:val="20"/>
          <w:szCs w:val="20"/>
        </w:rPr>
        <w:t xml:space="preserve">Mieszanina nie została zaklasyfikowana jako stwarzająca zagrożenie dla środowiska.</w:t>
      </w:r>
    </w:p>
    <w:p>
      <w:pPr>
        <w:spacing w:after="80"/>
      </w:pPr>
      <w:r>
        <w:rPr>
          <w:rFonts w:ascii="Arial" w:cs="Arial" w:eastAsia="Arial" w:hAnsi="Arial"/>
          <w:sz w:val="20"/>
          <w:szCs w:val="20"/>
        </w:rPr>
        <w:t xml:space="preserve">Brak danych doświadczalnych dla mieszaniny.</w:t>
      </w:r>
    </w:p>
    <w:p>
      <w:pPr>
        <w:spacing w:after="80" w:before="150"/>
      </w:pPr>
      <w:r>
        <w:rPr>
          <w:rFonts w:ascii="Arial" w:cs="Arial" w:eastAsia="Arial" w:hAnsi="Arial"/>
          <w:b/>
          <w:bCs/>
          <w:sz w:val="20"/>
          <w:szCs w:val="20"/>
        </w:rPr>
        <w:t xml:space="preserve">Informacje ekotoksykologiczne o składnikach:</w:t>
      </w:r>
    </w:p>
    <w:p>
      <w:pPr>
        <w:spacing w:after="80" w:before="150"/>
      </w:pPr>
      <w:r>
        <w:rPr>
          <w:rFonts w:ascii="Arial" w:cs="Arial" w:eastAsia="Arial" w:hAnsi="Arial"/>
          <w:b/>
          <w:bCs/>
          <w:sz w:val="20"/>
          <w:szCs w:val="20"/>
        </w:rPr>
        <w:t xml:space="preserve">etanol (CAS: 64-17-5):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14200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454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275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250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96 mg/l</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11,5 mg/l</w:t>
      </w:r>
    </w:p>
    <w:p>
      <w:pPr>
        <w:spacing w:after="80" w:before="150"/>
      </w:pPr>
      <w:r>
        <w:rPr>
          <w:rFonts w:ascii="Arial" w:cs="Arial" w:eastAsia="Arial" w:hAnsi="Arial"/>
          <w:b/>
          <w:bCs/>
          <w:sz w:val="20"/>
          <w:szCs w:val="20"/>
        </w:rPr>
        <w:t xml:space="preserve">aldehyd anyżowy (4-metoksybenzaldehyd) (CAS: 123-11-5):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148,32 mg/l/(96 h) Leuciscus idus</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82,8 mg/l/(48 h) Daphnia magna</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81,11 mg/l/(72 h) Desmodesmus subspicatus</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100 mg/l/(96 h) Leuciscus idus</w:t>
      </w:r>
    </w:p>
    <w:p>
      <w:pPr>
        <w:spacing w:after="80" w:before="150"/>
      </w:pPr>
      <w:r>
        <w:rPr>
          <w:rFonts w:ascii="Arial" w:cs="Arial" w:eastAsia="Arial" w:hAnsi="Arial"/>
          <w:b/>
          <w:bCs/>
          <w:sz w:val="20"/>
          <w:szCs w:val="20"/>
        </w:rPr>
        <w:t xml:space="preserve">kumaryna (2H-chromen-2-on) (CAS: 91-64-5):</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1,324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8,012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1,452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0,119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0,448 mg/l</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0,408 mg/l</w:t>
      </w:r>
    </w:p>
    <w:p>
      <w:pPr>
        <w:spacing w:after="80" w:before="150"/>
      </w:pPr>
      <w:r>
        <w:rPr>
          <w:rFonts w:ascii="Arial" w:cs="Arial" w:eastAsia="Arial" w:hAnsi="Arial"/>
          <w:b/>
          <w:bCs/>
          <w:sz w:val="20"/>
          <w:szCs w:val="20"/>
        </w:rPr>
        <w:t xml:space="preserve">2,6-di-tert-butylo-4-metylofenol (BHT) (CAS: 128-37-0):</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0,199 mg/l/(96 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0,48 mg/l/(48 h)</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&gt; 0,4 mg/l/(72 h)</w:t>
      </w:r>
    </w:p>
    <w:p>
      <w:pPr>
        <w:spacing w:after="60" w:before="60"/>
      </w:pPr>
      <w:r>
        <w:rPr>
          <w:rFonts w:ascii="Arial" w:cs="Arial" w:eastAsia="Arial" w:hAnsi="Arial"/>
          <w:b/>
          <w:bCs/>
          <w:sz w:val="20"/>
          <w:szCs w:val="20"/>
        </w:rPr>
        <w:t xml:space="preserve">- NOEC (przewlekła, ryby):</w:t>
      </w:r>
      <w:r>
        <w:rPr>
          <w:rFonts w:ascii="Arial" w:cs="Arial" w:eastAsia="Arial" w:hAnsi="Arial"/>
          <w:sz w:val="20"/>
          <w:szCs w:val="20"/>
        </w:rPr>
        <w:t xml:space="preserve">0,053 mg/l</w:t>
      </w:r>
    </w:p>
    <w:p>
      <w:pPr>
        <w:spacing w:after="60" w:before="60"/>
      </w:pPr>
      <w:r>
        <w:rPr>
          <w:rFonts w:ascii="Arial" w:cs="Arial" w:eastAsia="Arial" w:hAnsi="Arial"/>
          <w:b/>
          <w:bCs/>
          <w:sz w:val="20"/>
          <w:szCs w:val="20"/>
        </w:rPr>
        <w:t xml:space="preserve">- NOEC (przewlekła, skorupiaki):</w:t>
      </w:r>
      <w:r>
        <w:rPr>
          <w:rFonts w:ascii="Arial" w:cs="Arial" w:eastAsia="Arial" w:hAnsi="Arial"/>
          <w:sz w:val="20"/>
          <w:szCs w:val="20"/>
        </w:rPr>
        <w:t xml:space="preserve">0,15 mg/l</w:t>
      </w:r>
    </w:p>
    <w:p>
      <w:pPr>
        <w:spacing w:after="80" w:before="150"/>
      </w:pPr>
      <w:r>
        <w:rPr>
          <w:rFonts w:ascii="Arial" w:cs="Arial" w:eastAsia="Arial" w:hAnsi="Arial"/>
          <w:b/>
          <w:bCs/>
          <w:sz w:val="20"/>
          <w:szCs w:val="20"/>
        </w:rPr>
        <w:t xml:space="preserve">toluen (CAS: 108-88-3):</w:t>
      </w:r>
    </w:p>
    <w:p>
      <w:pPr>
        <w:spacing w:after="60" w:before="60"/>
      </w:pPr>
      <w:r>
        <w:rPr>
          <w:rFonts w:ascii="Arial" w:cs="Arial" w:eastAsia="Arial" w:hAnsi="Arial"/>
          <w:b/>
          <w:bCs/>
          <w:sz w:val="20"/>
          <w:szCs w:val="20"/>
        </w:rPr>
        <w:t xml:space="preserve">- LC50 (ryby):</w:t>
      </w:r>
      <w:r>
        <w:rPr>
          <w:rFonts w:ascii="Arial" w:cs="Arial" w:eastAsia="Arial" w:hAnsi="Arial"/>
          <w:sz w:val="20"/>
          <w:szCs w:val="20"/>
        </w:rPr>
        <w:t xml:space="preserve">5,5 mg/l/(96 h) Oncorhynchus kisutch</w:t>
      </w:r>
    </w:p>
    <w:p>
      <w:pPr>
        <w:spacing w:after="60" w:before="60"/>
      </w:pPr>
      <w:r>
        <w:rPr>
          <w:rFonts w:ascii="Arial" w:cs="Arial" w:eastAsia="Arial" w:hAnsi="Arial"/>
          <w:b/>
          <w:bCs/>
          <w:sz w:val="20"/>
          <w:szCs w:val="20"/>
        </w:rPr>
        <w:t xml:space="preserve">- EC50 (skorupiaki):</w:t>
      </w:r>
      <w:r>
        <w:rPr>
          <w:rFonts w:ascii="Arial" w:cs="Arial" w:eastAsia="Arial" w:hAnsi="Arial"/>
          <w:sz w:val="20"/>
          <w:szCs w:val="20"/>
        </w:rPr>
        <w:t xml:space="preserve">3,78 mg/l</w:t>
      </w:r>
    </w:p>
    <w:p>
      <w:pPr>
        <w:spacing w:after="60" w:before="60"/>
      </w:pPr>
      <w:r>
        <w:rPr>
          <w:rFonts w:ascii="Arial" w:cs="Arial" w:eastAsia="Arial" w:hAnsi="Arial"/>
          <w:b/>
          <w:bCs/>
          <w:sz w:val="20"/>
          <w:szCs w:val="20"/>
        </w:rPr>
        <w:t xml:space="preserve">- EC50 (glony / rośliny wodne):</w:t>
      </w:r>
      <w:r>
        <w:rPr>
          <w:rFonts w:ascii="Arial" w:cs="Arial" w:eastAsia="Arial" w:hAnsi="Arial"/>
          <w:sz w:val="20"/>
          <w:szCs w:val="20"/>
        </w:rPr>
        <w:t xml:space="preserve">134 mg/l/(3 h) Chlorella vulgaris and Chlamydomonas angulosa</w:t>
      </w:r>
    </w:p>
    <w:p>
      <w:pPr>
        <w:spacing w:after="60" w:before="60"/>
      </w:pPr>
      <w:r>
        <w:rPr>
          <w:rFonts w:ascii="Arial" w:cs="Arial" w:eastAsia="Arial" w:hAnsi="Arial"/>
          <w:b/>
          <w:bCs/>
          <w:sz w:val="20"/>
          <w:szCs w:val="20"/>
        </w:rPr>
        <w:t xml:space="preserve">- NOEC (przewlekła, glony):</w:t>
      </w:r>
      <w:r>
        <w:rPr>
          <w:rFonts w:ascii="Arial" w:cs="Arial" w:eastAsia="Arial" w:hAnsi="Arial"/>
          <w:sz w:val="20"/>
          <w:szCs w:val="20"/>
        </w:rPr>
        <w:t xml:space="preserve">10 mg/l/(72 h) Skeletonema costatum</w:t>
      </w:r>
    </w:p>
    <w:p>
      <w:pPr>
        <w:spacing w:after="100" w:before="200"/>
      </w:pPr>
      <w:r>
        <w:rPr>
          <w:rFonts w:ascii="Arial" w:cs="Arial" w:eastAsia="Arial" w:hAnsi="Arial"/>
          <w:b/>
          <w:bCs/>
          <w:sz w:val="20"/>
          <w:szCs w:val="20"/>
        </w:rPr>
        <w:t xml:space="preserve">12.2. Trwałość i zdolność do rozkładu</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Szybko ulega degradacji (substancja łatwo biodegradowalna). Rozpuszczalność w wodzie: 1000 - 10000 mg/l.</w:t>
      </w:r>
    </w:p>
    <w:p>
      <w:pPr>
        <w:spacing w:after="80"/>
      </w:pPr>
      <w:r>
        <w:rPr>
          <w:rFonts w:ascii="Arial" w:cs="Arial" w:eastAsia="Arial" w:hAnsi="Arial"/>
          <w:sz w:val="20"/>
          <w:szCs w:val="20"/>
        </w:rPr>
        <w:t xml:space="preserve">aldehyd anyżowy (4-metoksybenzaldehyd) (CAS: 123-11-5): Szybko ulega degradacji (substancja łatwo biodegradowalna).</w:t>
      </w:r>
    </w:p>
    <w:p>
      <w:pPr>
        <w:spacing w:after="80"/>
      </w:pPr>
      <w:r>
        <w:rPr>
          <w:rFonts w:ascii="Arial" w:cs="Arial" w:eastAsia="Arial" w:hAnsi="Arial"/>
          <w:sz w:val="20"/>
          <w:szCs w:val="20"/>
        </w:rPr>
        <w:t xml:space="preserve">kumaryna (2H-chromen-2-on) (CAS: 91-64-5): Szybko ulega degradacji (substancja łatwo biodegradowalna).</w:t>
      </w:r>
    </w:p>
    <w:p>
      <w:pPr>
        <w:spacing w:after="80"/>
      </w:pPr>
      <w:r>
        <w:rPr>
          <w:rFonts w:ascii="Arial" w:cs="Arial" w:eastAsia="Arial" w:hAnsi="Arial"/>
          <w:sz w:val="20"/>
          <w:szCs w:val="20"/>
        </w:rPr>
        <w:t xml:space="preserve">2,6-di-tert-butylo-4-metylofenol (BHT) (CAS: 128-37-0): Szybko ulega degradacji (substancja łatwo biodegradowalna).</w:t>
      </w:r>
    </w:p>
    <w:p>
      <w:pPr>
        <w:spacing w:after="80"/>
      </w:pPr>
      <w:r>
        <w:rPr>
          <w:rFonts w:ascii="Arial" w:cs="Arial" w:eastAsia="Arial" w:hAnsi="Arial"/>
          <w:sz w:val="20"/>
          <w:szCs w:val="20"/>
        </w:rPr>
        <w:t xml:space="preserve">toluen (CAS: 108-88-3): Szybko ulega degradacji (substancja łatwo biodegradowalna). Rozpuszczalność w wodzie: 100 - 1000 mg/l.</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trwałości i rozkładu mieszaniny.</w:t>
      </w:r>
    </w:p>
    <w:p>
      <w:pPr>
        <w:spacing w:after="100" w:before="200"/>
      </w:pPr>
      <w:r>
        <w:rPr>
          <w:rFonts w:ascii="Arial" w:cs="Arial" w:eastAsia="Arial" w:hAnsi="Arial"/>
          <w:b/>
          <w:bCs/>
          <w:sz w:val="20"/>
          <w:szCs w:val="20"/>
        </w:rPr>
        <w:t xml:space="preserve">12.3. Zdolność do bioakumulacji</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etanol (CAS: 64-17-5): współczynnik podziału n-oktanol/woda (log Kow): -0,35.</w:t>
      </w:r>
    </w:p>
    <w:p>
      <w:pPr>
        <w:spacing w:after="80"/>
      </w:pPr>
      <w:r>
        <w:rPr>
          <w:rFonts w:ascii="Arial" w:cs="Arial" w:eastAsia="Arial" w:hAnsi="Arial"/>
          <w:sz w:val="20"/>
          <w:szCs w:val="20"/>
        </w:rPr>
        <w:t xml:space="preserve">2,6-di-tert-butylo-4-metylofenol (BHT) (CAS: 128-37-0): współczynnik podziału n-oktanol/woda (log Kow): 5,1, współczynnik biokoncentracji BCF = 598,4.</w:t>
      </w:r>
    </w:p>
    <w:p>
      <w:pPr>
        <w:spacing w:after="80"/>
      </w:pPr>
      <w:r>
        <w:rPr>
          <w:rFonts w:ascii="Arial" w:cs="Arial" w:eastAsia="Arial" w:hAnsi="Arial"/>
          <w:sz w:val="20"/>
          <w:szCs w:val="20"/>
        </w:rPr>
        <w:t xml:space="preserve">toluen (CAS: 108-88-3): współczynnik podziału n-oktanol/woda (log Kow): 2,73, współczynnik biokoncentracji BCF = 90.</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bioakumulacji dla mieszaniny.</w:t>
      </w:r>
    </w:p>
    <w:p>
      <w:pPr>
        <w:spacing w:after="100" w:before="200"/>
      </w:pPr>
      <w:r>
        <w:rPr>
          <w:rFonts w:ascii="Arial" w:cs="Arial" w:eastAsia="Arial" w:hAnsi="Arial"/>
          <w:b/>
          <w:bCs/>
          <w:sz w:val="20"/>
          <w:szCs w:val="20"/>
        </w:rPr>
        <w:t xml:space="preserve">12.4. Mobilność w glebie</w:t>
      </w:r>
    </w:p>
    <w:p>
      <w:pPr>
        <w:spacing w:after="80" w:before="150"/>
      </w:pPr>
      <w:r>
        <w:rPr>
          <w:rFonts w:ascii="Arial" w:cs="Arial" w:eastAsia="Arial" w:hAnsi="Arial"/>
          <w:b/>
          <w:bCs/>
          <w:sz w:val="20"/>
          <w:szCs w:val="20"/>
        </w:rPr>
        <w:t xml:space="preserve">Informacje dotyczące składników:</w:t>
      </w:r>
    </w:p>
    <w:p>
      <w:pPr>
        <w:spacing w:after="80"/>
      </w:pPr>
      <w:r>
        <w:rPr>
          <w:rFonts w:ascii="Arial" w:cs="Arial" w:eastAsia="Arial" w:hAnsi="Arial"/>
          <w:sz w:val="20"/>
          <w:szCs w:val="20"/>
        </w:rPr>
        <w:t xml:space="preserve">aldehyd anyżowy (4-metoksybenzaldehyd) (CAS: 123-11-5): współczynnik podziału gleba/woda (Koc): 1.</w:t>
      </w:r>
    </w:p>
    <w:p>
      <w:pPr>
        <w:spacing w:after="80"/>
      </w:pPr>
      <w:r>
        <w:rPr>
          <w:rFonts w:ascii="Arial" w:cs="Arial" w:eastAsia="Arial" w:hAnsi="Arial"/>
          <w:sz w:val="20"/>
          <w:szCs w:val="20"/>
        </w:rPr>
        <w:t xml:space="preserve">2,6-di-tert-butylo-4-metylofenol (BHT) (CAS: 128-37-0): współczynnik podziału gleba/woda (Koc): 4,2.</w:t>
      </w:r>
    </w:p>
    <w:p>
      <w:pPr>
        <w:spacing w:after="80"/>
      </w:pPr>
      <w:r>
        <w:rPr>
          <w:rFonts w:ascii="Arial" w:cs="Arial" w:eastAsia="Arial" w:hAnsi="Arial"/>
          <w:sz w:val="20"/>
          <w:szCs w:val="20"/>
        </w:rPr>
        <w:t xml:space="preserve">toluen (CAS: 108-88-3): współczynnik podziału gleba/woda (Koc): 2,31.</w:t>
      </w:r>
    </w:p>
    <w:p>
      <w:pPr>
        <w:spacing w:after="80" w:before="80"/>
      </w:pPr>
      <w:r>
        <w:rPr>
          <w:rFonts w:ascii="Arial" w:cs="Arial" w:eastAsia="Arial" w:hAnsi="Arial"/>
          <w:b/>
          <w:bCs/>
          <w:sz w:val="20"/>
          <w:szCs w:val="20"/>
        </w:rPr>
        <w:t xml:space="preserve">Mieszanina:</w:t>
      </w:r>
      <w:r>
        <w:rPr>
          <w:rFonts w:ascii="Arial" w:cs="Arial" w:eastAsia="Arial" w:hAnsi="Arial"/>
          <w:sz w:val="20"/>
          <w:szCs w:val="20"/>
        </w:rPr>
        <w:t xml:space="preserve"> Brak dostępnych badań dotyczących mobilności mieszaniny w glebie.</w:t>
      </w:r>
    </w:p>
    <w:p>
      <w:pPr>
        <w:spacing w:after="100" w:before="200"/>
      </w:pPr>
      <w:r>
        <w:rPr>
          <w:rFonts w:ascii="Arial" w:cs="Arial" w:eastAsia="Arial" w:hAnsi="Arial"/>
          <w:b/>
          <w:bCs/>
          <w:sz w:val="20"/>
          <w:szCs w:val="20"/>
        </w:rPr>
        <w:t xml:space="preserve">12.5. Wyniki oceny właściwości PBT i vPvB</w:t>
      </w:r>
    </w:p>
    <w:p>
      <w:pPr>
        <w:spacing w:after="80"/>
      </w:pPr>
      <w:r>
        <w:rPr>
          <w:rFonts w:ascii="Arial" w:cs="Arial" w:eastAsia="Arial" w:hAnsi="Arial"/>
          <w:sz w:val="20"/>
          <w:szCs w:val="20"/>
        </w:rPr>
        <w:t xml:space="preserve">Mieszanina nie zawiera substancji spełniających kryteria PBT lub vPvB zgodnie z załącznikiem XIII do rozporządzenia REACH w stężeniu ≥ 0,1% wag.</w:t>
      </w:r>
    </w:p>
    <w:p>
      <w:pPr>
        <w:spacing w:after="100" w:before="200"/>
      </w:pPr>
      <w:r>
        <w:rPr>
          <w:rFonts w:ascii="Arial" w:cs="Arial" w:eastAsia="Arial" w:hAnsi="Arial"/>
          <w:b/>
          <w:bCs/>
          <w:sz w:val="20"/>
          <w:szCs w:val="20"/>
        </w:rPr>
        <w:t xml:space="preserve">12.6. Właściwości zaburzające funkcjonowanie układu hormonalnego</w:t>
      </w:r>
    </w:p>
    <w:p>
      <w:pPr>
        <w:spacing w:after="80"/>
      </w:pPr>
      <w:r>
        <w:rPr>
          <w:rFonts w:ascii="Arial" w:cs="Arial" w:eastAsia="Arial" w:hAnsi="Arial"/>
          <w:sz w:val="20"/>
          <w:szCs w:val="20"/>
        </w:rPr>
        <w:t xml:space="preserve">Mieszanina nie zawiera substancji o właściwościach zaburzających funkcjonowanie układu hormonalnego w odniesieniu do środowiska w stężeniu ≥ 0,1% wag.</w:t>
      </w:r>
    </w:p>
    <w:p>
      <w:pPr>
        <w:spacing w:after="100" w:before="200"/>
      </w:pPr>
      <w:r>
        <w:rPr>
          <w:rFonts w:ascii="Arial" w:cs="Arial" w:eastAsia="Arial" w:hAnsi="Arial"/>
          <w:b/>
          <w:bCs/>
          <w:sz w:val="20"/>
          <w:szCs w:val="20"/>
        </w:rPr>
        <w:t xml:space="preserve">12.7. Inne szkodliwe skutki działania</w:t>
      </w:r>
    </w:p>
    <w:p>
      <w:pPr>
        <w:spacing w:after="80"/>
      </w:pPr>
      <w:r>
        <w:rPr>
          <w:rFonts w:ascii="Arial" w:cs="Arial" w:eastAsia="Arial" w:hAnsi="Arial"/>
          <w:sz w:val="20"/>
          <w:szCs w:val="20"/>
        </w:rPr>
        <w:t xml:space="preserve">Nie są znane żadne inne szkodliwe skutki działania na środowisko (brak potencjału niszczenia warstwy ozonowej, tworzenia ozonu fotochemicznego ani wpływu na globalne ocieplenie).</w:t>
      </w:r>
    </w:p>
    <w:p>
      <w:pPr>
        <w:pBdr>
          <w:bottom w:color="00A651" w:sz="12" w:space="1"/>
        </w:pBdr>
        <w:spacing w:after="150" w:before="300"/>
      </w:pPr>
      <w:r>
        <w:rPr>
          <w:b/>
          <w:bCs/>
          <w:sz w:val="22"/>
          <w:szCs w:val="22"/>
        </w:rPr>
        <w:t xml:space="preserve">SEKCJA 13: POSTĘPOWANIE Z ODPADAMI</w:t>
      </w:r>
    </w:p>
    <w:p>
      <w:pPr>
        <w:spacing w:after="100" w:before="200"/>
      </w:pPr>
      <w:r>
        <w:rPr>
          <w:rFonts w:ascii="Arial" w:cs="Arial" w:eastAsia="Arial" w:hAnsi="Arial"/>
          <w:b/>
          <w:bCs/>
          <w:sz w:val="20"/>
          <w:szCs w:val="20"/>
        </w:rPr>
        <w:t xml:space="preserve">13.1. Metody unieszkodliwiania odpadów</w:t>
      </w:r>
    </w:p>
    <w:p>
      <w:pPr>
        <w:spacing w:after="80" w:before="150"/>
      </w:pPr>
      <w:r>
        <w:rPr>
          <w:rFonts w:ascii="Arial" w:cs="Arial" w:eastAsia="Arial" w:hAnsi="Arial"/>
          <w:b/>
          <w:bCs/>
          <w:sz w:val="20"/>
          <w:szCs w:val="20"/>
        </w:rPr>
        <w:t xml:space="preserve">Zalecenia dotyczące produktu i pozostałości:</w:t>
      </w:r>
    </w:p>
    <w:p>
      <w:pPr>
        <w:spacing w:after="80"/>
      </w:pPr>
      <w:r>
        <w:rPr>
          <w:rFonts w:ascii="Arial" w:cs="Arial" w:eastAsia="Arial" w:hAnsi="Arial"/>
          <w:sz w:val="20"/>
          <w:szCs w:val="20"/>
        </w:rPr>
        <w:t xml:space="preserve">Odzyskać, jeśli to możliwe. Nie wprowadzać do kanalizacji, wód powierzchniowych, gruntowych ani gleby. Pozostałości produktu oraz odpady należy poddać odzyskowi lub unieszkodliwianiu w uprawnionych instalacjach (np. spalarniach termicznych lub wyspecjalizowanych zakładach utylizacji odpadów) posiadających stosowne zezwolenia na prowadzenie gospodarki odpadami zgodnie z obowiązującymi przepisami.</w:t>
      </w:r>
    </w:p>
    <w:p>
      <w:pPr>
        <w:spacing w:after="80" w:before="150"/>
      </w:pPr>
      <w:r>
        <w:rPr>
          <w:rFonts w:ascii="Arial" w:cs="Arial" w:eastAsia="Arial" w:hAnsi="Arial"/>
          <w:b/>
          <w:bCs/>
          <w:sz w:val="20"/>
          <w:szCs w:val="20"/>
        </w:rPr>
        <w:t xml:space="preserve">Zalecenia dotyczące odpadów opakowaniowych:</w:t>
      </w:r>
    </w:p>
    <w:p>
      <w:pPr>
        <w:spacing w:after="80"/>
      </w:pPr>
      <w:r>
        <w:rPr>
          <w:rFonts w:ascii="Arial" w:cs="Arial" w:eastAsia="Arial" w:hAnsi="Arial"/>
          <w:sz w:val="20"/>
          <w:szCs w:val="20"/>
        </w:rPr>
        <w:t xml:space="preserve">Całkowicie opróżnione opakowania poddać procesowi odzysku lub recyklingu materiałowego w ramach selektywnej zbiórki odpadów. Opakowania zanieczyszczone pozostałościami produktu traktować zgodnie z ich stopniem skażenia – w przypadku substancji niebezpiecznych likwidować jak sam produkt u uprawnionego odbiorcy odpadów.</w:t>
      </w:r>
    </w:p>
    <w:p>
      <w:pPr>
        <w:spacing w:after="80" w:before="150"/>
      </w:pPr>
      <w:r>
        <w:rPr>
          <w:rFonts w:ascii="Arial" w:cs="Arial" w:eastAsia="Arial" w:hAnsi="Arial"/>
          <w:b/>
          <w:bCs/>
          <w:sz w:val="20"/>
          <w:szCs w:val="20"/>
        </w:rPr>
        <w:t xml:space="preserve">Klasyfikacja i kody odpadów (Katalog Odpadów Dz.U. 2020 poz. 10):</w:t>
      </w:r>
    </w:p>
    <w:p>
      <w:pPr>
        <w:spacing w:after="60" w:before="60"/>
      </w:pPr>
      <w:r>
        <w:rPr>
          <w:rFonts w:ascii="Arial" w:cs="Arial" w:eastAsia="Arial" w:hAnsi="Arial"/>
          <w:b/>
          <w:bCs/>
          <w:sz w:val="20"/>
          <w:szCs w:val="20"/>
        </w:rPr>
        <w:t xml:space="preserve">- Odpady z produktu (dla zastosowań profesjonalnych / przemysłowych):</w:t>
      </w:r>
      <w:r>
        <w:rPr>
          <w:rFonts w:ascii="Arial" w:cs="Arial" w:eastAsia="Arial" w:hAnsi="Arial"/>
          <w:sz w:val="20"/>
          <w:szCs w:val="20"/>
        </w:rPr>
        <w:t xml:space="preserve"> 16 03 05* (Organiczne odpady zawierające substancje niebezpieczne) lub 16 05 08* (Zużyte chemikalia zawierające substancje niebezpieczne).</w:t>
      </w:r>
    </w:p>
    <w:p>
      <w:pPr>
        <w:spacing w:after="60" w:before="60"/>
      </w:pPr>
      <w:r>
        <w:rPr>
          <w:rFonts w:ascii="Arial" w:cs="Arial" w:eastAsia="Arial" w:hAnsi="Arial"/>
          <w:b/>
          <w:bCs/>
          <w:sz w:val="20"/>
          <w:szCs w:val="20"/>
        </w:rPr>
        <w:t xml:space="preserve">- Odpady z produktu (dla konsumentów / odpady komunalne):</w:t>
      </w:r>
      <w:r>
        <w:rPr>
          <w:rFonts w:ascii="Arial" w:cs="Arial" w:eastAsia="Arial" w:hAnsi="Arial"/>
          <w:sz w:val="20"/>
          <w:szCs w:val="20"/>
        </w:rPr>
        <w:t xml:space="preserve"> 20 01 29* (Detergenty zawierające substancje niebezpieczne) lub 20 01 27*.</w:t>
      </w:r>
    </w:p>
    <w:p>
      <w:pPr>
        <w:spacing w:after="60" w:before="60"/>
      </w:pPr>
      <w:r>
        <w:rPr>
          <w:rFonts w:ascii="Arial" w:cs="Arial" w:eastAsia="Arial" w:hAnsi="Arial"/>
          <w:b/>
          <w:bCs/>
          <w:sz w:val="20"/>
          <w:szCs w:val="20"/>
        </w:rPr>
        <w:t xml:space="preserve">- Odpady opakowaniowe:</w:t>
      </w:r>
      <w:r>
        <w:rPr>
          <w:rFonts w:ascii="Arial" w:cs="Arial" w:eastAsia="Arial" w:hAnsi="Arial"/>
          <w:sz w:val="20"/>
          <w:szCs w:val="20"/>
        </w:rPr>
        <w:t xml:space="preserve"> 15 01 02 (Opakowania z tworzyw sztucznych) [w przypadku opakowań zanieczyszczonych substancjami niebezpiecznymi: 15 01 10*].</w:t>
      </w:r>
    </w:p>
    <w:p>
      <w:pPr>
        <w:spacing w:after="80" w:before="80"/>
      </w:pPr>
      <w:r>
        <w:rPr>
          <w:rFonts w:ascii="Arial" w:cs="Arial" w:eastAsia="Arial" w:hAnsi="Arial"/>
          <w:b/>
          <w:bCs/>
          <w:sz w:val="20"/>
          <w:szCs w:val="20"/>
        </w:rPr>
        <w:t xml:space="preserve">Uwaga:</w:t>
      </w:r>
      <w:r>
        <w:rPr>
          <w:rFonts w:ascii="Arial" w:cs="Arial" w:eastAsia="Arial" w:hAnsi="Arial"/>
          <w:sz w:val="20"/>
          <w:szCs w:val="20"/>
        </w:rPr>
        <w:t xml:space="preserve"> Podane kody odpadów mają charakter zalecany. Szczegółowy i ostateczny kod odpadu musi zostać nadany bezpośrednio przez wytwórcę odpadu, w oparciu o miejsce, branżę i specyfikę jego powstawania (BDO).</w:t>
      </w:r>
    </w:p>
    <w:p>
      <w:pPr>
        <w:spacing w:after="80" w:before="150"/>
      </w:pPr>
      <w:r>
        <w:rPr>
          <w:rFonts w:ascii="Arial" w:cs="Arial" w:eastAsia="Arial" w:hAnsi="Arial"/>
          <w:b/>
          <w:bCs/>
          <w:sz w:val="20"/>
          <w:szCs w:val="20"/>
        </w:rPr>
        <w:t xml:space="preserve">Krajowe i unijne akty prawne dotyczące gospodarki odpadami:</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Dyrektywa Parlamentu Europejskiego i Rady 2008/98/WE z dnia 19 listopada 2008 r. w sprawie odpadów oraz uchylająca niektóre dyrektywy.</w:t>
      </w:r>
    </w:p>
    <w:p>
      <w:pPr>
        <w:pBdr>
          <w:bottom w:color="00A651" w:sz="12" w:space="1"/>
        </w:pBdr>
        <w:spacing w:after="150" w:before="300"/>
      </w:pPr>
      <w:r>
        <w:rPr>
          <w:b/>
          <w:bCs/>
          <w:sz w:val="22"/>
          <w:szCs w:val="22"/>
        </w:rPr>
        <w:t xml:space="preserve">SEKCJA 14: INFORMACJE DOTYCZĄCE TRANSPORTU</w:t>
      </w:r>
    </w:p>
    <w:p>
      <w:pPr>
        <w:spacing w:after="80"/>
      </w:pPr>
      <w:r>
        <w:rPr>
          <w:rFonts w:ascii="Arial" w:cs="Arial" w:eastAsia="Arial" w:hAnsi="Arial"/>
          <w:sz w:val="20"/>
          <w:szCs w:val="20"/>
        </w:rPr>
        <w:t xml:space="preserve">Produkt podlega przepisom dotyczącym międzynarodowego przewozu towarów niebezpiecznych (ADR/RID, IMDG, ICAO/IATA).</w:t>
      </w:r>
    </w:p>
    <w:p>
      <w:pPr>
        <w:spacing w:after="100" w:before="200"/>
      </w:pPr>
      <w:r>
        <w:rPr>
          <w:rFonts w:ascii="Arial" w:cs="Arial" w:eastAsia="Arial" w:hAnsi="Arial"/>
          <w:b/>
          <w:bCs/>
          <w:sz w:val="20"/>
          <w:szCs w:val="20"/>
        </w:rPr>
        <w:t xml:space="preserve">14.1. Numer UN lub numer identyfikacyjny ID</w:t>
      </w:r>
    </w:p>
    <w:p>
      <w:pPr>
        <w:spacing w:after="80"/>
      </w:pPr>
      <w:r>
        <w:rPr>
          <w:rFonts w:ascii="Arial" w:cs="Arial" w:eastAsia="Arial" w:hAnsi="Arial"/>
          <w:sz w:val="20"/>
          <w:szCs w:val="20"/>
        </w:rPr>
        <w:t xml:space="preserve">UN 1170</w:t>
      </w:r>
    </w:p>
    <w:p>
      <w:pPr>
        <w:spacing w:after="100" w:before="200"/>
      </w:pPr>
      <w:r>
        <w:rPr>
          <w:rFonts w:ascii="Arial" w:cs="Arial" w:eastAsia="Arial" w:hAnsi="Arial"/>
          <w:b/>
          <w:bCs/>
          <w:sz w:val="20"/>
          <w:szCs w:val="20"/>
        </w:rPr>
        <w:t xml:space="preserve">14.2. Prawidłowa nazwa przewozowa UN</w:t>
      </w:r>
    </w:p>
    <w:p>
      <w:pPr>
        <w:spacing w:after="80"/>
      </w:pPr>
      <w:r>
        <w:rPr>
          <w:rFonts w:ascii="Arial" w:cs="Arial" w:eastAsia="Arial" w:hAnsi="Arial"/>
          <w:sz w:val="20"/>
          <w:szCs w:val="20"/>
        </w:rPr>
        <w:t xml:space="preserve">ETANOL (ALKOHOL ETYLOWY) lub ETANOL W ROZTWORZE (ALKOHOL ETYLOWY W ROZTWORZE)</w:t>
      </w:r>
    </w:p>
    <w:p>
      <w:pPr>
        <w:spacing w:after="80" w:before="200"/>
      </w:pPr>
      <w:r>
        <w:rPr>
          <w:rFonts w:ascii="Arial" w:cs="Arial" w:eastAsia="Arial" w:hAnsi="Arial"/>
          <w:b/>
          <w:bCs/>
          <w:sz w:val="20"/>
          <w:szCs w:val="20"/>
        </w:rPr>
        <w:t xml:space="preserve">14.3. Klasa(-y) zagrożenia w transporcie</w:t>
      </w:r>
    </w:p>
    <w:p>
      <w:pPr>
        <w:spacing w:after="100" w:before="60"/>
      </w:pP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14375" cy="714375"/>
                    </a:xfrm>
                    <a:prstGeom prst="rect">
                      <a:avLst/>
                    </a:prstGeom>
                  </pic:spPr>
                </pic:pic>
              </a:graphicData>
            </a:graphic>
          </wp:inline>
        </w:drawing>
      </w:r>
    </w:p>
    <w:p>
      <w:pPr>
        <w:spacing w:after="80"/>
      </w:pPr>
      <w:r>
        <w:rPr>
          <w:rFonts w:ascii="Arial" w:cs="Arial" w:eastAsia="Arial" w:hAnsi="Arial"/>
          <w:sz w:val="20"/>
          <w:szCs w:val="20"/>
        </w:rPr>
        <w:t xml:space="preserve">ADR / RID, IMDG, IATA: Klasa 3 (Materiały ciekłe zapalne)</w:t>
      </w:r>
    </w:p>
    <w:p>
      <w:pPr>
        <w:spacing w:after="80" w:before="80"/>
      </w:pPr>
      <w:r>
        <w:rPr>
          <w:rFonts w:ascii="Arial" w:cs="Arial" w:eastAsia="Arial" w:hAnsi="Arial"/>
          <w:b/>
          <w:bCs/>
          <w:sz w:val="20"/>
          <w:szCs w:val="20"/>
        </w:rPr>
        <w:t xml:space="preserve">Nalepka ostrzegawcza:</w:t>
      </w:r>
      <w:r>
        <w:rPr>
          <w:rFonts w:ascii="Arial" w:cs="Arial" w:eastAsia="Arial" w:hAnsi="Arial"/>
          <w:sz w:val="20"/>
          <w:szCs w:val="20"/>
        </w:rPr>
        <w:t xml:space="preserve"> Nr 3</w:t>
      </w:r>
    </w:p>
    <w:p>
      <w:pPr>
        <w:spacing w:after="100" w:before="200"/>
      </w:pPr>
      <w:r>
        <w:rPr>
          <w:rFonts w:ascii="Arial" w:cs="Arial" w:eastAsia="Arial" w:hAnsi="Arial"/>
          <w:b/>
          <w:bCs/>
          <w:sz w:val="20"/>
          <w:szCs w:val="20"/>
        </w:rPr>
        <w:t xml:space="preserve">14.4. Grupa pakowania</w:t>
      </w:r>
    </w:p>
    <w:p>
      <w:pPr>
        <w:spacing w:after="80"/>
      </w:pPr>
      <w:r>
        <w:rPr>
          <w:rFonts w:ascii="Arial" w:cs="Arial" w:eastAsia="Arial" w:hAnsi="Arial"/>
          <w:sz w:val="20"/>
          <w:szCs w:val="20"/>
        </w:rPr>
        <w:t xml:space="preserve">Grupa pakowania ADR / RID, IMDG, IATA:II</w:t>
      </w:r>
    </w:p>
    <w:p>
      <w:pPr>
        <w:spacing w:after="100" w:before="200"/>
      </w:pPr>
      <w:r>
        <w:rPr>
          <w:rFonts w:ascii="Arial" w:cs="Arial" w:eastAsia="Arial" w:hAnsi="Arial"/>
          <w:b/>
          <w:bCs/>
          <w:sz w:val="20"/>
          <w:szCs w:val="20"/>
        </w:rPr>
        <w:t xml:space="preserve">14.5. Zagrożenia dla środowiska</w:t>
      </w:r>
    </w:p>
    <w:p>
      <w:pPr>
        <w:spacing w:after="80"/>
      </w:pPr>
      <w:r>
        <w:rPr>
          <w:rFonts w:ascii="Arial" w:cs="Arial" w:eastAsia="Arial" w:hAnsi="Arial"/>
          <w:sz w:val="20"/>
          <w:szCs w:val="20"/>
        </w:rPr>
        <w:t xml:space="preserve">Brak (produkt nie jest zaklasyfikowany jako stwarzający zagrożenie dla środowiska w transporcie).</w:t>
      </w:r>
    </w:p>
    <w:p>
      <w:pPr>
        <w:spacing w:after="100" w:before="200"/>
      </w:pPr>
      <w:r>
        <w:rPr>
          <w:rFonts w:ascii="Arial" w:cs="Arial" w:eastAsia="Arial" w:hAnsi="Arial"/>
          <w:b/>
          <w:bCs/>
          <w:sz w:val="20"/>
          <w:szCs w:val="20"/>
        </w:rPr>
        <w:t xml:space="preserve">14.6. Szczególne środki ostrożności dla użytkowników</w:t>
      </w:r>
    </w:p>
    <w:p>
      <w:pPr>
        <w:spacing w:after="60" w:before="80"/>
      </w:pPr>
      <w:r>
        <w:rPr>
          <w:rFonts w:ascii="Arial" w:cs="Arial" w:eastAsia="Arial" w:hAnsi="Arial"/>
          <w:b/>
          <w:bCs/>
          <w:sz w:val="20"/>
          <w:szCs w:val="20"/>
        </w:rPr>
        <w:t xml:space="preserve">Ilości ograniczone (LQ):</w:t>
      </w:r>
      <w:r>
        <w:rPr>
          <w:rFonts w:ascii="Arial" w:cs="Arial" w:eastAsia="Arial" w:hAnsi="Arial"/>
          <w:sz w:val="20"/>
          <w:szCs w:val="20"/>
        </w:rPr>
        <w:t xml:space="preserve"> 1 L</w:t>
      </w:r>
    </w:p>
    <w:p>
      <w:pPr>
        <w:spacing w:after="80" w:before="4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 cy="666750"/>
                    </a:xfrm>
                    <a:prstGeom prst="rect">
                      <a:avLst/>
                    </a:prstGeom>
                  </pic:spPr>
                </pic:pic>
              </a:graphicData>
            </a:graphic>
          </wp:inline>
        </w:drawing>
      </w:r>
      <w:r>
        <w:rPr>
          <w:rFonts w:ascii="Arial" w:cs="Arial" w:eastAsia="Arial" w:hAnsi="Arial"/>
          <w:i/>
          <w:iCs/>
          <w:sz w:val="16"/>
          <w:szCs w:val="16"/>
        </w:rPr>
        <w:t xml:space="preserve">  Znak dla towarów pakowanych w ilościach ograniczonych (LQ) zgodnie z działem 3.4 Umowy ADR</w:t>
      </w:r>
    </w:p>
    <w:p>
      <w:pPr>
        <w:spacing w:after="80" w:before="80"/>
      </w:pPr>
      <w:r>
        <w:rPr>
          <w:rFonts w:ascii="Arial" w:cs="Arial" w:eastAsia="Arial" w:hAnsi="Arial"/>
          <w:b/>
          <w:bCs/>
          <w:sz w:val="20"/>
          <w:szCs w:val="20"/>
        </w:rPr>
        <w:t xml:space="preserve">Kod ograniczeń przewozu przez tunele:</w:t>
      </w:r>
      <w:r>
        <w:rPr>
          <w:rFonts w:ascii="Arial" w:cs="Arial" w:eastAsia="Arial" w:hAnsi="Arial"/>
          <w:sz w:val="20"/>
          <w:szCs w:val="20"/>
        </w:rPr>
        <w:t xml:space="preserve"> (D/E)</w:t>
      </w:r>
    </w:p>
    <w:p>
      <w:pPr>
        <w:spacing w:after="80"/>
      </w:pPr>
      <w:r>
        <w:rPr>
          <w:rFonts w:ascii="Arial" w:cs="Arial" w:eastAsia="Arial" w:hAnsi="Arial"/>
          <w:sz w:val="20"/>
          <w:szCs w:val="20"/>
        </w:rPr>
        <w:t xml:space="preserve">Transportować w szczelnie zamkniętych, certyfikowanych opakowaniach, zabezpieczonych przed przemieszczaniem i uszkodzeniami mechanicznymi.</w:t>
      </w:r>
    </w:p>
    <w:p>
      <w:pPr>
        <w:spacing w:after="80"/>
      </w:pPr>
      <w:r>
        <w:rPr>
          <w:rFonts w:ascii="Arial" w:cs="Arial" w:eastAsia="Arial" w:hAnsi="Arial"/>
          <w:sz w:val="20"/>
          <w:szCs w:val="20"/>
        </w:rPr>
        <w:t xml:space="preserve">Kierowca powinien posiadać stosowne uprawnienia ADR oraz wymagane wyposażenie ochronne pojazdu.</w:t>
      </w:r>
    </w:p>
    <w:p>
      <w:pPr>
        <w:spacing w:after="100" w:before="200"/>
      </w:pPr>
      <w:r>
        <w:rPr>
          <w:rFonts w:ascii="Arial" w:cs="Arial" w:eastAsia="Arial" w:hAnsi="Arial"/>
          <w:b/>
          <w:bCs/>
          <w:sz w:val="20"/>
          <w:szCs w:val="20"/>
        </w:rPr>
        <w:t xml:space="preserve">14.7. Transport morski luzem zgodnie z instrumentami IMO</w:t>
      </w:r>
    </w:p>
    <w:p>
      <w:pPr>
        <w:spacing w:after="80"/>
      </w:pPr>
      <w:r>
        <w:rPr>
          <w:rFonts w:ascii="Arial" w:cs="Arial" w:eastAsia="Arial" w:hAnsi="Arial"/>
          <w:sz w:val="20"/>
          <w:szCs w:val="20"/>
        </w:rPr>
        <w:t xml:space="preserve">Nie dotyczy (produkt nie jest przewożony luzem w chemikaliowcach morskich).</w:t>
      </w:r>
    </w:p>
    <w:p>
      <w:pPr>
        <w:pBdr>
          <w:bottom w:color="00A651" w:sz="12" w:space="1"/>
        </w:pBdr>
        <w:spacing w:after="150" w:before="300"/>
      </w:pPr>
      <w:r>
        <w:rPr>
          <w:b/>
          <w:bCs/>
          <w:sz w:val="22"/>
          <w:szCs w:val="22"/>
        </w:rPr>
        <w:t xml:space="preserve">SEKCJA 15: INFORMACJE DOTYCZĄCE PRZEPISÓW PRAWNYCH</w:t>
      </w:r>
    </w:p>
    <w:p>
      <w:pPr>
        <w:spacing w:after="100" w:before="200"/>
      </w:pPr>
      <w:r>
        <w:rPr>
          <w:rFonts w:ascii="Arial" w:cs="Arial" w:eastAsia="Arial" w:hAnsi="Arial"/>
          <w:b/>
          <w:bCs/>
          <w:sz w:val="20"/>
          <w:szCs w:val="20"/>
        </w:rPr>
        <w:t xml:space="preserve">15.1. Przepisy prawne dotyczące bezpieczeństwa, zdrowia i ochrony środowiska specyficzne dla substancji lub mieszaniny</w:t>
      </w:r>
    </w:p>
    <w:p>
      <w:pPr>
        <w:spacing w:after="80" w:before="150"/>
      </w:pPr>
      <w:r>
        <w:rPr>
          <w:rFonts w:ascii="Arial" w:cs="Arial" w:eastAsia="Arial" w:hAnsi="Arial"/>
          <w:b/>
          <w:bCs/>
          <w:sz w:val="20"/>
          <w:szCs w:val="20"/>
        </w:rPr>
        <w:t xml:space="preserve">Prawodawstwo Unii Europejskiej:</w:t>
      </w:r>
    </w:p>
    <w:p>
      <w:pPr>
        <w:spacing w:after="80"/>
      </w:pPr>
      <w:r>
        <w:rPr>
          <w:rFonts w:ascii="Arial" w:cs="Arial" w:eastAsia="Arial" w:hAnsi="Arial"/>
          <w:sz w:val="20"/>
          <w:szCs w:val="20"/>
        </w:rPr>
        <w:t xml:space="preserve">- Rozporządzenie (WE) nr 1907/2006 Parlamentu Europejskiego i Rady z dnia 18 grudnia 2006 r. w sprawie rejestracji, oceny, udzielania zezwoleń i stosowanych ograniczeń w zakresie chemikaliów (REACH) z późniejszymi zmianami.</w:t>
      </w:r>
    </w:p>
    <w:p>
      <w:pPr>
        <w:spacing w:after="80"/>
      </w:pPr>
      <w:r>
        <w:rPr>
          <w:rFonts w:ascii="Arial" w:cs="Arial" w:eastAsia="Arial" w:hAnsi="Arial"/>
          <w:sz w:val="20"/>
          <w:szCs w:val="20"/>
        </w:rPr>
        <w:t xml:space="preserve">- Rozporządzenie Komisji (UE) 2020/878 z dnia 18 czerwca 2020 r. zmieniające załącznik II do rozporządzenia (WE) nr 1907/2006 (wymogi dotyczące sporządzania kart charakterystyki).</w:t>
      </w:r>
    </w:p>
    <w:p>
      <w:pPr>
        <w:spacing w:after="80"/>
      </w:pPr>
      <w:r>
        <w:rPr>
          <w:rFonts w:ascii="Arial" w:cs="Arial" w:eastAsia="Arial" w:hAnsi="Arial"/>
          <w:sz w:val="20"/>
          <w:szCs w:val="20"/>
        </w:rPr>
        <w:t xml:space="preserve">- Rozporządzenie Parlamentu Europejskiego i Rady (WE) nr 1272/2008 z dnia 16 grudnia 2008 r. w sprawie klasyfikacji, oznakowania i pakowania substancji i mieszanin (CLP) z późniejszymi zmianami (kolejne ATP).</w:t>
      </w:r>
    </w:p>
    <w:p>
      <w:pPr>
        <w:spacing w:after="60" w:before="60"/>
      </w:pPr>
      <w:r>
        <w:rPr>
          <w:rFonts w:ascii="Arial" w:cs="Arial" w:eastAsia="Arial" w:hAnsi="Arial"/>
          <w:b/>
          <w:bCs/>
          <w:sz w:val="20"/>
          <w:szCs w:val="20"/>
        </w:rPr>
        <w:t xml:space="preserve">- Substancje wzbudzające szczególnie duże obawy (SVHC – REACH załącznik XIV):</w:t>
      </w:r>
      <w:r>
        <w:rPr>
          <w:rFonts w:ascii="Arial" w:cs="Arial" w:eastAsia="Arial" w:hAnsi="Arial"/>
          <w:sz w:val="20"/>
          <w:szCs w:val="20"/>
        </w:rPr>
        <w:t xml:space="preserve"> Mieszanina nie zawiera substancji z listy kandydackiej SVHC podlegających procedurze udzielania zezwoleń (REACH załącznik XIV) w stężeniu ≥ 0,1% wag.</w:t>
      </w:r>
    </w:p>
    <w:p>
      <w:pPr>
        <w:spacing w:after="60" w:before="60"/>
      </w:pPr>
      <w:r>
        <w:rPr>
          <w:rFonts w:ascii="Arial" w:cs="Arial" w:eastAsia="Arial" w:hAnsi="Arial"/>
          <w:b/>
          <w:bCs/>
          <w:sz w:val="20"/>
          <w:szCs w:val="20"/>
        </w:rPr>
        <w:t xml:space="preserve">- Ograniczenia dotyczące produkcji, wprowadzania do obrotu i stosowania niektórych niebezpiecznych substancji (REACH załącznik XVII):</w:t>
      </w:r>
      <w:r>
        <w:rPr>
          <w:rFonts w:ascii="Arial" w:cs="Arial" w:eastAsia="Arial" w:hAnsi="Arial"/>
          <w:sz w:val="20"/>
          <w:szCs w:val="20"/>
        </w:rPr>
        <w:t xml:space="preserve"/>
      </w:r>
    </w:p>
    <w:p>
      <w:pPr>
        <w:spacing w:after="80"/>
      </w:pPr>
      <w:r>
        <w:rPr>
          <w:rFonts w:ascii="Arial" w:cs="Arial" w:eastAsia="Arial" w:hAnsi="Arial"/>
          <w:sz w:val="20"/>
          <w:szCs w:val="20"/>
        </w:rPr>
        <w:t xml:space="preserve">* Produkt podlega ograniczeniom wynikającym z pozycji 3 (Ciekłe substancje lub mieszaniny stwarzające zagrożenie w rozumieniu rozporządzenia CLP) oraz pozycji 40 (Substancje zaklasyfikowane jako ciecze łatwopalne kategorii 1, 2 lub 3).</w:t>
      </w:r>
    </w:p>
    <w:p>
      <w:pPr>
        <w:spacing w:after="80"/>
      </w:pPr>
      <w:r>
        <w:rPr>
          <w:rFonts w:ascii="Arial" w:cs="Arial" w:eastAsia="Arial" w:hAnsi="Arial"/>
          <w:sz w:val="20"/>
          <w:szCs w:val="20"/>
        </w:rPr>
        <w:t xml:space="preserve">* Substancje zawarte w mieszaninie podlegają ograniczeniom wynikającym z pozycji 75 (Substancje w tuszach do tatuażu i makijażu permanentnego).</w:t>
      </w:r>
    </w:p>
    <w:p>
      <w:pPr>
        <w:spacing w:after="60" w:before="60"/>
      </w:pPr>
      <w:r>
        <w:rPr>
          <w:rFonts w:ascii="Arial" w:cs="Arial" w:eastAsia="Arial" w:hAnsi="Arial"/>
          <w:b/>
          <w:bCs/>
          <w:sz w:val="20"/>
          <w:szCs w:val="20"/>
        </w:rPr>
        <w:t xml:space="preserve">- Dyrektywa Seveso III (2012/18/UE) / Rozporządzenie Ministra Rozwoju z dnia 29 stycznia 2016 r. (Dz.U. 2016 poz. 138):</w:t>
      </w: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 Kategoria zagrożenia:</w:t>
      </w:r>
      <w:r>
        <w:rPr>
          <w:rFonts w:ascii="Arial" w:cs="Arial" w:eastAsia="Arial" w:hAnsi="Arial"/>
          <w:sz w:val="20"/>
          <w:szCs w:val="20"/>
        </w:rPr>
        <w:t xml:space="preserve"> P5c CIECZE ŁATWOPALNE.</w:t>
      </w:r>
    </w:p>
    <w:p>
      <w:pPr>
        <w:spacing w:after="60" w:before="60"/>
      </w:pPr>
      <w:r>
        <w:rPr>
          <w:rFonts w:ascii="Arial" w:cs="Arial" w:eastAsia="Arial" w:hAnsi="Arial"/>
          <w:b/>
          <w:bCs/>
          <w:sz w:val="20"/>
          <w:szCs w:val="20"/>
        </w:rPr>
        <w:t xml:space="preserve">* Ilości progowe substancji niebezpiecznych decydujące o zaliczeniu zakładu:</w:t>
      </w:r>
      <w:r>
        <w:rPr>
          <w:rFonts w:ascii="Arial" w:cs="Arial" w:eastAsia="Arial" w:hAnsi="Arial"/>
          <w:sz w:val="20"/>
          <w:szCs w:val="20"/>
        </w:rPr>
        <w:t xml:space="preserve"> Zakład o Zwiększonym Ryzyku (ZZR) – 5 000 t; Zakład o Dużym Ryzyku (ZDR) – 50 000 t.</w:t>
      </w:r>
    </w:p>
    <w:p>
      <w:pPr>
        <w:spacing w:after="60" w:before="60"/>
      </w:pPr>
      <w:r>
        <w:rPr>
          <w:rFonts w:ascii="Arial" w:cs="Arial" w:eastAsia="Arial" w:hAnsi="Arial"/>
          <w:b/>
          <w:bCs/>
          <w:sz w:val="20"/>
          <w:szCs w:val="20"/>
        </w:rPr>
        <w:t xml:space="preserve">- Rozporządzenie Parlamentu Europejskiego i Rady (UE) nr 649/2012 z dnia 4 lipca 2012 r. dotyczące wywozu i przywozu niebezpiecznych chemikaliów (PIC):</w:t>
      </w:r>
      <w:r>
        <w:rPr>
          <w:rFonts w:ascii="Arial" w:cs="Arial" w:eastAsia="Arial" w:hAnsi="Arial"/>
          <w:sz w:val="20"/>
          <w:szCs w:val="20"/>
        </w:rPr>
        <w:t xml:space="preserve"> Nie dotyczy.</w:t>
      </w:r>
    </w:p>
    <w:p>
      <w:pPr>
        <w:spacing w:after="80" w:before="150"/>
      </w:pPr>
      <w:r>
        <w:rPr>
          <w:rFonts w:ascii="Arial" w:cs="Arial" w:eastAsia="Arial" w:hAnsi="Arial"/>
          <w:b/>
          <w:bCs/>
          <w:sz w:val="20"/>
          <w:szCs w:val="20"/>
        </w:rPr>
        <w:t xml:space="preserve">Prawodawstwo Rzeczypospolitej Polskiej:</w:t>
      </w:r>
    </w:p>
    <w:p>
      <w:pPr>
        <w:spacing w:after="80"/>
      </w:pPr>
      <w:r>
        <w:rPr>
          <w:rFonts w:ascii="Arial" w:cs="Arial" w:eastAsia="Arial" w:hAnsi="Arial"/>
          <w:sz w:val="20"/>
          <w:szCs w:val="20"/>
        </w:rPr>
        <w:t xml:space="preserve">- Ustawa z dnia 25 lutego 2011 r. o substancjach chemicznych i ich mieszaninach (t.j. Dz.U. 2022 poz. 1816 z późn. zm.).</w:t>
      </w:r>
    </w:p>
    <w:p>
      <w:pPr>
        <w:spacing w:after="80"/>
      </w:pPr>
      <w:r>
        <w:rPr>
          <w:rFonts w:ascii="Arial" w:cs="Arial" w:eastAsia="Arial" w:hAnsi="Arial"/>
          <w:sz w:val="20"/>
          <w:szCs w:val="20"/>
        </w:rPr>
        <w:t xml:space="preserve">- Rozporządzenie Ministra Rodziny, Pracy i Polityki Społecznej z dnia 12 czerwca 2018 r. w sprawie najwyższych dopuszczalnych stężeń i natężeń czynników szkodliwych dla zdrowia w środowisku pracy (Dz.U. 2018 poz. 1286 z późn. zm.).</w:t>
      </w:r>
    </w:p>
    <w:p>
      <w:pPr>
        <w:spacing w:after="80"/>
      </w:pPr>
      <w:r>
        <w:rPr>
          <w:rFonts w:ascii="Arial" w:cs="Arial" w:eastAsia="Arial" w:hAnsi="Arial"/>
          <w:sz w:val="20"/>
          <w:szCs w:val="20"/>
        </w:rPr>
        <w:t xml:space="preserve">- Ustawa z dnia 14 grudnia 2012 r. o odpadach (t.j. Dz.U. 2023 poz. 1587 z późn. zm.).</w:t>
      </w:r>
    </w:p>
    <w:p>
      <w:pPr>
        <w:spacing w:after="80"/>
      </w:pPr>
      <w:r>
        <w:rPr>
          <w:rFonts w:ascii="Arial" w:cs="Arial" w:eastAsia="Arial" w:hAnsi="Arial"/>
          <w:sz w:val="20"/>
          <w:szCs w:val="20"/>
        </w:rPr>
        <w:t xml:space="preserve">- Ustawa z dnia 13 czerwca 2013 r. o gospodarce opakowaniami i odpadami opakowaniowymi (t.j. Dz.U. 2023 poz. 1658 z późn. zm.).</w:t>
      </w:r>
    </w:p>
    <w:p>
      <w:pPr>
        <w:spacing w:after="80"/>
      </w:pPr>
      <w:r>
        <w:rPr>
          <w:rFonts w:ascii="Arial" w:cs="Arial" w:eastAsia="Arial" w:hAnsi="Arial"/>
          <w:sz w:val="20"/>
          <w:szCs w:val="20"/>
        </w:rPr>
        <w:t xml:space="preserve">- Rozporządzenie Ministra Klimatu z dnia 2 stycznia 2020 r. w sprawie katalogu odpadów (Dz.U. 2020 poz. 10).</w:t>
      </w:r>
    </w:p>
    <w:p>
      <w:pPr>
        <w:spacing w:after="80"/>
      </w:pPr>
      <w:r>
        <w:rPr>
          <w:rFonts w:ascii="Arial" w:cs="Arial" w:eastAsia="Arial" w:hAnsi="Arial"/>
          <w:sz w:val="20"/>
          <w:szCs w:val="20"/>
        </w:rPr>
        <w:t xml:space="preserve">- Ustawa z dnia 19 sierpnia 2011 r. o przewozie towarów niebezpiecznych (t.j. Dz.U. 2024 poz. 643 z późn. zm.) wraz z oświadczeniami rządowymi w sprawie Umowy europejskiej dotyczącej międzynarodowego przewozu drogowego towarów niebezpiecznych (ADR).</w:t>
      </w:r>
    </w:p>
    <w:p>
      <w:pPr>
        <w:spacing w:after="80"/>
      </w:pPr>
      <w:r>
        <w:rPr>
          <w:rFonts w:ascii="Arial" w:cs="Arial" w:eastAsia="Arial" w:hAnsi="Arial"/>
          <w:sz w:val="20"/>
          <w:szCs w:val="20"/>
        </w:rPr>
        <w:t xml:space="preserve">- Rozporządzenie Ministra Zdrowia z dnia 30 grudnia 2004 r. w sprawie bezpieczeństwa i higieny pracy związanej z występowaniem w miejscu pracy czynników chemicznych (t.j. Dz.U. 2016 poz. 1488).</w:t>
      </w:r>
    </w:p>
    <w:p>
      <w:pPr>
        <w:spacing w:after="80"/>
      </w:pPr>
      <w:r>
        <w:rPr>
          <w:rFonts w:ascii="Arial" w:cs="Arial" w:eastAsia="Arial" w:hAnsi="Arial"/>
          <w:sz w:val="20"/>
          <w:szCs w:val="20"/>
        </w:rPr>
        <w:t xml:space="preserve">- Rozporządzenie Ministra Zdrowia z dnia 2 lutego 2011 r. w sprawie badań i pomiarów czynników szkodliwych dla zdrowia w środowisku pracy (t.j. Dz.U. 2023 poz. 419).</w:t>
      </w:r>
    </w:p>
    <w:p>
      <w:pPr>
        <w:spacing w:after="80"/>
      </w:pPr>
      <w:r>
        <w:rPr>
          <w:rFonts w:ascii="Arial" w:cs="Arial" w:eastAsia="Arial" w:hAnsi="Arial"/>
          <w:sz w:val="20"/>
          <w:szCs w:val="20"/>
        </w:rPr>
        <w:t xml:space="preserve">- Ustawa z dnia 26 czerwca 1974 r. – Kodeks pracy (t.j. Dz.U. 2023 poz. 1465 z późn. zm.).</w:t>
      </w:r>
    </w:p>
    <w:p>
      <w:pPr>
        <w:spacing w:after="100" w:before="200"/>
      </w:pPr>
      <w:r>
        <w:rPr>
          <w:rFonts w:ascii="Arial" w:cs="Arial" w:eastAsia="Arial" w:hAnsi="Arial"/>
          <w:b/>
          <w:bCs/>
          <w:sz w:val="20"/>
          <w:szCs w:val="20"/>
        </w:rPr>
        <w:t xml:space="preserve">15.2. Ocena bezpieczeństwa chemicznego</w:t>
      </w:r>
    </w:p>
    <w:p>
      <w:pPr>
        <w:spacing w:after="80"/>
      </w:pPr>
      <w:r>
        <w:rPr>
          <w:rFonts w:ascii="Arial" w:cs="Arial" w:eastAsia="Arial" w:hAnsi="Arial"/>
          <w:sz w:val="20"/>
          <w:szCs w:val="20"/>
        </w:rPr>
        <w:t xml:space="preserve">Dla mieszaniny nie dokonano oceny bezpieczeństwa chemicznego (dla mieszanin nie jest ona wymagana zgodnie z art. 14 rozporządzenia REACH).</w:t>
      </w:r>
    </w:p>
    <w:p>
      <w:pPr>
        <w:pBdr>
          <w:bottom w:color="00A651" w:sz="12" w:space="1"/>
        </w:pBdr>
        <w:spacing w:after="150" w:before="300"/>
      </w:pPr>
      <w:r>
        <w:rPr>
          <w:b/>
          <w:bCs/>
          <w:sz w:val="22"/>
          <w:szCs w:val="22"/>
        </w:rPr>
        <w:t xml:space="preserve">SEKCJA 16: INNE INFORMACJE</w:t>
      </w:r>
    </w:p>
    <w:p>
      <w:pPr>
        <w:spacing w:after="80" w:before="150"/>
      </w:pPr>
      <w:r>
        <w:rPr>
          <w:rFonts w:ascii="Arial" w:cs="Arial" w:eastAsia="Arial" w:hAnsi="Arial"/>
          <w:b/>
          <w:bCs/>
          <w:sz w:val="20"/>
          <w:szCs w:val="20"/>
        </w:rPr>
        <w:t xml:space="preserve">Pełne brzmienie zwrotów H i EUH przytoczonych w sekcjach 2 i 3 karty charakterystyki:</w:t>
      </w:r>
    </w:p>
    <w:p>
      <w:pPr>
        <w:spacing w:after="80" w:before="80"/>
      </w:pPr>
      <w:r>
        <w:rPr>
          <w:rFonts w:ascii="Arial" w:cs="Arial" w:eastAsia="Arial" w:hAnsi="Arial"/>
          <w:b/>
          <w:bCs/>
          <w:sz w:val="20"/>
          <w:szCs w:val="20"/>
        </w:rPr>
        <w:t xml:space="preserve">H225:</w:t>
      </w:r>
      <w:r>
        <w:rPr>
          <w:rFonts w:ascii="Arial" w:cs="Arial" w:eastAsia="Arial" w:hAnsi="Arial"/>
          <w:sz w:val="20"/>
          <w:szCs w:val="20"/>
        </w:rPr>
        <w:t xml:space="preserve"> Wysoce łatwopalna ciecz i pary.</w:t>
      </w:r>
    </w:p>
    <w:p>
      <w:pPr>
        <w:spacing w:after="80" w:before="80"/>
      </w:pPr>
      <w:r>
        <w:rPr>
          <w:rFonts w:ascii="Arial" w:cs="Arial" w:eastAsia="Arial" w:hAnsi="Arial"/>
          <w:b/>
          <w:bCs/>
          <w:sz w:val="20"/>
          <w:szCs w:val="20"/>
        </w:rPr>
        <w:t xml:space="preserve">H302:</w:t>
      </w:r>
      <w:r>
        <w:rPr>
          <w:rFonts w:ascii="Arial" w:cs="Arial" w:eastAsia="Arial" w:hAnsi="Arial"/>
          <w:sz w:val="20"/>
          <w:szCs w:val="20"/>
        </w:rPr>
        <w:t xml:space="preserve"> Działa szkodliwie po połknięciu.</w:t>
      </w:r>
    </w:p>
    <w:p>
      <w:pPr>
        <w:spacing w:after="80" w:before="80"/>
      </w:pPr>
      <w:r>
        <w:rPr>
          <w:rFonts w:ascii="Arial" w:cs="Arial" w:eastAsia="Arial" w:hAnsi="Arial"/>
          <w:b/>
          <w:bCs/>
          <w:sz w:val="20"/>
          <w:szCs w:val="20"/>
        </w:rPr>
        <w:t xml:space="preserve">H304:</w:t>
      </w:r>
      <w:r>
        <w:rPr>
          <w:rFonts w:ascii="Arial" w:cs="Arial" w:eastAsia="Arial" w:hAnsi="Arial"/>
          <w:sz w:val="20"/>
          <w:szCs w:val="20"/>
        </w:rPr>
        <w:t xml:space="preserve"> Połknięcie i dostanie się przez drogi oddechowe może grozić śmiercią.</w:t>
      </w:r>
    </w:p>
    <w:p>
      <w:pPr>
        <w:spacing w:after="80" w:before="80"/>
      </w:pPr>
      <w:r>
        <w:rPr>
          <w:rFonts w:ascii="Arial" w:cs="Arial" w:eastAsia="Arial" w:hAnsi="Arial"/>
          <w:b/>
          <w:bCs/>
          <w:sz w:val="20"/>
          <w:szCs w:val="20"/>
        </w:rPr>
        <w:t xml:space="preserve">H315:</w:t>
      </w:r>
      <w:r>
        <w:rPr>
          <w:rFonts w:ascii="Arial" w:cs="Arial" w:eastAsia="Arial" w:hAnsi="Arial"/>
          <w:sz w:val="20"/>
          <w:szCs w:val="20"/>
        </w:rPr>
        <w:t xml:space="preserve"> Działa drażniąco na skórę.</w:t>
      </w:r>
    </w:p>
    <w:p>
      <w:pPr>
        <w:spacing w:after="80" w:before="80"/>
      </w:pPr>
      <w:r>
        <w:rPr>
          <w:rFonts w:ascii="Arial" w:cs="Arial" w:eastAsia="Arial" w:hAnsi="Arial"/>
          <w:b/>
          <w:bCs/>
          <w:sz w:val="20"/>
          <w:szCs w:val="20"/>
        </w:rPr>
        <w:t xml:space="preserve">H317:</w:t>
      </w:r>
      <w:r>
        <w:rPr>
          <w:rFonts w:ascii="Arial" w:cs="Arial" w:eastAsia="Arial" w:hAnsi="Arial"/>
          <w:sz w:val="20"/>
          <w:szCs w:val="20"/>
        </w:rPr>
        <w:t xml:space="preserve"> Może powodować reakcję alergiczną skóry.</w:t>
      </w:r>
    </w:p>
    <w:p>
      <w:pPr>
        <w:spacing w:after="80" w:before="80"/>
      </w:pPr>
      <w:r>
        <w:rPr>
          <w:rFonts w:ascii="Arial" w:cs="Arial" w:eastAsia="Arial" w:hAnsi="Arial"/>
          <w:b/>
          <w:bCs/>
          <w:sz w:val="20"/>
          <w:szCs w:val="20"/>
        </w:rPr>
        <w:t xml:space="preserve">H319:</w:t>
      </w:r>
      <w:r>
        <w:rPr>
          <w:rFonts w:ascii="Arial" w:cs="Arial" w:eastAsia="Arial" w:hAnsi="Arial"/>
          <w:sz w:val="20"/>
          <w:szCs w:val="20"/>
        </w:rPr>
        <w:t xml:space="preserve"> Działa drażniąco na oczy.</w:t>
      </w:r>
    </w:p>
    <w:p>
      <w:pPr>
        <w:spacing w:after="80" w:before="80"/>
      </w:pPr>
      <w:r>
        <w:rPr>
          <w:rFonts w:ascii="Arial" w:cs="Arial" w:eastAsia="Arial" w:hAnsi="Arial"/>
          <w:b/>
          <w:bCs/>
          <w:sz w:val="20"/>
          <w:szCs w:val="20"/>
        </w:rPr>
        <w:t xml:space="preserve">H336:</w:t>
      </w:r>
      <w:r>
        <w:rPr>
          <w:rFonts w:ascii="Arial" w:cs="Arial" w:eastAsia="Arial" w:hAnsi="Arial"/>
          <w:sz w:val="20"/>
          <w:szCs w:val="20"/>
        </w:rPr>
        <w:t xml:space="preserve"> Może wywoływać uczucie senności lub zawroty głowy.</w:t>
      </w:r>
    </w:p>
    <w:p>
      <w:pPr>
        <w:spacing w:after="80" w:before="80"/>
      </w:pPr>
      <w:r>
        <w:rPr>
          <w:rFonts w:ascii="Arial" w:cs="Arial" w:eastAsia="Arial" w:hAnsi="Arial"/>
          <w:b/>
          <w:bCs/>
          <w:sz w:val="20"/>
          <w:szCs w:val="20"/>
        </w:rPr>
        <w:t xml:space="preserve">H361d:</w:t>
      </w:r>
      <w:r>
        <w:rPr>
          <w:rFonts w:ascii="Arial" w:cs="Arial" w:eastAsia="Arial" w:hAnsi="Arial"/>
          <w:sz w:val="20"/>
          <w:szCs w:val="20"/>
        </w:rPr>
        <w:t xml:space="preserve"> Podejrzewa się, że działa szkodliwie na dziecko w łonie matki.</w:t>
      </w:r>
    </w:p>
    <w:p>
      <w:pPr>
        <w:spacing w:after="80"/>
      </w:pPr>
      <w:r>
        <w:rPr>
          <w:rFonts w:ascii="Arial" w:cs="Arial" w:eastAsia="Arial" w:hAnsi="Arial"/>
          <w:sz w:val="20"/>
          <w:szCs w:val="20"/>
        </w:rPr>
        <w:t xml:space="preserve">H361fd: Podejrzewa się, że działa szkodliwie na płodność. Podejrzewa się, że działa szkodliwie na dziecko w łonie matki.</w:t>
      </w:r>
    </w:p>
    <w:p>
      <w:pPr>
        <w:spacing w:after="80" w:before="80"/>
      </w:pPr>
      <w:r>
        <w:rPr>
          <w:rFonts w:ascii="Arial" w:cs="Arial" w:eastAsia="Arial" w:hAnsi="Arial"/>
          <w:b/>
          <w:bCs/>
          <w:sz w:val="20"/>
          <w:szCs w:val="20"/>
        </w:rPr>
        <w:t xml:space="preserve">H373:</w:t>
      </w:r>
      <w:r>
        <w:rPr>
          <w:rFonts w:ascii="Arial" w:cs="Arial" w:eastAsia="Arial" w:hAnsi="Arial"/>
          <w:sz w:val="20"/>
          <w:szCs w:val="20"/>
        </w:rPr>
        <w:t xml:space="preserve"> Może powodować uszkodzenie narządów poprzez długotrwałe lub narażenie powtarzane.</w:t>
      </w:r>
    </w:p>
    <w:p>
      <w:pPr>
        <w:spacing w:after="80" w:before="80"/>
      </w:pPr>
      <w:r>
        <w:rPr>
          <w:rFonts w:ascii="Arial" w:cs="Arial" w:eastAsia="Arial" w:hAnsi="Arial"/>
          <w:b/>
          <w:bCs/>
          <w:sz w:val="20"/>
          <w:szCs w:val="20"/>
        </w:rPr>
        <w:t xml:space="preserve">H410:</w:t>
      </w:r>
      <w:r>
        <w:rPr>
          <w:rFonts w:ascii="Arial" w:cs="Arial" w:eastAsia="Arial" w:hAnsi="Arial"/>
          <w:sz w:val="20"/>
          <w:szCs w:val="20"/>
        </w:rPr>
        <w:t xml:space="preserve"> Działa bardzo toksycznie na organizmy wodne, powodując długotrwałe skutki.</w:t>
      </w:r>
    </w:p>
    <w:p>
      <w:pPr>
        <w:spacing w:after="80" w:before="80"/>
      </w:pPr>
      <w:r>
        <w:rPr>
          <w:rFonts w:ascii="Arial" w:cs="Arial" w:eastAsia="Arial" w:hAnsi="Arial"/>
          <w:b/>
          <w:bCs/>
          <w:sz w:val="20"/>
          <w:szCs w:val="20"/>
        </w:rPr>
        <w:t xml:space="preserve">H412:</w:t>
      </w:r>
      <w:r>
        <w:rPr>
          <w:rFonts w:ascii="Arial" w:cs="Arial" w:eastAsia="Arial" w:hAnsi="Arial"/>
          <w:sz w:val="20"/>
          <w:szCs w:val="20"/>
        </w:rPr>
        <w:t xml:space="preserve"> Działa szkodliwie na organizmy wodne, powodując długotrwałe skutki.</w:t>
      </w:r>
    </w:p>
    <w:p>
      <w:pPr>
        <w:spacing w:after="80" w:before="80"/>
      </w:pPr>
      <w:r>
        <w:rPr>
          <w:rFonts w:ascii="Arial" w:cs="Arial" w:eastAsia="Arial" w:hAnsi="Arial"/>
          <w:b/>
          <w:bCs/>
          <w:sz w:val="20"/>
          <w:szCs w:val="20"/>
        </w:rPr>
        <w:t xml:space="preserve">EUH208:</w:t>
      </w:r>
      <w:r>
        <w:rPr>
          <w:rFonts w:ascii="Arial" w:cs="Arial" w:eastAsia="Arial" w:hAnsi="Arial"/>
          <w:sz w:val="20"/>
          <w:szCs w:val="20"/>
        </w:rPr>
        <w:t xml:space="preserve"> Zawiera kumarynę (2H-chromen-2-on). Może powodować wystąpienie reakcji alergicznej.</w:t>
      </w:r>
    </w:p>
    <w:p>
      <w:pPr>
        <w:spacing w:after="80" w:before="150"/>
      </w:pPr>
      <w:r>
        <w:rPr>
          <w:rFonts w:ascii="Arial" w:cs="Arial" w:eastAsia="Arial" w:hAnsi="Arial"/>
          <w:b/>
          <w:bCs/>
          <w:sz w:val="20"/>
          <w:szCs w:val="20"/>
        </w:rPr>
        <w:t xml:space="preserve">Wykaz klas i kategorii zagrożenia przytoczonych w karcie charakterystyki:</w:t>
      </w:r>
    </w:p>
    <w:p>
      <w:pPr>
        <w:spacing w:after="80" w:before="80"/>
      </w:pPr>
      <w:r>
        <w:rPr>
          <w:rFonts w:ascii="Arial" w:cs="Arial" w:eastAsia="Arial" w:hAnsi="Arial"/>
          <w:b/>
          <w:bCs/>
          <w:sz w:val="20"/>
          <w:szCs w:val="20"/>
        </w:rPr>
        <w:t xml:space="preserve">Acute Tox. 4:</w:t>
      </w:r>
      <w:r>
        <w:rPr>
          <w:rFonts w:ascii="Arial" w:cs="Arial" w:eastAsia="Arial" w:hAnsi="Arial"/>
          <w:sz w:val="20"/>
          <w:szCs w:val="20"/>
        </w:rPr>
        <w:t xml:space="preserve"> Toksyczność ostra, kategoria 4</w:t>
      </w:r>
    </w:p>
    <w:p>
      <w:pPr>
        <w:spacing w:after="80" w:before="80"/>
      </w:pPr>
      <w:r>
        <w:rPr>
          <w:rFonts w:ascii="Arial" w:cs="Arial" w:eastAsia="Arial" w:hAnsi="Arial"/>
          <w:b/>
          <w:bCs/>
          <w:sz w:val="20"/>
          <w:szCs w:val="20"/>
        </w:rPr>
        <w:t xml:space="preserve">Aquatic Chronic 1:</w:t>
      </w:r>
      <w:r>
        <w:rPr>
          <w:rFonts w:ascii="Arial" w:cs="Arial" w:eastAsia="Arial" w:hAnsi="Arial"/>
          <w:sz w:val="20"/>
          <w:szCs w:val="20"/>
        </w:rPr>
        <w:t xml:space="preserve"> Stwarzające zagrożenie dla środowiska wodnego – zagrożenie przewlekłe, kategoria 1</w:t>
      </w:r>
    </w:p>
    <w:p>
      <w:pPr>
        <w:spacing w:after="80" w:before="80"/>
      </w:pPr>
      <w:r>
        <w:rPr>
          <w:rFonts w:ascii="Arial" w:cs="Arial" w:eastAsia="Arial" w:hAnsi="Arial"/>
          <w:b/>
          <w:bCs/>
          <w:sz w:val="20"/>
          <w:szCs w:val="20"/>
        </w:rPr>
        <w:t xml:space="preserve">Aquatic Chronic 3:</w:t>
      </w:r>
      <w:r>
        <w:rPr>
          <w:rFonts w:ascii="Arial" w:cs="Arial" w:eastAsia="Arial" w:hAnsi="Arial"/>
          <w:sz w:val="20"/>
          <w:szCs w:val="20"/>
        </w:rPr>
        <w:t xml:space="preserve"> Stwarzające zagrożenie dla środowiska wodnego – zagrożenie przewlekłe, kategoria 3</w:t>
      </w:r>
    </w:p>
    <w:p>
      <w:pPr>
        <w:spacing w:after="80" w:before="80"/>
      </w:pPr>
      <w:r>
        <w:rPr>
          <w:rFonts w:ascii="Arial" w:cs="Arial" w:eastAsia="Arial" w:hAnsi="Arial"/>
          <w:b/>
          <w:bCs/>
          <w:sz w:val="20"/>
          <w:szCs w:val="20"/>
        </w:rPr>
        <w:t xml:space="preserve">Asp. Tox. 1:</w:t>
      </w:r>
      <w:r>
        <w:rPr>
          <w:rFonts w:ascii="Arial" w:cs="Arial" w:eastAsia="Arial" w:hAnsi="Arial"/>
          <w:sz w:val="20"/>
          <w:szCs w:val="20"/>
        </w:rPr>
        <w:t xml:space="preserve"> Zagrożenie spowodowane aspiracją, kategoria 1</w:t>
      </w:r>
    </w:p>
    <w:p>
      <w:pPr>
        <w:spacing w:after="80" w:before="80"/>
      </w:pPr>
      <w:r>
        <w:rPr>
          <w:rFonts w:ascii="Arial" w:cs="Arial" w:eastAsia="Arial" w:hAnsi="Arial"/>
          <w:b/>
          <w:bCs/>
          <w:sz w:val="20"/>
          <w:szCs w:val="20"/>
        </w:rPr>
        <w:t xml:space="preserve">Eye Irrit. 2:</w:t>
      </w:r>
      <w:r>
        <w:rPr>
          <w:rFonts w:ascii="Arial" w:cs="Arial" w:eastAsia="Arial" w:hAnsi="Arial"/>
          <w:sz w:val="20"/>
          <w:szCs w:val="20"/>
        </w:rPr>
        <w:t xml:space="preserve"> Działanie drażniące na oczy, kategoria 2</w:t>
      </w:r>
    </w:p>
    <w:p>
      <w:pPr>
        <w:spacing w:after="80" w:before="80"/>
      </w:pPr>
      <w:r>
        <w:rPr>
          <w:rFonts w:ascii="Arial" w:cs="Arial" w:eastAsia="Arial" w:hAnsi="Arial"/>
          <w:b/>
          <w:bCs/>
          <w:sz w:val="20"/>
          <w:szCs w:val="20"/>
        </w:rPr>
        <w:t xml:space="preserve">Flam. Liq. 2:</w:t>
      </w:r>
      <w:r>
        <w:rPr>
          <w:rFonts w:ascii="Arial" w:cs="Arial" w:eastAsia="Arial" w:hAnsi="Arial"/>
          <w:sz w:val="20"/>
          <w:szCs w:val="20"/>
        </w:rPr>
        <w:t xml:space="preserve"> Substancja ciekła łatwopalna, kategoria 2</w:t>
      </w:r>
    </w:p>
    <w:p>
      <w:pPr>
        <w:spacing w:after="80"/>
      </w:pPr>
      <w:r>
        <w:rPr>
          <w:rFonts w:ascii="Arial" w:cs="Arial" w:eastAsia="Arial" w:hAnsi="Arial"/>
          <w:sz w:val="20"/>
          <w:szCs w:val="20"/>
        </w:rPr>
        <w:t xml:space="preserve">Repr. 2: Działanie szkodliwe na rozrodczość, kategoria 2</w:t>
      </w:r>
    </w:p>
    <w:p>
      <w:pPr>
        <w:spacing w:after="80" w:before="80"/>
      </w:pPr>
      <w:r>
        <w:rPr>
          <w:rFonts w:ascii="Arial" w:cs="Arial" w:eastAsia="Arial" w:hAnsi="Arial"/>
          <w:b/>
          <w:bCs/>
          <w:sz w:val="20"/>
          <w:szCs w:val="20"/>
        </w:rPr>
        <w:t xml:space="preserve">STOT RE 2:</w:t>
      </w:r>
      <w:r>
        <w:rPr>
          <w:rFonts w:ascii="Arial" w:cs="Arial" w:eastAsia="Arial" w:hAnsi="Arial"/>
          <w:sz w:val="20"/>
          <w:szCs w:val="20"/>
        </w:rPr>
        <w:t xml:space="preserve"> Działanie toksyczne na narządy docelowe – narażenie powtarzane, kategoria 2</w:t>
      </w:r>
    </w:p>
    <w:p>
      <w:pPr>
        <w:spacing w:after="80" w:before="80"/>
      </w:pPr>
      <w:r>
        <w:rPr>
          <w:rFonts w:ascii="Arial" w:cs="Arial" w:eastAsia="Arial" w:hAnsi="Arial"/>
          <w:b/>
          <w:bCs/>
          <w:sz w:val="20"/>
          <w:szCs w:val="20"/>
        </w:rPr>
        <w:t xml:space="preserve">STOT SE 3:</w:t>
      </w:r>
      <w:r>
        <w:rPr>
          <w:rFonts w:ascii="Arial" w:cs="Arial" w:eastAsia="Arial" w:hAnsi="Arial"/>
          <w:sz w:val="20"/>
          <w:szCs w:val="20"/>
        </w:rPr>
        <w:t xml:space="preserve"> Działanie toksyczne na narządy docelowe – narażenie jednorazowe, kategoria 3</w:t>
      </w:r>
    </w:p>
    <w:p>
      <w:pPr>
        <w:spacing w:after="80" w:before="80"/>
      </w:pPr>
      <w:r>
        <w:rPr>
          <w:rFonts w:ascii="Arial" w:cs="Arial" w:eastAsia="Arial" w:hAnsi="Arial"/>
          <w:b/>
          <w:bCs/>
          <w:sz w:val="20"/>
          <w:szCs w:val="20"/>
        </w:rPr>
        <w:t xml:space="preserve">Skin Irrit. 2:</w:t>
      </w:r>
      <w:r>
        <w:rPr>
          <w:rFonts w:ascii="Arial" w:cs="Arial" w:eastAsia="Arial" w:hAnsi="Arial"/>
          <w:sz w:val="20"/>
          <w:szCs w:val="20"/>
        </w:rPr>
        <w:t xml:space="preserve"> Działanie drażniące na skórę, kategoria 2</w:t>
      </w:r>
    </w:p>
    <w:p>
      <w:pPr>
        <w:spacing w:after="80" w:before="80"/>
      </w:pPr>
      <w:r>
        <w:rPr>
          <w:rFonts w:ascii="Arial" w:cs="Arial" w:eastAsia="Arial" w:hAnsi="Arial"/>
          <w:b/>
          <w:bCs/>
          <w:sz w:val="20"/>
          <w:szCs w:val="20"/>
        </w:rPr>
        <w:t xml:space="preserve">Skin Sens. 1:</w:t>
      </w:r>
      <w:r>
        <w:rPr>
          <w:rFonts w:ascii="Arial" w:cs="Arial" w:eastAsia="Arial" w:hAnsi="Arial"/>
          <w:sz w:val="20"/>
          <w:szCs w:val="20"/>
        </w:rPr>
        <w:t xml:space="preserve"> Działanie uczulające na skórę, kategoria 1</w:t>
      </w:r>
    </w:p>
    <w:p>
      <w:pPr>
        <w:spacing w:after="80" w:before="150"/>
      </w:pPr>
      <w:r>
        <w:rPr>
          <w:rFonts w:ascii="Arial" w:cs="Arial" w:eastAsia="Arial" w:hAnsi="Arial"/>
          <w:b/>
          <w:bCs/>
          <w:sz w:val="20"/>
          <w:szCs w:val="20"/>
        </w:rPr>
        <w:t xml:space="preserve">Objaśnienie skrótów i akronimów stosowanych w karcie charakterystyki:</w:t>
      </w:r>
    </w:p>
    <w:p>
      <w:pPr>
        <w:spacing w:after="80" w:before="80"/>
      </w:pPr>
      <w:r>
        <w:rPr>
          <w:rFonts w:ascii="Arial" w:cs="Arial" w:eastAsia="Arial" w:hAnsi="Arial"/>
          <w:b/>
          <w:bCs/>
          <w:sz w:val="20"/>
          <w:szCs w:val="20"/>
        </w:rPr>
        <w:t xml:space="preserve">ADR:</w:t>
      </w:r>
      <w:r>
        <w:rPr>
          <w:rFonts w:ascii="Arial" w:cs="Arial" w:eastAsia="Arial" w:hAnsi="Arial"/>
          <w:sz w:val="20"/>
          <w:szCs w:val="20"/>
        </w:rPr>
        <w:t xml:space="preserve"> Umowa europejska dotycząca międzynarodowego przewozu drogowego towarów niebezpiecznych</w:t>
      </w:r>
    </w:p>
    <w:p>
      <w:pPr>
        <w:spacing w:after="80" w:before="80"/>
      </w:pPr>
      <w:r>
        <w:rPr>
          <w:rFonts w:ascii="Arial" w:cs="Arial" w:eastAsia="Arial" w:hAnsi="Arial"/>
          <w:b/>
          <w:bCs/>
          <w:sz w:val="20"/>
          <w:szCs w:val="20"/>
        </w:rPr>
        <w:t xml:space="preserve">RID:</w:t>
      </w:r>
      <w:r>
        <w:rPr>
          <w:rFonts w:ascii="Arial" w:cs="Arial" w:eastAsia="Arial" w:hAnsi="Arial"/>
          <w:sz w:val="20"/>
          <w:szCs w:val="20"/>
        </w:rPr>
        <w:t xml:space="preserve"> Regulamin międzynarodowego przewozu kolejami towarów niebezpiecznych</w:t>
      </w:r>
    </w:p>
    <w:p>
      <w:pPr>
        <w:spacing w:after="80" w:before="80"/>
      </w:pPr>
      <w:r>
        <w:rPr>
          <w:rFonts w:ascii="Arial" w:cs="Arial" w:eastAsia="Arial" w:hAnsi="Arial"/>
          <w:b/>
          <w:bCs/>
          <w:sz w:val="20"/>
          <w:szCs w:val="20"/>
        </w:rPr>
        <w:t xml:space="preserve">IMDG:</w:t>
      </w:r>
      <w:r>
        <w:rPr>
          <w:rFonts w:ascii="Arial" w:cs="Arial" w:eastAsia="Arial" w:hAnsi="Arial"/>
          <w:sz w:val="20"/>
          <w:szCs w:val="20"/>
        </w:rPr>
        <w:t xml:space="preserve"> Międzynarodowy morski kodeks towarów niebezpiecznych (International Maritime Dangerous Goods Code)</w:t>
      </w:r>
    </w:p>
    <w:p>
      <w:pPr>
        <w:spacing w:after="80" w:before="80"/>
      </w:pPr>
      <w:r>
        <w:rPr>
          <w:rFonts w:ascii="Arial" w:cs="Arial" w:eastAsia="Arial" w:hAnsi="Arial"/>
          <w:b/>
          <w:bCs/>
          <w:sz w:val="20"/>
          <w:szCs w:val="20"/>
        </w:rPr>
        <w:t xml:space="preserve">IATA:</w:t>
      </w:r>
      <w:r>
        <w:rPr>
          <w:rFonts w:ascii="Arial" w:cs="Arial" w:eastAsia="Arial" w:hAnsi="Arial"/>
          <w:sz w:val="20"/>
          <w:szCs w:val="20"/>
        </w:rPr>
        <w:t xml:space="preserve"> Międzynarodowe Zrzeszenie Przewoźników Powietrznych (International Air Transport Association)</w:t>
      </w:r>
    </w:p>
    <w:p>
      <w:pPr>
        <w:spacing w:after="80" w:before="80"/>
      </w:pPr>
      <w:r>
        <w:rPr>
          <w:rFonts w:ascii="Arial" w:cs="Arial" w:eastAsia="Arial" w:hAnsi="Arial"/>
          <w:b/>
          <w:bCs/>
          <w:sz w:val="20"/>
          <w:szCs w:val="20"/>
        </w:rPr>
        <w:t xml:space="preserve">ICAO:</w:t>
      </w:r>
      <w:r>
        <w:rPr>
          <w:rFonts w:ascii="Arial" w:cs="Arial" w:eastAsia="Arial" w:hAnsi="Arial"/>
          <w:sz w:val="20"/>
          <w:szCs w:val="20"/>
        </w:rPr>
        <w:t xml:space="preserve"> Organizacja Międzynarodowego Lotnictwa Cywilnego</w:t>
      </w:r>
    </w:p>
    <w:p>
      <w:pPr>
        <w:spacing w:after="80" w:before="80"/>
      </w:pPr>
      <w:r>
        <w:rPr>
          <w:rFonts w:ascii="Arial" w:cs="Arial" w:eastAsia="Arial" w:hAnsi="Arial"/>
          <w:b/>
          <w:bCs/>
          <w:sz w:val="20"/>
          <w:szCs w:val="20"/>
        </w:rPr>
        <w:t xml:space="preserve">CLP:</w:t>
      </w:r>
      <w:r>
        <w:rPr>
          <w:rFonts w:ascii="Arial" w:cs="Arial" w:eastAsia="Arial" w:hAnsi="Arial"/>
          <w:sz w:val="20"/>
          <w:szCs w:val="20"/>
        </w:rPr>
        <w:t xml:space="preserve"> Rozporządzenie (WE) nr 1272/2008 w sprawie klasyfikacji, oznakowania i pakowania substancji i mieszanin</w:t>
      </w:r>
    </w:p>
    <w:p>
      <w:pPr>
        <w:spacing w:after="80" w:before="80"/>
      </w:pPr>
      <w:r>
        <w:rPr>
          <w:rFonts w:ascii="Arial" w:cs="Arial" w:eastAsia="Arial" w:hAnsi="Arial"/>
          <w:b/>
          <w:bCs/>
          <w:sz w:val="20"/>
          <w:szCs w:val="20"/>
        </w:rPr>
        <w:t xml:space="preserve">REACH:</w:t>
      </w:r>
      <w:r>
        <w:rPr>
          <w:rFonts w:ascii="Arial" w:cs="Arial" w:eastAsia="Arial" w:hAnsi="Arial"/>
          <w:sz w:val="20"/>
          <w:szCs w:val="20"/>
        </w:rPr>
        <w:t xml:space="preserve"> Rozporządzenie (WE) nr 1907/2006 w sprawie rejestracji, oceny, udzielania zezwoleń i stosowanych ograniczeń w zakresie chemikaliów</w:t>
      </w:r>
    </w:p>
    <w:p>
      <w:pPr>
        <w:spacing w:after="80" w:before="80"/>
      </w:pPr>
      <w:r>
        <w:rPr>
          <w:rFonts w:ascii="Arial" w:cs="Arial" w:eastAsia="Arial" w:hAnsi="Arial"/>
          <w:b/>
          <w:bCs/>
          <w:sz w:val="20"/>
          <w:szCs w:val="20"/>
        </w:rPr>
        <w:t xml:space="preserve">GHS:</w:t>
      </w:r>
      <w:r>
        <w:rPr>
          <w:rFonts w:ascii="Arial" w:cs="Arial" w:eastAsia="Arial" w:hAnsi="Arial"/>
          <w:sz w:val="20"/>
          <w:szCs w:val="20"/>
        </w:rPr>
        <w:t xml:space="preserve"> Globalnie Zharmonizowany System Klasyfikacji i Oznakowania Chemikaliów</w:t>
      </w:r>
    </w:p>
    <w:p>
      <w:pPr>
        <w:spacing w:after="80" w:before="80"/>
      </w:pPr>
      <w:r>
        <w:rPr>
          <w:rFonts w:ascii="Arial" w:cs="Arial" w:eastAsia="Arial" w:hAnsi="Arial"/>
          <w:b/>
          <w:bCs/>
          <w:sz w:val="20"/>
          <w:szCs w:val="20"/>
        </w:rPr>
        <w:t xml:space="preserve">CAS:</w:t>
      </w:r>
      <w:r>
        <w:rPr>
          <w:rFonts w:ascii="Arial" w:cs="Arial" w:eastAsia="Arial" w:hAnsi="Arial"/>
          <w:sz w:val="20"/>
          <w:szCs w:val="20"/>
        </w:rPr>
        <w:t xml:space="preserve"> Chemical Abstracts Service (unikalny numeryczny identyfikator substancji chemicznej)</w:t>
      </w:r>
    </w:p>
    <w:p>
      <w:pPr>
        <w:spacing w:after="80" w:before="80"/>
      </w:pPr>
      <w:r>
        <w:rPr>
          <w:rFonts w:ascii="Arial" w:cs="Arial" w:eastAsia="Arial" w:hAnsi="Arial"/>
          <w:b/>
          <w:bCs/>
          <w:sz w:val="20"/>
          <w:szCs w:val="20"/>
        </w:rPr>
        <w:t xml:space="preserve">WE:</w:t>
      </w:r>
      <w:r>
        <w:rPr>
          <w:rFonts w:ascii="Arial" w:cs="Arial" w:eastAsia="Arial" w:hAnsi="Arial"/>
          <w:sz w:val="20"/>
          <w:szCs w:val="20"/>
        </w:rPr>
        <w:t xml:space="preserve"> Numer Wspólnoty Europejskiej (oficjalny numer rejestracyjny substancji w UE: EINECS, ELINCS lub NLP)</w:t>
      </w:r>
    </w:p>
    <w:p>
      <w:pPr>
        <w:spacing w:after="80" w:before="80"/>
      </w:pPr>
      <w:r>
        <w:rPr>
          <w:rFonts w:ascii="Arial" w:cs="Arial" w:eastAsia="Arial" w:hAnsi="Arial"/>
          <w:b/>
          <w:bCs/>
          <w:sz w:val="20"/>
          <w:szCs w:val="20"/>
        </w:rPr>
        <w:t xml:space="preserve">NDS:</w:t>
      </w:r>
      <w:r>
        <w:rPr>
          <w:rFonts w:ascii="Arial" w:cs="Arial" w:eastAsia="Arial" w:hAnsi="Arial"/>
          <w:sz w:val="20"/>
          <w:szCs w:val="20"/>
        </w:rPr>
        <w:t xml:space="preserve"> Najwyższe dopuszczalne stężenie na stanowisku pracy w ciągu 8-godzinnego dnia pracy</w:t>
      </w:r>
    </w:p>
    <w:p>
      <w:pPr>
        <w:spacing w:after="80" w:before="80"/>
      </w:pPr>
      <w:r>
        <w:rPr>
          <w:rFonts w:ascii="Arial" w:cs="Arial" w:eastAsia="Arial" w:hAnsi="Arial"/>
          <w:b/>
          <w:bCs/>
          <w:sz w:val="20"/>
          <w:szCs w:val="20"/>
        </w:rPr>
        <w:t xml:space="preserve">NDSCh:</w:t>
      </w:r>
      <w:r>
        <w:rPr>
          <w:rFonts w:ascii="Arial" w:cs="Arial" w:eastAsia="Arial" w:hAnsi="Arial"/>
          <w:sz w:val="20"/>
          <w:szCs w:val="20"/>
        </w:rPr>
        <w:t xml:space="preserve"> Najwyższe dopuszczalne stężenie chwilowe (czas ekspozycji do 15 minut)</w:t>
      </w:r>
    </w:p>
    <w:p>
      <w:pPr>
        <w:spacing w:after="80" w:before="80"/>
      </w:pPr>
      <w:r>
        <w:rPr>
          <w:rFonts w:ascii="Arial" w:cs="Arial" w:eastAsia="Arial" w:hAnsi="Arial"/>
          <w:b/>
          <w:bCs/>
          <w:sz w:val="20"/>
          <w:szCs w:val="20"/>
        </w:rPr>
        <w:t xml:space="preserve">NDSP:</w:t>
      </w:r>
      <w:r>
        <w:rPr>
          <w:rFonts w:ascii="Arial" w:cs="Arial" w:eastAsia="Arial" w:hAnsi="Arial"/>
          <w:sz w:val="20"/>
          <w:szCs w:val="20"/>
        </w:rPr>
        <w:t xml:space="preserve"> Najwyższe dopuszczalne stężenie pułapowe (wartość, która nie może być przekroczona w żadnym momencie)</w:t>
      </w:r>
    </w:p>
    <w:p>
      <w:pPr>
        <w:spacing w:after="80" w:before="80"/>
      </w:pPr>
      <w:r>
        <w:rPr>
          <w:rFonts w:ascii="Arial" w:cs="Arial" w:eastAsia="Arial" w:hAnsi="Arial"/>
          <w:b/>
          <w:bCs/>
          <w:sz w:val="20"/>
          <w:szCs w:val="20"/>
        </w:rPr>
        <w:t xml:space="preserve">DNEL:</w:t>
      </w:r>
      <w:r>
        <w:rPr>
          <w:rFonts w:ascii="Arial" w:cs="Arial" w:eastAsia="Arial" w:hAnsi="Arial"/>
          <w:sz w:val="20"/>
          <w:szCs w:val="20"/>
        </w:rPr>
        <w:t xml:space="preserve"> Pochodny poziom niepowodujący zmian (Derived No-Effect Level)</w:t>
      </w:r>
    </w:p>
    <w:p>
      <w:pPr>
        <w:spacing w:after="80" w:before="80"/>
      </w:pPr>
      <w:r>
        <w:rPr>
          <w:rFonts w:ascii="Arial" w:cs="Arial" w:eastAsia="Arial" w:hAnsi="Arial"/>
          <w:b/>
          <w:bCs/>
          <w:sz w:val="20"/>
          <w:szCs w:val="20"/>
        </w:rPr>
        <w:t xml:space="preserve">PNEC:</w:t>
      </w:r>
      <w:r>
        <w:rPr>
          <w:rFonts w:ascii="Arial" w:cs="Arial" w:eastAsia="Arial" w:hAnsi="Arial"/>
          <w:sz w:val="20"/>
          <w:szCs w:val="20"/>
        </w:rPr>
        <w:t xml:space="preserve"> Przewidywane stężenie niepowodujące zmian w środowisku (Predicted No-Effect Concentration)</w:t>
      </w:r>
    </w:p>
    <w:p>
      <w:pPr>
        <w:spacing w:after="80"/>
      </w:pPr>
      <w:r>
        <w:rPr>
          <w:rFonts w:ascii="Arial" w:cs="Arial" w:eastAsia="Arial" w:hAnsi="Arial"/>
          <w:sz w:val="20"/>
          <w:szCs w:val="20"/>
        </w:rPr>
        <w:t xml:space="preserve">PBT: Substancja trwała, wykazująca zdolność do bioakumulacji i toksyczna</w:t>
      </w:r>
    </w:p>
    <w:p>
      <w:pPr>
        <w:spacing w:after="80" w:before="80"/>
      </w:pPr>
      <w:r>
        <w:rPr>
          <w:rFonts w:ascii="Arial" w:cs="Arial" w:eastAsia="Arial" w:hAnsi="Arial"/>
          <w:b/>
          <w:bCs/>
          <w:sz w:val="20"/>
          <w:szCs w:val="20"/>
        </w:rPr>
        <w:t xml:space="preserve">vPvB:</w:t>
      </w:r>
      <w:r>
        <w:rPr>
          <w:rFonts w:ascii="Arial" w:cs="Arial" w:eastAsia="Arial" w:hAnsi="Arial"/>
          <w:sz w:val="20"/>
          <w:szCs w:val="20"/>
        </w:rPr>
        <w:t xml:space="preserve"> Substancja bardzo trwała i wykazująca bardzo dużą zdolność do bioakumulacji</w:t>
      </w:r>
    </w:p>
    <w:p>
      <w:pPr>
        <w:spacing w:after="80" w:before="80"/>
      </w:pPr>
      <w:r>
        <w:rPr>
          <w:rFonts w:ascii="Arial" w:cs="Arial" w:eastAsia="Arial" w:hAnsi="Arial"/>
          <w:b/>
          <w:bCs/>
          <w:sz w:val="20"/>
          <w:szCs w:val="20"/>
        </w:rPr>
        <w:t xml:space="preserve">SVHC:</w:t>
      </w:r>
      <w:r>
        <w:rPr>
          <w:rFonts w:ascii="Arial" w:cs="Arial" w:eastAsia="Arial" w:hAnsi="Arial"/>
          <w:sz w:val="20"/>
          <w:szCs w:val="20"/>
        </w:rPr>
        <w:t xml:space="preserve"> Substancje wzbudzające szczególnie duże obawy (Substances of Very High Concern)</w:t>
      </w:r>
    </w:p>
    <w:p>
      <w:pPr>
        <w:spacing w:after="80"/>
      </w:pPr>
      <w:r>
        <w:rPr>
          <w:rFonts w:ascii="Arial" w:cs="Arial" w:eastAsia="Arial" w:hAnsi="Arial"/>
          <w:sz w:val="20"/>
          <w:szCs w:val="20"/>
        </w:rPr>
        <w:t xml:space="preserve">BCF: Współczynnik biokoncentracji (Bioconcentration Factor)</w:t>
      </w:r>
    </w:p>
    <w:p>
      <w:pPr>
        <w:spacing w:after="80" w:before="80"/>
      </w:pPr>
      <w:r>
        <w:rPr>
          <w:rFonts w:ascii="Arial" w:cs="Arial" w:eastAsia="Arial" w:hAnsi="Arial"/>
          <w:b/>
          <w:bCs/>
          <w:sz w:val="20"/>
          <w:szCs w:val="20"/>
        </w:rPr>
        <w:t xml:space="preserve">log Kow:</w:t>
      </w:r>
      <w:r>
        <w:rPr>
          <w:rFonts w:ascii="Arial" w:cs="Arial" w:eastAsia="Arial" w:hAnsi="Arial"/>
          <w:sz w:val="20"/>
          <w:szCs w:val="20"/>
        </w:rPr>
        <w:t xml:space="preserve"> Współczynnik podziału n-oktanol/woda</w:t>
      </w:r>
    </w:p>
    <w:p>
      <w:pPr>
        <w:spacing w:after="80" w:before="80"/>
      </w:pPr>
      <w:r>
        <w:rPr>
          <w:rFonts w:ascii="Arial" w:cs="Arial" w:eastAsia="Arial" w:hAnsi="Arial"/>
          <w:b/>
          <w:bCs/>
          <w:sz w:val="20"/>
          <w:szCs w:val="20"/>
        </w:rPr>
        <w:t xml:space="preserve">LD50:</w:t>
      </w:r>
      <w:r>
        <w:rPr>
          <w:rFonts w:ascii="Arial" w:cs="Arial" w:eastAsia="Arial" w:hAnsi="Arial"/>
          <w:sz w:val="20"/>
          <w:szCs w:val="20"/>
        </w:rPr>
        <w:t xml:space="preserve"> Dawka śmiertelna dla 50% badanej populacji zwierząt laboratoryjnych</w:t>
      </w:r>
    </w:p>
    <w:p>
      <w:pPr>
        <w:spacing w:after="80" w:before="80"/>
      </w:pPr>
      <w:r>
        <w:rPr>
          <w:rFonts w:ascii="Arial" w:cs="Arial" w:eastAsia="Arial" w:hAnsi="Arial"/>
          <w:b/>
          <w:bCs/>
          <w:sz w:val="20"/>
          <w:szCs w:val="20"/>
        </w:rPr>
        <w:t xml:space="preserve">LC50:</w:t>
      </w:r>
      <w:r>
        <w:rPr>
          <w:rFonts w:ascii="Arial" w:cs="Arial" w:eastAsia="Arial" w:hAnsi="Arial"/>
          <w:sz w:val="20"/>
          <w:szCs w:val="20"/>
        </w:rPr>
        <w:t xml:space="preserve"> Stężenie śmiertelne dla 50% badanej populacji organizmów testowych</w:t>
      </w:r>
    </w:p>
    <w:p>
      <w:pPr>
        <w:spacing w:after="80" w:before="80"/>
      </w:pPr>
      <w:r>
        <w:rPr>
          <w:rFonts w:ascii="Arial" w:cs="Arial" w:eastAsia="Arial" w:hAnsi="Arial"/>
          <w:b/>
          <w:bCs/>
          <w:sz w:val="20"/>
          <w:szCs w:val="20"/>
        </w:rPr>
        <w:t xml:space="preserve">EC50:</w:t>
      </w:r>
      <w:r>
        <w:rPr>
          <w:rFonts w:ascii="Arial" w:cs="Arial" w:eastAsia="Arial" w:hAnsi="Arial"/>
          <w:sz w:val="20"/>
          <w:szCs w:val="20"/>
        </w:rPr>
        <w:t xml:space="preserve"> Stężenie wywołujące efekt u 50% badanej populacji testowej</w:t>
      </w:r>
    </w:p>
    <w:p>
      <w:pPr>
        <w:spacing w:after="80" w:before="80"/>
      </w:pPr>
      <w:r>
        <w:rPr>
          <w:rFonts w:ascii="Arial" w:cs="Arial" w:eastAsia="Arial" w:hAnsi="Arial"/>
          <w:b/>
          <w:bCs/>
          <w:sz w:val="20"/>
          <w:szCs w:val="20"/>
        </w:rPr>
        <w:t xml:space="preserve">NOEC:</w:t>
      </w:r>
      <w:r>
        <w:rPr>
          <w:rFonts w:ascii="Arial" w:cs="Arial" w:eastAsia="Arial" w:hAnsi="Arial"/>
          <w:sz w:val="20"/>
          <w:szCs w:val="20"/>
        </w:rPr>
        <w:t xml:space="preserve"> Najwyższe stężenie, przy którym nie obserwuje się statystycznie istotnych skutków (No Observed Effect Concentration)</w:t>
      </w:r>
    </w:p>
    <w:p>
      <w:pPr>
        <w:spacing w:after="80" w:before="80"/>
      </w:pPr>
      <w:r>
        <w:rPr>
          <w:rFonts w:ascii="Arial" w:cs="Arial" w:eastAsia="Arial" w:hAnsi="Arial"/>
          <w:b/>
          <w:bCs/>
          <w:sz w:val="20"/>
          <w:szCs w:val="20"/>
        </w:rPr>
        <w:t xml:space="preserve">SCL:</w:t>
      </w:r>
      <w:r>
        <w:rPr>
          <w:rFonts w:ascii="Arial" w:cs="Arial" w:eastAsia="Arial" w:hAnsi="Arial"/>
          <w:sz w:val="20"/>
          <w:szCs w:val="20"/>
        </w:rPr>
        <w:t xml:space="preserve"> Specyficzne stężenie graniczne (Specific Concentration Limit)</w:t>
      </w:r>
    </w:p>
    <w:p>
      <w:pPr>
        <w:spacing w:after="80" w:before="80"/>
      </w:pPr>
      <w:r>
        <w:rPr>
          <w:rFonts w:ascii="Arial" w:cs="Arial" w:eastAsia="Arial" w:hAnsi="Arial"/>
          <w:b/>
          <w:bCs/>
          <w:sz w:val="20"/>
          <w:szCs w:val="20"/>
        </w:rPr>
        <w:t xml:space="preserve">BDO:</w:t>
      </w:r>
      <w:r>
        <w:rPr>
          <w:rFonts w:ascii="Arial" w:cs="Arial" w:eastAsia="Arial" w:hAnsi="Arial"/>
          <w:sz w:val="20"/>
          <w:szCs w:val="20"/>
        </w:rPr>
        <w:t xml:space="preserve"> Baza danych o produktach i opakowaniach oraz o gospodarce odpadami</w:t>
      </w:r>
    </w:p>
    <w:p>
      <w:pPr>
        <w:spacing w:after="80" w:before="80"/>
      </w:pPr>
      <w:r>
        <w:rPr>
          <w:rFonts w:ascii="Arial" w:cs="Arial" w:eastAsia="Arial" w:hAnsi="Arial"/>
          <w:b/>
          <w:bCs/>
          <w:sz w:val="20"/>
          <w:szCs w:val="20"/>
        </w:rPr>
        <w:t xml:space="preserve">ECHA:</w:t>
      </w:r>
      <w:r>
        <w:rPr>
          <w:rFonts w:ascii="Arial" w:cs="Arial" w:eastAsia="Arial" w:hAnsi="Arial"/>
          <w:sz w:val="20"/>
          <w:szCs w:val="20"/>
        </w:rPr>
        <w:t xml:space="preserve"> Europejska Agencja Chemikaliów</w:t>
      </w:r>
    </w:p>
    <w:p>
      <w:pPr>
        <w:spacing w:after="80" w:before="150"/>
      </w:pPr>
      <w:r>
        <w:rPr>
          <w:rFonts w:ascii="Arial" w:cs="Arial" w:eastAsia="Arial" w:hAnsi="Arial"/>
          <w:b/>
          <w:bCs/>
          <w:sz w:val="20"/>
          <w:szCs w:val="20"/>
        </w:rPr>
        <w:t xml:space="preserve">Główne źródła literatury i danych:</w:t>
      </w:r>
    </w:p>
    <w:p>
      <w:pPr>
        <w:spacing w:after="80"/>
      </w:pPr>
      <w:r>
        <w:rPr>
          <w:rFonts w:ascii="Arial" w:cs="Arial" w:eastAsia="Arial" w:hAnsi="Arial"/>
          <w:sz w:val="20"/>
          <w:szCs w:val="20"/>
        </w:rPr>
        <w:t xml:space="preserve">- Karty charakterystyki substancji składowych udostępnione przez producentów i dostawców surowców.</w:t>
      </w:r>
    </w:p>
    <w:p>
      <w:pPr>
        <w:spacing w:after="60" w:before="60"/>
      </w:pPr>
      <w:r>
        <w:rPr>
          <w:rFonts w:ascii="Arial" w:cs="Arial" w:eastAsia="Arial" w:hAnsi="Arial"/>
          <w:b/>
          <w:bCs/>
          <w:sz w:val="20"/>
          <w:szCs w:val="20"/>
        </w:rPr>
        <w:t xml:space="preserve">- Baza danych Europejskiej Agencji Chemikaliów (ECHA):</w:t>
      </w:r>
      <w:r>
        <w:rPr>
          <w:rFonts w:ascii="Arial" w:cs="Arial" w:eastAsia="Arial" w:hAnsi="Arial"/>
          <w:sz w:val="20"/>
          <w:szCs w:val="20"/>
        </w:rPr>
        <w:t xml:space="preserve"> https://echa.europa.eu/</w:t>
      </w:r>
    </w:p>
    <w:p>
      <w:pPr>
        <w:spacing w:after="60" w:before="60"/>
      </w:pPr>
      <w:r>
        <w:rPr>
          <w:rFonts w:ascii="Arial" w:cs="Arial" w:eastAsia="Arial" w:hAnsi="Arial"/>
          <w:b/>
          <w:bCs/>
          <w:sz w:val="20"/>
          <w:szCs w:val="20"/>
        </w:rPr>
        <w:t xml:space="preserve">- Baza danych PubChem National Library of Medicine:</w:t>
      </w:r>
      <w:r>
        <w:rPr>
          <w:rFonts w:ascii="Arial" w:cs="Arial" w:eastAsia="Arial" w:hAnsi="Arial"/>
          <w:sz w:val="20"/>
          <w:szCs w:val="20"/>
        </w:rPr>
        <w:t xml:space="preserve"> https://pubchem.ncbi.nlm.nih.gov/</w:t>
      </w:r>
    </w:p>
    <w:p>
      <w:pPr>
        <w:spacing w:after="80"/>
      </w:pPr>
      <w:r>
        <w:rPr>
          <w:rFonts w:ascii="Arial" w:cs="Arial" w:eastAsia="Arial" w:hAnsi="Arial"/>
          <w:sz w:val="20"/>
          <w:szCs w:val="20"/>
        </w:rPr>
        <w:t xml:space="preserve">- Obowiązujące unijne i krajowe akty prawne (REACH, CLP, Dz.U. 2018 poz. 1286, Dz.U. 2023 poz. 1587).</w:t>
      </w:r>
    </w:p>
    <w:p>
      <w:pPr>
        <w:spacing w:after="80" w:before="150"/>
      </w:pPr>
      <w:r>
        <w:rPr>
          <w:rFonts w:ascii="Arial" w:cs="Arial" w:eastAsia="Arial" w:hAnsi="Arial"/>
          <w:b/>
          <w:bCs/>
          <w:sz w:val="20"/>
          <w:szCs w:val="20"/>
        </w:rPr>
        <w:t xml:space="preserve">Zalecenia i wskazówki szkoleniowe dla pracowników:</w:t>
      </w:r>
    </w:p>
    <w:p>
      <w:pPr>
        <w:spacing w:after="80"/>
      </w:pPr>
      <w:r>
        <w:rPr>
          <w:rFonts w:ascii="Arial" w:cs="Arial" w:eastAsia="Arial" w:hAnsi="Arial"/>
          <w:sz w:val="20"/>
          <w:szCs w:val="20"/>
        </w:rPr>
        <w:t xml:space="preserve">Przed przystąpieniem do pracy z produktem należy zapoznać się z treścią niniejszej karty charakterystyki oraz przepisami BHP obowiązującymi na stanowisku pracy. Pracownicy mający kontakt z produktem powinni zostać przeszkoleni w zakresie prawidłowego i bezpiecznego obchodzenia się z chemikaliami oraz postępowania w sytuacjach awaryjnych.</w:t>
      </w:r>
    </w:p>
    <w:p>
      <w:pPr>
        <w:spacing w:after="80" w:before="150"/>
      </w:pPr>
      <w:r>
        <w:rPr>
          <w:rFonts w:ascii="Arial" w:cs="Arial" w:eastAsia="Arial" w:hAnsi="Arial"/>
          <w:b/>
          <w:bCs/>
          <w:sz w:val="20"/>
          <w:szCs w:val="20"/>
        </w:rPr>
        <w:t xml:space="preserve">Informacje o zmianach i aktualizacji:</w:t>
      </w:r>
    </w:p>
    <w:p>
      <w:pPr>
        <w:spacing w:after="80"/>
      </w:pPr>
      <w:r>
        <w:rPr>
          <w:rFonts w:ascii="Arial" w:cs="Arial" w:eastAsia="Arial" w:hAnsi="Arial"/>
          <w:sz w:val="20"/>
          <w:szCs w:val="20"/>
        </w:rPr>
        <w:t xml:space="preserve">Niniejsza karta charakterystyki (wersja 1.0 PL) stanowi wydanie pierwsze w języku polskim, opracowane na podstawie karty charakterystyki SDS producenta z dnia 14.02.2025 r.</w:t>
      </w:r>
    </w:p>
    <w:p>
      <w:pPr>
        <w:spacing w:after="80"/>
      </w:pPr>
      <w:r>
        <w:rPr>
          <w:rFonts w:ascii="Arial" w:cs="Arial" w:eastAsia="Arial" w:hAnsi="Arial"/>
          <w:sz w:val="20"/>
          <w:szCs w:val="20"/>
        </w:rPr>
        <w:t xml:space="preserve">Aktualizacja została sporządzona i dostosowana zgodnie z wymogami Rozporządzenia Komisji (UE) 2020/878 z dnia 18 czerwca 2020 r. zmieniającego załącznik II do rozporządzenia (WE) nr 1907/2006 (REACH) oraz przepisami prawa Rzeczypospolitej Polskiej.</w:t>
      </w:r>
    </w:p>
    <w:p>
      <w:pPr>
        <w:spacing w:after="80"/>
      </w:pPr>
      <w:r>
        <w:rPr>
          <w:rFonts w:ascii="Arial" w:cs="Arial" w:eastAsia="Arial" w:hAnsi="Arial"/>
          <w:sz w:val="20"/>
          <w:szCs w:val="20"/>
        </w:rPr>
        <w:t xml:space="preserve">Główne zmiany wprowadzone w bieżącej wersji obejmują:</w:t>
      </w:r>
    </w:p>
    <w:p>
      <w:pPr>
        <w:spacing w:after="60" w:before="60"/>
      </w:pPr>
      <w:r>
        <w:rPr>
          <w:rFonts w:ascii="Arial" w:cs="Arial" w:eastAsia="Arial" w:hAnsi="Arial"/>
          <w:b/>
          <w:bCs/>
          <w:sz w:val="20"/>
          <w:szCs w:val="20"/>
        </w:rPr>
        <w:t xml:space="preserve">- Sekcja 1.3:</w:t>
      </w:r>
      <w:r>
        <w:rPr>
          <w:rFonts w:ascii="Arial" w:cs="Arial" w:eastAsia="Arial" w:hAnsi="Arial"/>
          <w:sz w:val="20"/>
          <w:szCs w:val="20"/>
        </w:rPr>
        <w:t xml:space="preserve"> Aktualizacja danych dostawcy karty w Rzeczypospolitej Polskiej na ITALLUX Sp. z o.o. (ul. Wesoła 16, 63-600 Kępno, www.prostozwloch.pl).</w:t>
      </w:r>
    </w:p>
    <w:p>
      <w:pPr>
        <w:spacing w:after="60" w:before="60"/>
      </w:pPr>
      <w:r>
        <w:rPr>
          <w:rFonts w:ascii="Arial" w:cs="Arial" w:eastAsia="Arial" w:hAnsi="Arial"/>
          <w:b/>
          <w:bCs/>
          <w:sz w:val="20"/>
          <w:szCs w:val="20"/>
        </w:rPr>
        <w:t xml:space="preserve">- Sekcja 8.1:</w:t>
      </w:r>
      <w:r>
        <w:rPr>
          <w:rFonts w:ascii="Arial" w:cs="Arial" w:eastAsia="Arial" w:hAnsi="Arial"/>
          <w:sz w:val="20"/>
          <w:szCs w:val="20"/>
        </w:rPr>
        <w:t xml:space="preserve"> Weryfikacja i implementacja krajowych norm higienicznych w środowisku pracy (NDS, NDSCh) na podstawie Rozporządzenia MRPiPS (Dz.U. 2018 poz. 1286 z późn. zm.).</w:t>
      </w:r>
    </w:p>
    <w:p>
      <w:pPr>
        <w:spacing w:after="60" w:before="60"/>
      </w:pPr>
      <w:r>
        <w:rPr>
          <w:rFonts w:ascii="Arial" w:cs="Arial" w:eastAsia="Arial" w:hAnsi="Arial"/>
          <w:b/>
          <w:bCs/>
          <w:sz w:val="20"/>
          <w:szCs w:val="20"/>
        </w:rPr>
        <w:t xml:space="preserve">- Sekcja 11.2 i 12.6:</w:t>
      </w:r>
      <w:r>
        <w:rPr>
          <w:rFonts w:ascii="Arial" w:cs="Arial" w:eastAsia="Arial" w:hAnsi="Arial"/>
          <w:sz w:val="20"/>
          <w:szCs w:val="20"/>
        </w:rPr>
        <w:t xml:space="preserve"> Wdrożenie obligatoryjnych podsekcji dotyczących właściwości zaburzających funkcjonowanie układu hormonalnego.</w:t>
      </w:r>
    </w:p>
    <w:p>
      <w:pPr>
        <w:spacing w:after="60" w:before="60"/>
      </w:pPr>
      <w:r>
        <w:rPr>
          <w:rFonts w:ascii="Arial" w:cs="Arial" w:eastAsia="Arial" w:hAnsi="Arial"/>
          <w:b/>
          <w:bCs/>
          <w:sz w:val="20"/>
          <w:szCs w:val="20"/>
        </w:rPr>
        <w:t xml:space="preserve">- Sekcja 13:</w:t>
      </w:r>
      <w:r>
        <w:rPr>
          <w:rFonts w:ascii="Arial" w:cs="Arial" w:eastAsia="Arial" w:hAnsi="Arial"/>
          <w:sz w:val="20"/>
          <w:szCs w:val="20"/>
        </w:rPr>
        <w:t xml:space="preserve"> Aktualizacja klasyfikacji i 6-cyfrowych kodów odpadów zgodnie z ustawą o odpadach i Dz.U. 2020 poz. 10.</w:t>
      </w:r>
    </w:p>
    <w:p>
      <w:pPr>
        <w:spacing w:after="60" w:before="60"/>
      </w:pPr>
      <w:r>
        <w:rPr>
          <w:rFonts w:ascii="Arial" w:cs="Arial" w:eastAsia="Arial" w:hAnsi="Arial"/>
          <w:b/>
          <w:bCs/>
          <w:sz w:val="20"/>
          <w:szCs w:val="20"/>
        </w:rPr>
        <w:t xml:space="preserve">- Sekcja 14:</w:t>
      </w:r>
      <w:r>
        <w:rPr>
          <w:rFonts w:ascii="Arial" w:cs="Arial" w:eastAsia="Arial" w:hAnsi="Arial"/>
          <w:sz w:val="20"/>
          <w:szCs w:val="20"/>
        </w:rPr>
        <w:t xml:space="preserve"> Weryfikacja i zharmonizowanie warunków przewozu zgodnie z Umową ADR.</w:t>
      </w:r>
    </w:p>
    <w:p>
      <w:pPr>
        <w:spacing w:after="80" w:before="150"/>
      </w:pPr>
      <w:r>
        <w:rPr>
          <w:rFonts w:ascii="Arial" w:cs="Arial" w:eastAsia="Arial" w:hAnsi="Arial"/>
          <w:b/>
          <w:bCs/>
          <w:sz w:val="20"/>
          <w:szCs w:val="20"/>
        </w:rPr>
        <w:t xml:space="preserve">Klauzula prawna i ochrona praw autorskich:</w:t>
      </w:r>
    </w:p>
    <w:p>
      <w:pPr>
        <w:spacing w:after="80"/>
      </w:pPr>
      <w:r>
        <w:rPr>
          <w:rFonts w:ascii="Arial" w:cs="Arial" w:eastAsia="Arial" w:hAnsi="Arial"/>
          <w:sz w:val="20"/>
          <w:szCs w:val="20"/>
        </w:rPr>
        <w:t xml:space="preserve">Niniejsze autorskie opracowanie tłumaczenia, formatowania oraz adaptacji regulacyjnej do prawa polskiego stanowi własność intelektualną firmy ITALLUX Sp. z o.o.. Kopiowanie i wykorzystywanie całości lub fragmentów w celach komercyjnych przez podmioty trzecie bez uprzedniej zgody właściciela jest zabronione. Dozwolone jest wykorzystanie dokumentu przez odbiorców w łańcuchu dostaw do celów bezpieczeństwa pracy i ochrony zdrowia.</w:t>
      </w:r>
    </w:p>
    <w:p>
      <w:pPr>
        <w:spacing w:after="80"/>
      </w:pPr>
      <w:r>
        <w:rPr>
          <w:rFonts w:ascii="Arial" w:cs="Arial" w:eastAsia="Arial" w:hAnsi="Arial"/>
          <w:sz w:val="20"/>
          <w:szCs w:val="20"/>
        </w:rPr>
        <w:t xml:space="preserve">Informacje zawarte w niniejszej karcie wynikają z aktualnego stanu wiedzy producenta i dystrybutora i odnoszą się wyłącznie do opisanego produktu. Użytkownik ponosi odpowiedzialność za stworzenie bezpiecznych warunków pracy oraz spełnienie wymagań prawnych związanych z jego zastosowaniem.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E5E7EB" w:sz="4" w:space="4"/>
      </w:pBdr>
      <w:spacing w:before="120"/>
      <w:jc w:val="right"/>
    </w:pPr>
    <w:r>
      <w:rPr>
        <w:rFonts w:ascii="Arial" w:cs="Arial" w:eastAsia="Arial" w:hAnsi="Arial"/>
        <w:color w:val="555555"/>
        <w:sz w:val="16"/>
        <w:szCs w:val="16"/>
      </w:rPr>
      <w:t xml:space="preserve">Dystrybutor: ITALLUX Sp. z o.o. | </w:t>
    </w:r>
    <w:r>
      <w:rPr>
        <w:rFonts w:ascii="Arial" w:cs="Arial" w:eastAsia="Arial" w:hAnsi="Arial"/>
        <w:color w:val="555555"/>
        <w:sz w:val="16"/>
        <w:szCs w:val="16"/>
      </w:rPr>
      <w:t xml:space="preserve">Strona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z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E5E7EB" w:sz="4" w:space="4"/>
      </w:pBdr>
      <w:spacing w:after="120"/>
      <w:jc w:val="right"/>
    </w:pPr>
    <w:r>
      <w:rPr>
        <w:rFonts w:ascii="Arial" w:cs="Arial" w:eastAsia="Arial" w:hAnsi="Arial"/>
        <w:color w:val="555555"/>
        <w:sz w:val="16"/>
        <w:szCs w:val="16"/>
      </w:rPr>
      <w:t xml:space="preserve">KARTA CHARAKTERYSTYKI | SWEET HOME - PROFUMATORE AMBIENTE ORCHIDEA E VANIGLIA V2 | Wersja: 1.0 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df4620fc619cfcec683facca7e88bc7fd37dd8.undefined"/><Relationship Id="rId10" Type="http://schemas.openxmlformats.org/officeDocument/2006/relationships/image" Target="media/ab3b38ff5aec5db8cf291d921b1836a765ff072f.undefined"/><Relationship Id="rId11" Type="http://schemas.openxmlformats.org/officeDocument/2006/relationships/image" Target="media/bb4e46ba2799965d0181b8cc93349251770e4a8c.undefined"/><Relationship Id="rId12" Type="http://schemas.openxmlformats.org/officeDocument/2006/relationships/image" Target="media/40ebfa5564939c27d85f5e4019dc884a31c847f6.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2026-09-16T04:36:32.675Z</dcterms:created>
  <dcterms:modified xsi:type="dcterms:W3CDTF">2026-09-16T04:36:32.675Z</dcterms:modified>
</cp:coreProperties>
</file>

<file path=docProps/custom.xml><?xml version="1.0" encoding="utf-8"?>
<Properties xmlns="http://schemas.openxmlformats.org/officeDocument/2006/custom-properties" xmlns:vt="http://schemas.openxmlformats.org/officeDocument/2006/docPropsVTypes"/>
</file>