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sz w:val="36"/>
          <w:szCs w:val="36"/>
        </w:rPr>
        <w:t xml:space="preserve">KARTA CHARAKTERYSTYKI</w:t>
      </w:r>
    </w:p>
    <w:p>
      <w:pPr>
        <w:spacing w:after="200"/>
        <w:jc w:val="center"/>
      </w:pPr>
      <w:r>
        <w:rPr>
          <w:rFonts w:ascii="Arial" w:cs="Arial" w:eastAsia="Arial" w:hAnsi="Arial"/>
          <w:i/>
          <w:iCs/>
          <w:color w:val="444444"/>
          <w:sz w:val="16"/>
          <w:szCs w:val="16"/>
        </w:rPr>
        <w:t xml:space="preserve">[Sporządzona zgodnie z Rozporządzeniem (WE) nr 1907/2006 (REACH), zmienionym Rozporządzeniem Komisji (UE) 2020/878]</w:t>
      </w:r>
    </w:p>
    <w:tbl>
      <w:tblPr>
        <w:tblW w:type="pct" w:w="100%"/>
        <w:tblBorders>
          <w:top w:val="single" w:color="00A651" w:sz="6"/>
          <w:left w:val="single" w:color="D0D5DD" w:sz="4"/>
          <w:bottom w:val="single" w:color="00A651" w:sz="6"/>
          <w:right w:val="single" w:color="D0D5DD" w:sz="4"/>
          <w:insideH w:val="none"/>
          <w:insideV w:val="single" w:color="E5E7EB" w:sz="4"/>
        </w:tblBorders>
      </w:tblPr>
      <w:tblGrid>
        <w:gridCol w:w="100"/>
        <w:gridCol w:w="100"/>
      </w:tblGrid>
      <w:tr>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Data sporządzenia: </w:t>
            </w:r>
            <w:r>
              <w:rPr>
                <w:rFonts w:ascii="Arial" w:cs="Arial" w:eastAsia="Arial" w:hAnsi="Arial"/>
                <w:sz w:val="18"/>
                <w:szCs w:val="18"/>
              </w:rPr>
              <w:t xml:space="preserve">16.09.2026</w:t>
            </w:r>
          </w:p>
          <w:p>
            <w:r>
              <w:rPr>
                <w:rFonts w:ascii="Arial" w:cs="Arial" w:eastAsia="Arial" w:hAnsi="Arial"/>
                <w:b/>
                <w:bCs/>
                <w:sz w:val="18"/>
                <w:szCs w:val="18"/>
              </w:rPr>
              <w:t xml:space="preserve">Aktualizacja: </w:t>
            </w:r>
            <w:r>
              <w:rPr>
                <w:rFonts w:ascii="Arial" w:cs="Arial" w:eastAsia="Arial" w:hAnsi="Arial"/>
                <w:sz w:val="18"/>
                <w:szCs w:val="18"/>
              </w:rPr>
              <w:t xml:space="preserve">Nie dotyczy</w:t>
            </w:r>
          </w:p>
        </w:tc>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Wersja: </w:t>
            </w:r>
            <w:r>
              <w:rPr>
                <w:rFonts w:ascii="Arial" w:cs="Arial" w:eastAsia="Arial" w:hAnsi="Arial"/>
                <w:sz w:val="18"/>
                <w:szCs w:val="18"/>
              </w:rPr>
              <w:t xml:space="preserve">1.0 PL</w:t>
            </w:r>
          </w:p>
          <w:p>
            <w:r>
              <w:rPr>
                <w:rFonts w:ascii="Arial" w:cs="Arial" w:eastAsia="Arial" w:hAnsi="Arial"/>
                <w:b/>
                <w:bCs/>
                <w:sz w:val="18"/>
                <w:szCs w:val="18"/>
              </w:rPr>
              <w:t xml:space="preserve">Zastępuje wersję: </w:t>
            </w:r>
            <w:r>
              <w:rPr>
                <w:rFonts w:ascii="Arial" w:cs="Arial" w:eastAsia="Arial" w:hAnsi="Arial"/>
                <w:sz w:val="18"/>
                <w:szCs w:val="18"/>
              </w:rPr>
              <w:t xml:space="preserve">Brak (wydanie pierwsze w języku polskim, opracowane na podstawie SDS producenta z dnia 03.12.2024 r.)</w:t>
            </w:r>
          </w:p>
        </w:tc>
      </w:tr>
    </w:tbl>
    <w:p>
      <w:pPr>
        <w:spacing w:after="200"/>
      </w:pP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SANDALO</w:t>
      </w:r>
    </w:p>
    <w:p>
      <w:pPr>
        <w:spacing w:after="80" w:before="80"/>
      </w:pPr>
      <w:r>
        <w:rPr>
          <w:rFonts w:ascii="Arial" w:cs="Arial" w:eastAsia="Arial" w:hAnsi="Arial"/>
          <w:b/>
          <w:bCs/>
          <w:sz w:val="20"/>
          <w:szCs w:val="20"/>
        </w:rPr>
        <w:t xml:space="preserve">Kod produktu:</w:t>
      </w:r>
      <w:r>
        <w:rPr>
          <w:rFonts w:ascii="Arial" w:cs="Arial" w:eastAsia="Arial" w:hAnsi="Arial"/>
          <w:sz w:val="20"/>
          <w:szCs w:val="20"/>
        </w:rPr>
        <w:t xml:space="preserve"> BLK0276-2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U6KJ-F3SM-UX0Q-6532</w:t>
      </w:r>
    </w:p>
    <w:p>
      <w:pPr>
        <w:spacing w:after="80"/>
      </w:pPr>
      <w:r>
        <w:rPr>
          <w:rFonts w:ascii="Arial" w:cs="Arial" w:eastAsia="Arial" w:hAnsi="Arial"/>
          <w:sz w:val="20"/>
          <w:szCs w:val="20"/>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SANDALO</w:t>
      </w:r>
    </w:p>
    <w:p>
      <w:pPr>
        <w:spacing w:after="80" w:before="80"/>
      </w:pPr>
      <w:r>
        <w:rPr>
          <w:rFonts w:ascii="Arial" w:cs="Arial" w:eastAsia="Arial" w:hAnsi="Arial"/>
          <w:b/>
          <w:bCs/>
          <w:sz w:val="20"/>
          <w:szCs w:val="20"/>
        </w:rPr>
        <w:t xml:space="preserve">Kod produktu:</w:t>
      </w:r>
      <w:r>
        <w:rPr>
          <w:rFonts w:ascii="Arial" w:cs="Arial" w:eastAsia="Arial" w:hAnsi="Arial"/>
          <w:sz w:val="20"/>
          <w:szCs w:val="20"/>
        </w:rPr>
        <w:t xml:space="preserve"> BLK0276-2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U6KJ-F3SM-UX0Q-6532</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before="80"/>
      </w:pPr>
      <w:r>
        <w:rPr>
          <w:rFonts w:ascii="Arial" w:cs="Arial" w:eastAsia="Arial" w:hAnsi="Arial"/>
          <w:b/>
          <w:bCs/>
          <w:sz w:val="20"/>
          <w:szCs w:val="20"/>
        </w:rPr>
        <w:t xml:space="preserve">Zastosowanie zidentyfikowane:</w:t>
      </w:r>
      <w:r>
        <w:rPr>
          <w:rFonts w:ascii="Arial" w:cs="Arial" w:eastAsia="Arial" w:hAnsi="Arial"/>
          <w:sz w:val="20"/>
          <w:szCs w:val="20"/>
        </w:rPr>
        <w:t xml:space="preserve"> Zastosowanie konsumenckie: Room deodorant.</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Wszelkie inne zastosowania nieprzewidziane przez producenta (nie stosować do celów przemysłowych ani profesjonalnych).</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ITALLUX Sp. z o.o.</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ITALLUX Sp. z o.o.</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w:t>
      </w:r>
    </w:p>
    <w:p>
      <w:pPr>
        <w:spacing w:after="80" w:before="80"/>
      </w:pPr>
      <w:r>
        <w:rPr>
          <w:rFonts w:ascii="Arial" w:cs="Arial" w:eastAsia="Arial" w:hAnsi="Arial"/>
          <w:b/>
          <w:bCs/>
          <w:sz w:val="20"/>
          <w:szCs w:val="20"/>
        </w:rPr>
        <w:t xml:space="preserve">Strona www:</w:t>
      </w:r>
      <w:r>
        <w:rPr>
          <w:rFonts w:ascii="Arial" w:cs="Arial" w:eastAsia="Arial" w:hAnsi="Arial"/>
          <w:sz w:val="20"/>
          <w:szCs w:val="20"/>
        </w:rPr>
        <w:t xml:space="preserve"> www.prostozwloch.com.pl</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Flam. Liq. 2 (Substancja ciekła łatwopalna, kategoria 2)</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Eye Irrit. 2 (Działanie drażniące na oczy, kategoria 2)</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Skin Sens. 1 (Działanie uczulające na skórę, kategoria 1)</w:t>
      </w:r>
    </w:p>
    <w:p>
      <w:pPr>
        <w:spacing w:after="80"/>
      </w:pPr>
      <w:r>
        <w:rPr>
          <w:rFonts w:ascii="Arial" w:cs="Arial" w:eastAsia="Arial" w:hAnsi="Arial"/>
          <w:sz w:val="20"/>
          <w:szCs w:val="20"/>
        </w:rPr>
        <w:t xml:space="preserve">H317 Może powodować reakcję alergiczną skóry.</w:t>
      </w:r>
    </w:p>
    <w:p>
      <w:pPr>
        <w:spacing w:after="80"/>
      </w:pPr>
      <w:r>
        <w:rPr>
          <w:rFonts w:ascii="Arial" w:cs="Arial" w:eastAsia="Arial" w:hAnsi="Arial"/>
          <w:sz w:val="20"/>
          <w:szCs w:val="20"/>
        </w:rPr>
        <w:t xml:space="preserve">Aquatic Chronic 3 (Stwarzające zagrożenie dla środowiska wodnego – kategoria przewlekła 3)</w:t>
      </w:r>
    </w:p>
    <w:p>
      <w:pPr>
        <w:spacing w:after="80"/>
      </w:pPr>
      <w:r>
        <w:rPr>
          <w:rFonts w:ascii="Arial" w:cs="Arial" w:eastAsia="Arial" w:hAnsi="Arial"/>
          <w:sz w:val="20"/>
          <w:szCs w:val="20"/>
        </w:rPr>
        <w:t xml:space="preserve">H412 Działa szkodliwie na organizmy wodne, powodując długotrwałe skutki.</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 i hasło ostrzegawcze: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Niebezpieczeństwo</w:t>
      </w:r>
    </w:p>
    <w:p>
      <w:pPr>
        <w:spacing w:after="80" w:before="150"/>
      </w:pPr>
      <w:r>
        <w:rPr>
          <w:rFonts w:ascii="Arial" w:cs="Arial" w:eastAsia="Arial" w:hAnsi="Arial"/>
          <w:b/>
          <w:bCs/>
          <w:sz w:val="20"/>
          <w:szCs w:val="20"/>
        </w:rPr>
        <w:t xml:space="preserve">Nazwy niebezpiecznych substancji wymienione na etykiecie</w:t>
      </w:r>
    </w:p>
    <w:p>
      <w:pPr>
        <w:spacing w:after="80"/>
      </w:pPr>
      <w:r>
        <w:rPr>
          <w:rFonts w:ascii="Arial" w:cs="Arial" w:eastAsia="Arial" w:hAnsi="Arial"/>
          <w:sz w:val="20"/>
          <w:szCs w:val="20"/>
        </w:rPr>
        <w:t xml:space="preserve">etanol</w:t>
      </w:r>
    </w:p>
    <w:p>
      <w:pPr>
        <w:spacing w:after="80" w:before="150"/>
      </w:pPr>
      <w:r>
        <w:rPr>
          <w:rFonts w:ascii="Arial" w:cs="Arial" w:eastAsia="Arial" w:hAnsi="Arial"/>
          <w:b/>
          <w:bCs/>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H317 Może powodować reakcję alergiczną skóry.</w:t>
      </w:r>
    </w:p>
    <w:p>
      <w:pPr>
        <w:spacing w:after="80"/>
      </w:pPr>
      <w:r>
        <w:rPr>
          <w:rFonts w:ascii="Arial" w:cs="Arial" w:eastAsia="Arial" w:hAnsi="Arial"/>
          <w:sz w:val="20"/>
          <w:szCs w:val="20"/>
        </w:rPr>
        <w:t xml:space="preserve">H412 Działa szkodliwie na organizmy wodne, powodując długotrwałe skutki.</w:t>
      </w:r>
    </w:p>
    <w:p>
      <w:pPr>
        <w:spacing w:after="80" w:before="150"/>
      </w:pPr>
      <w:r>
        <w:rPr>
          <w:rFonts w:ascii="Arial" w:cs="Arial" w:eastAsia="Arial" w:hAnsi="Arial"/>
          <w:b/>
          <w:bCs/>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P302+P352 W PRZYPADKU KONTAKTU ZE SKÓRĄ: Umyć dużą ilością wody z mydłem.</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P333+P313 W przypadku wystąpienia podrażnienia skóry lub wysypki: Zasięgnąć porady/zgłosić się pod opiekę lekarza.</w:t>
      </w:r>
    </w:p>
    <w:p>
      <w:pPr>
        <w:spacing w:after="80" w:before="150"/>
      </w:pPr>
      <w:r>
        <w:rPr>
          <w:rFonts w:ascii="Arial" w:cs="Arial" w:eastAsia="Arial" w:hAnsi="Arial"/>
          <w:b/>
          <w:bCs/>
          <w:sz w:val="20"/>
          <w:szCs w:val="20"/>
        </w:rPr>
        <w:t xml:space="preserve">Informacje uzupełniające</w:t>
      </w:r>
    </w:p>
    <w:p>
      <w:pPr>
        <w:spacing w:after="80"/>
      </w:pPr>
      <w:r>
        <w:rPr>
          <w:rFonts w:ascii="Arial" w:cs="Arial" w:eastAsia="Arial" w:hAnsi="Arial"/>
          <w:sz w:val="20"/>
          <w:szCs w:val="20"/>
        </w:rPr>
        <w:t xml:space="preserve">EUH208 Zawiera octan 4-tert-butylocykloheksylu, linalol, salicylan benzylu, 1,8-cyneol (eukaliptol), trimethylcyclohexyl]hexan-3-ol, aldehyd cynamonowy. Może powodować wystąpienie reakcji alergicznej.</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01-2119457610-43</w:t>
            </w:r>
          </w:p>
        </w:tc>
        <w:tc>
          <w:tcPr>
            <w:tcW w:type="dxa" w:w="2800"/>
          </w:tcPr>
          <w:p>
            <w:pPr>
              <w:spacing w:after="40"/>
            </w:pPr>
            <w:r>
              <w:rPr>
                <w:rFonts w:ascii="Arial" w:cs="Arial" w:eastAsia="Arial" w:hAnsi="Arial"/>
                <w:sz w:val="17"/>
                <w:szCs w:val="17"/>
              </w:rPr>
              <w:t xml:space="preserve">Flam. Liq. 2 H225, Eye Irrit. 2 H319</w:t>
            </w:r>
          </w:p>
          <w:p>
            <w:pPr>
              <w:spacing w:after="40"/>
            </w:pPr>
            <w:r>
              <w:rPr>
                <w:rFonts w:ascii="Arial" w:cs="Arial" w:eastAsia="Arial" w:hAnsi="Arial"/>
                <w:sz w:val="17"/>
                <w:szCs w:val="17"/>
              </w:rPr>
              <w:t xml:space="preserve">Eye Irrit. 2 H319: ≥ 50%</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octan 4-tert-butylocykloheksylu</w:t>
            </w:r>
          </w:p>
          <w:p>
            <w:r>
              <w:rPr>
                <w:rFonts w:ascii="Arial" w:cs="Arial" w:eastAsia="Arial" w:hAnsi="Arial"/>
                <w:i/>
                <w:iCs/>
                <w:color w:val="666666"/>
                <w:sz w:val="16"/>
                <w:szCs w:val="16"/>
              </w:rPr>
              <w:t xml:space="preserve">(ang. ACETATE)</w:t>
            </w:r>
          </w:p>
        </w:tc>
        <w:tc>
          <w:tcPr>
            <w:tcW w:type="dxa" w:w="2600"/>
          </w:tcPr>
          <w:p>
            <w:pPr>
              <w:spacing w:after="40"/>
            </w:pPr>
            <w:r>
              <w:rPr>
                <w:rFonts w:ascii="Arial" w:cs="Arial" w:eastAsia="Arial" w:hAnsi="Arial"/>
                <w:sz w:val="17"/>
                <w:szCs w:val="17"/>
              </w:rPr>
              <w:t xml:space="preserve">Numer CAS: 32210-23-4</w:t>
            </w:r>
          </w:p>
          <w:p>
            <w:pPr>
              <w:spacing w:after="40"/>
            </w:pPr>
            <w:r>
              <w:rPr>
                <w:rFonts w:ascii="Arial" w:cs="Arial" w:eastAsia="Arial" w:hAnsi="Arial"/>
                <w:sz w:val="17"/>
                <w:szCs w:val="17"/>
              </w:rPr>
              <w:t xml:space="preserve">Numer WE: 250-954-9</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01-2119976286-24</w:t>
            </w:r>
          </w:p>
        </w:tc>
        <w:tc>
          <w:tcPr>
            <w:tcW w:type="dxa" w:w="2800"/>
          </w:tcPr>
          <w:p>
            <w:pPr>
              <w:spacing w:after="40"/>
            </w:pPr>
            <w:r>
              <w:rPr>
                <w:rFonts w:ascii="Arial" w:cs="Arial" w:eastAsia="Arial" w:hAnsi="Arial"/>
                <w:sz w:val="17"/>
                <w:szCs w:val="17"/>
              </w:rPr>
              <w:t xml:space="preserve">Skin Sens. 1B H317</w:t>
            </w:r>
          </w:p>
        </w:tc>
        <w:tc>
          <w:tcPr>
            <w:tcW w:type="dxa" w:w="1400"/>
          </w:tcPr>
          <w:p>
            <w:r>
              <w:rPr>
                <w:rFonts w:ascii="Arial" w:cs="Arial" w:eastAsia="Arial" w:hAnsi="Arial"/>
                <w:sz w:val="18"/>
                <w:szCs w:val="18"/>
              </w:rPr>
              <w:t xml:space="preserve">7 ≤ x &lt; 8 %</w:t>
            </w:r>
          </w:p>
        </w:tc>
      </w:tr>
      <w:tr>
        <w:tc>
          <w:tcPr>
            <w:tcW w:type="dxa" w:w="2800"/>
          </w:tcPr>
          <w:p>
            <w:pPr>
              <w:spacing w:after="40"/>
            </w:pPr>
            <w:r>
              <w:rPr>
                <w:rFonts w:ascii="Arial" w:cs="Arial" w:eastAsia="Arial" w:hAnsi="Arial"/>
                <w:b/>
                <w:bCs/>
                <w:sz w:val="18"/>
                <w:szCs w:val="18"/>
              </w:rPr>
              <w:t xml:space="preserve">(2-metoksymetyloetoksy)propanol</w:t>
            </w:r>
          </w:p>
          <w:p>
            <w:r>
              <w:rPr>
                <w:rFonts w:ascii="Arial" w:cs="Arial" w:eastAsia="Arial" w:hAnsi="Arial"/>
                <w:i/>
                <w:iCs/>
                <w:color w:val="666666"/>
                <w:sz w:val="16"/>
                <w:szCs w:val="16"/>
              </w:rPr>
              <w:t xml:space="preserve">(ang. MONOMETHYL ETHER)</w:t>
            </w:r>
          </w:p>
        </w:tc>
        <w:tc>
          <w:tcPr>
            <w:tcW w:type="dxa" w:w="2600"/>
          </w:tcPr>
          <w:p>
            <w:pPr>
              <w:spacing w:after="40"/>
            </w:pPr>
            <w:r>
              <w:rPr>
                <w:rFonts w:ascii="Arial" w:cs="Arial" w:eastAsia="Arial" w:hAnsi="Arial"/>
                <w:sz w:val="17"/>
                <w:szCs w:val="17"/>
              </w:rPr>
              <w:t xml:space="preserve">Numer CAS: 34590-94-8</w:t>
            </w:r>
          </w:p>
          <w:p>
            <w:pPr>
              <w:spacing w:after="40"/>
            </w:pPr>
            <w:r>
              <w:rPr>
                <w:rFonts w:ascii="Arial" w:cs="Arial" w:eastAsia="Arial" w:hAnsi="Arial"/>
                <w:sz w:val="17"/>
                <w:szCs w:val="17"/>
              </w:rPr>
              <w:t xml:space="preserve">Numer WE: 252-104-2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01-2119450011-60</w:t>
            </w:r>
          </w:p>
        </w:tc>
        <w:tc>
          <w:tcPr>
            <w:tcW w:type="dxa" w:w="2800"/>
          </w:tcPr>
          <w:p>
            <w:pPr>
              <w:spacing w:after="40"/>
            </w:pPr>
            <w:r>
              <w:rPr>
                <w:rFonts w:ascii="Arial" w:cs="Arial" w:eastAsia="Arial" w:hAnsi="Arial"/>
                <w:sz w:val="17"/>
                <w:szCs w:val="17"/>
              </w:rPr>
              <w:t xml:space="preserve">Substance with a community workplace exposure limit.</w:t>
            </w:r>
          </w:p>
        </w:tc>
        <w:tc>
          <w:tcPr>
            <w:tcW w:type="dxa" w:w="1400"/>
          </w:tcPr>
          <w:p>
            <w:r>
              <w:rPr>
                <w:rFonts w:ascii="Arial" w:cs="Arial" w:eastAsia="Arial" w:hAnsi="Arial"/>
                <w:sz w:val="18"/>
                <w:szCs w:val="18"/>
              </w:rPr>
              <w:t xml:space="preserve">3,5 ≤ x &lt; 4 %</w:t>
            </w:r>
          </w:p>
        </w:tc>
      </w:tr>
      <w:tr>
        <w:tc>
          <w:tcPr>
            <w:tcW w:type="dxa" w:w="2800"/>
          </w:tcPr>
          <w:p>
            <w:pPr>
              <w:spacing w:after="40"/>
            </w:pPr>
            <w:r>
              <w:rPr>
                <w:rFonts w:ascii="Arial" w:cs="Arial" w:eastAsia="Arial" w:hAnsi="Arial"/>
                <w:b/>
                <w:bCs/>
                <w:sz w:val="18"/>
                <w:szCs w:val="18"/>
              </w:rPr>
              <w:t xml:space="preserve">2-etylo-4-(2,2,3-trimetylocyklopent-3-en-1-ylo)but-2-en-1-ol</w:t>
            </w:r>
          </w:p>
          <w:p>
            <w:r>
              <w:rPr>
                <w:rFonts w:ascii="Arial" w:cs="Arial" w:eastAsia="Arial" w:hAnsi="Arial"/>
                <w:i/>
                <w:iCs/>
                <w:color w:val="666666"/>
                <w:sz w:val="16"/>
                <w:szCs w:val="16"/>
              </w:rPr>
              <w:t xml:space="preserve">(ang. OL)</w:t>
            </w:r>
          </w:p>
        </w:tc>
        <w:tc>
          <w:tcPr>
            <w:tcW w:type="dxa" w:w="2600"/>
          </w:tcPr>
          <w:p>
            <w:pPr>
              <w:spacing w:after="40"/>
            </w:pPr>
            <w:r>
              <w:rPr>
                <w:rFonts w:ascii="Arial" w:cs="Arial" w:eastAsia="Arial" w:hAnsi="Arial"/>
                <w:sz w:val="17"/>
                <w:szCs w:val="17"/>
              </w:rPr>
              <w:t xml:space="preserve">Numer CAS: 28219-61-6</w:t>
            </w:r>
          </w:p>
          <w:p>
            <w:pPr>
              <w:spacing w:after="40"/>
            </w:pPr>
            <w:r>
              <w:rPr>
                <w:rFonts w:ascii="Arial" w:cs="Arial" w:eastAsia="Arial" w:hAnsi="Arial"/>
                <w:sz w:val="17"/>
                <w:szCs w:val="17"/>
              </w:rPr>
              <w:t xml:space="preserve">Numer WE: 248-908-8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01-2119529224-45</w:t>
            </w:r>
          </w:p>
        </w:tc>
        <w:tc>
          <w:tcPr>
            <w:tcW w:type="dxa" w:w="2800"/>
          </w:tcPr>
          <w:p>
            <w:pPr>
              <w:spacing w:after="40"/>
            </w:pPr>
            <w:r>
              <w:rPr>
                <w:rFonts w:ascii="Arial" w:cs="Arial" w:eastAsia="Arial" w:hAnsi="Arial"/>
                <w:sz w:val="17"/>
                <w:szCs w:val="17"/>
              </w:rPr>
              <w:t xml:space="preserve">Eye Irrit. 2 H319, Stwarzające zagrożenie dla środowiska wodnego - kategoria ostra 1 H400 M = 1, Stwarzające zagrożenie dla środowiska wodnego - kategoria przewlekła 1 H410 M = 1</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PENTYL SALICYLATE</w:t>
            </w:r>
          </w:p>
        </w:tc>
        <w:tc>
          <w:tcPr>
            <w:tcW w:type="dxa" w:w="2600"/>
          </w:tcPr>
          <w:p>
            <w:pPr>
              <w:spacing w:after="40"/>
            </w:pPr>
            <w:r>
              <w:rPr>
                <w:rFonts w:ascii="Arial" w:cs="Arial" w:eastAsia="Arial" w:hAnsi="Arial"/>
                <w:sz w:val="17"/>
                <w:szCs w:val="17"/>
              </w:rPr>
              <w:t xml:space="preserve">Numer CAS: —</w:t>
            </w:r>
          </w:p>
          <w:p>
            <w:pPr>
              <w:spacing w:after="40"/>
            </w:pPr>
            <w:r>
              <w:rPr>
                <w:rFonts w:ascii="Arial" w:cs="Arial" w:eastAsia="Arial" w:hAnsi="Arial"/>
                <w:sz w:val="17"/>
                <w:szCs w:val="17"/>
              </w:rPr>
              <w:t xml:space="preserve">Numer WE: 911-280-7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01-2119969444-27</w:t>
            </w:r>
          </w:p>
        </w:tc>
        <w:tc>
          <w:tcPr>
            <w:tcW w:type="dxa" w:w="2800"/>
          </w:tcPr>
          <w:p>
            <w:pPr>
              <w:spacing w:after="40"/>
            </w:pPr>
            <w:r>
              <w:rPr>
                <w:rFonts w:ascii="Arial" w:cs="Arial" w:eastAsia="Arial" w:hAnsi="Arial"/>
                <w:sz w:val="17"/>
                <w:szCs w:val="17"/>
              </w:rPr>
              <w:t xml:space="preserve">Acute Tox. 4 H302, Stwarzające zagrożenie dla środowiska wodnego - kategoria ostra 1 H400 M = 1, Stwarzające zagrożenie dla środowiska wodnego - kategoria przewlekła 2 H411</w:t>
            </w:r>
          </w:p>
        </w:tc>
        <w:tc>
          <w:tcPr>
            <w:tcW w:type="dxa" w:w="1400"/>
          </w:tcPr>
          <w:p>
            <w:r>
              <w:rPr>
                <w:rFonts w:ascii="Arial" w:cs="Arial" w:eastAsia="Arial" w:hAnsi="Arial"/>
                <w:sz w:val="18"/>
                <w:szCs w:val="18"/>
              </w:rPr>
              <w:t xml:space="preserve">0,35 ≤ x &lt; 0,4 %</w:t>
            </w:r>
          </w:p>
        </w:tc>
      </w:tr>
      <w:tr>
        <w:tc>
          <w:tcPr>
            <w:tcW w:type="dxa" w:w="2800"/>
          </w:tcPr>
          <w:p>
            <w:pPr>
              <w:spacing w:after="40"/>
            </w:pPr>
            <w:r>
              <w:rPr>
                <w:rFonts w:ascii="Arial" w:cs="Arial" w:eastAsia="Arial" w:hAnsi="Arial"/>
                <w:b/>
                <w:bCs/>
                <w:sz w:val="18"/>
                <w:szCs w:val="18"/>
              </w:rPr>
              <w:t xml:space="preserve">linalol</w:t>
            </w:r>
          </w:p>
          <w:p>
            <w:r>
              <w:rPr>
                <w:rFonts w:ascii="Arial" w:cs="Arial" w:eastAsia="Arial" w:hAnsi="Arial"/>
                <w:i/>
                <w:iCs/>
                <w:color w:val="666666"/>
                <w:sz w:val="16"/>
                <w:szCs w:val="16"/>
              </w:rPr>
              <w:t xml:space="preserve">(ang. linalool)</w:t>
            </w:r>
          </w:p>
        </w:tc>
        <w:tc>
          <w:tcPr>
            <w:tcW w:type="dxa" w:w="2600"/>
          </w:tcPr>
          <w:p>
            <w:pPr>
              <w:spacing w:after="40"/>
            </w:pPr>
            <w:r>
              <w:rPr>
                <w:rFonts w:ascii="Arial" w:cs="Arial" w:eastAsia="Arial" w:hAnsi="Arial"/>
                <w:sz w:val="17"/>
                <w:szCs w:val="17"/>
              </w:rPr>
              <w:t xml:space="preserve">Numer CAS: 78-70-6</w:t>
            </w:r>
          </w:p>
          <w:p>
            <w:pPr>
              <w:spacing w:after="40"/>
            </w:pPr>
            <w:r>
              <w:rPr>
                <w:rFonts w:ascii="Arial" w:cs="Arial" w:eastAsia="Arial" w:hAnsi="Arial"/>
                <w:sz w:val="17"/>
                <w:szCs w:val="17"/>
              </w:rPr>
              <w:t xml:space="preserve">Numer WE: 201-134-4</w:t>
            </w:r>
          </w:p>
          <w:p>
            <w:pPr>
              <w:spacing w:after="40"/>
            </w:pPr>
            <w:r>
              <w:rPr>
                <w:rFonts w:ascii="Arial" w:cs="Arial" w:eastAsia="Arial" w:hAnsi="Arial"/>
                <w:sz w:val="17"/>
                <w:szCs w:val="17"/>
              </w:rPr>
              <w:t xml:space="preserve">Numer indeksowy: 603-235-00-2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01-2119474016-42</w:t>
            </w:r>
          </w:p>
        </w:tc>
        <w:tc>
          <w:tcPr>
            <w:tcW w:type="dxa" w:w="2800"/>
          </w:tcPr>
          <w:p>
            <w:pPr>
              <w:spacing w:after="40"/>
            </w:pPr>
            <w:r>
              <w:rPr>
                <w:rFonts w:ascii="Arial" w:cs="Arial" w:eastAsia="Arial" w:hAnsi="Arial"/>
                <w:sz w:val="17"/>
                <w:szCs w:val="17"/>
              </w:rPr>
              <w:t xml:space="preserve">Eye Irrit. 2 H319, Skin Irrit. 2 H315, Skin Sens. 1B H317</w:t>
            </w:r>
          </w:p>
        </w:tc>
        <w:tc>
          <w:tcPr>
            <w:tcW w:type="dxa" w:w="1400"/>
          </w:tcPr>
          <w:p>
            <w:r>
              <w:rPr>
                <w:rFonts w:ascii="Arial" w:cs="Arial" w:eastAsia="Arial" w:hAnsi="Arial"/>
                <w:sz w:val="18"/>
                <w:szCs w:val="18"/>
              </w:rPr>
              <w:t xml:space="preserve">0,3 ≤ x &lt; 0,35 %</w:t>
            </w:r>
          </w:p>
        </w:tc>
      </w:tr>
      <w:tr>
        <w:tc>
          <w:tcPr>
            <w:tcW w:type="dxa" w:w="2800"/>
          </w:tcPr>
          <w:p>
            <w:pPr>
              <w:spacing w:after="40"/>
            </w:pPr>
            <w:r>
              <w:rPr>
                <w:rFonts w:ascii="Arial" w:cs="Arial" w:eastAsia="Arial" w:hAnsi="Arial"/>
                <w:b/>
                <w:bCs/>
                <w:sz w:val="18"/>
                <w:szCs w:val="18"/>
              </w:rPr>
              <w:t xml:space="preserve">salicylan benzylu</w:t>
            </w:r>
          </w:p>
          <w:p>
            <w:r>
              <w:rPr>
                <w:rFonts w:ascii="Arial" w:cs="Arial" w:eastAsia="Arial" w:hAnsi="Arial"/>
                <w:i/>
                <w:iCs/>
                <w:color w:val="666666"/>
                <w:sz w:val="16"/>
                <w:szCs w:val="16"/>
              </w:rPr>
              <w:t xml:space="preserve">(ang. benzyl salicylate)</w:t>
            </w:r>
          </w:p>
        </w:tc>
        <w:tc>
          <w:tcPr>
            <w:tcW w:type="dxa" w:w="2600"/>
          </w:tcPr>
          <w:p>
            <w:pPr>
              <w:spacing w:after="40"/>
            </w:pPr>
            <w:r>
              <w:rPr>
                <w:rFonts w:ascii="Arial" w:cs="Arial" w:eastAsia="Arial" w:hAnsi="Arial"/>
                <w:sz w:val="17"/>
                <w:szCs w:val="17"/>
              </w:rPr>
              <w:t xml:space="preserve">Numer CAS: 118-58-1</w:t>
            </w:r>
          </w:p>
          <w:p>
            <w:pPr>
              <w:spacing w:after="40"/>
            </w:pPr>
            <w:r>
              <w:rPr>
                <w:rFonts w:ascii="Arial" w:cs="Arial" w:eastAsia="Arial" w:hAnsi="Arial"/>
                <w:sz w:val="17"/>
                <w:szCs w:val="17"/>
              </w:rPr>
              <w:t xml:space="preserve">Numer WE: 204-262-9</w:t>
            </w:r>
          </w:p>
          <w:p>
            <w:pPr>
              <w:spacing w:after="40"/>
            </w:pPr>
            <w:r>
              <w:rPr>
                <w:rFonts w:ascii="Arial" w:cs="Arial" w:eastAsia="Arial" w:hAnsi="Arial"/>
                <w:sz w:val="17"/>
                <w:szCs w:val="17"/>
              </w:rPr>
              <w:t xml:space="preserve">Numer indeksowy: 607-754-00-5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01-2119969442-31</w:t>
            </w:r>
          </w:p>
        </w:tc>
        <w:tc>
          <w:tcPr>
            <w:tcW w:type="dxa" w:w="2800"/>
          </w:tcPr>
          <w:p>
            <w:pPr>
              <w:spacing w:after="40"/>
            </w:pPr>
            <w:r>
              <w:rPr>
                <w:rFonts w:ascii="Arial" w:cs="Arial" w:eastAsia="Arial" w:hAnsi="Arial"/>
                <w:sz w:val="17"/>
                <w:szCs w:val="17"/>
              </w:rPr>
              <w:t xml:space="preserve">Eye Irrit. 2 H319, Skin Sens. 1B H317, Stwarzające zagrożenie dla środowiska wodnego - kategoria przewlekła 3 H412</w:t>
            </w:r>
          </w:p>
        </w:tc>
        <w:tc>
          <w:tcPr>
            <w:tcW w:type="dxa" w:w="1400"/>
          </w:tcPr>
          <w:p>
            <w:r>
              <w:rPr>
                <w:rFonts w:ascii="Arial" w:cs="Arial" w:eastAsia="Arial" w:hAnsi="Arial"/>
                <w:sz w:val="18"/>
                <w:szCs w:val="18"/>
              </w:rPr>
              <w:t xml:space="preserve">0,2 ≤ x &lt; 0,25 %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01-2119565113-46</w:t>
            </w:r>
          </w:p>
        </w:tc>
        <w:tc>
          <w:tcPr>
            <w:tcW w:type="dxa" w:w="2800"/>
          </w:tcPr>
          <w:p>
            <w:pPr>
              <w:spacing w:after="40"/>
            </w:pPr>
            <w:r>
              <w:rPr>
                <w:rFonts w:ascii="Arial" w:cs="Arial" w:eastAsia="Arial" w:hAnsi="Arial"/>
                <w:sz w:val="17"/>
                <w:szCs w:val="17"/>
              </w:rPr>
              <w:t xml:space="preserve">Stwarzające zagrożenie dla środowiska wodnego - kategoria przewlekła 1 H410 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 trans-3,3-dimetylo-5-(2,2,3-trimetylocyklopent-3-en-1-ylo)pent-4-en-2-ol</w:t>
            </w:r>
          </w:p>
          <w:p>
            <w:r>
              <w:rPr>
                <w:rFonts w:ascii="Arial" w:cs="Arial" w:eastAsia="Arial" w:hAnsi="Arial"/>
                <w:i/>
                <w:iCs/>
                <w:color w:val="666666"/>
                <w:sz w:val="16"/>
                <w:szCs w:val="16"/>
              </w:rPr>
              <w:t xml:space="preserve">(ang. cyclopent-3-en-1-yl)-pent-4-en-2-ol)</w:t>
            </w:r>
          </w:p>
        </w:tc>
        <w:tc>
          <w:tcPr>
            <w:tcW w:type="dxa" w:w="2600"/>
          </w:tcPr>
          <w:p>
            <w:pPr>
              <w:spacing w:after="40"/>
            </w:pPr>
            <w:r>
              <w:rPr>
                <w:rFonts w:ascii="Arial" w:cs="Arial" w:eastAsia="Arial" w:hAnsi="Arial"/>
                <w:sz w:val="17"/>
                <w:szCs w:val="17"/>
              </w:rPr>
              <w:t xml:space="preserve">Numer CAS: 107898-54-4</w:t>
            </w:r>
          </w:p>
          <w:p>
            <w:pPr>
              <w:spacing w:after="40"/>
            </w:pPr>
            <w:r>
              <w:rPr>
                <w:rFonts w:ascii="Arial" w:cs="Arial" w:eastAsia="Arial" w:hAnsi="Arial"/>
                <w:sz w:val="17"/>
                <w:szCs w:val="17"/>
              </w:rPr>
              <w:t xml:space="preserve">Numer WE: 411-580-3</w:t>
            </w:r>
          </w:p>
          <w:p>
            <w:pPr>
              <w:spacing w:after="40"/>
            </w:pPr>
            <w:r>
              <w:rPr>
                <w:rFonts w:ascii="Arial" w:cs="Arial" w:eastAsia="Arial" w:hAnsi="Arial"/>
                <w:sz w:val="17"/>
                <w:szCs w:val="17"/>
              </w:rPr>
              <w:t xml:space="preserve">Numer indeksowy: 603-150-00-0</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01-0000015895-58</w:t>
            </w:r>
          </w:p>
        </w:tc>
        <w:tc>
          <w:tcPr>
            <w:tcW w:type="dxa" w:w="2800"/>
          </w:tcPr>
          <w:p>
            <w:pPr>
              <w:spacing w:after="40"/>
            </w:pPr>
            <w:r>
              <w:rPr>
                <w:rFonts w:ascii="Arial" w:cs="Arial" w:eastAsia="Arial" w:hAnsi="Arial"/>
                <w:sz w:val="17"/>
                <w:szCs w:val="17"/>
              </w:rPr>
              <w:t xml:space="preserve">Skin Irrit. 2 H315, Stwarzające zagrożenie dla środowiska wodnego - kategoria ostra 1 H400 M = 1, Stwarzające zagrożenie dla środowiska wodnego - kategoria przewlekła 1 H410 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1,8-cyneol (eukaliptol)</w:t>
            </w:r>
          </w:p>
          <w:p>
            <w:r>
              <w:rPr>
                <w:rFonts w:ascii="Arial" w:cs="Arial" w:eastAsia="Arial" w:hAnsi="Arial"/>
                <w:i/>
                <w:iCs/>
                <w:color w:val="666666"/>
                <w:sz w:val="16"/>
                <w:szCs w:val="16"/>
              </w:rPr>
              <w:t xml:space="preserve">(ang. CINEOLE)</w:t>
            </w:r>
          </w:p>
        </w:tc>
        <w:tc>
          <w:tcPr>
            <w:tcW w:type="dxa" w:w="2600"/>
          </w:tcPr>
          <w:p>
            <w:pPr>
              <w:spacing w:after="40"/>
            </w:pPr>
            <w:r>
              <w:rPr>
                <w:rFonts w:ascii="Arial" w:cs="Arial" w:eastAsia="Arial" w:hAnsi="Arial"/>
                <w:sz w:val="17"/>
                <w:szCs w:val="17"/>
              </w:rPr>
              <w:t xml:space="preserve">Numer CAS: 470-82-6</w:t>
            </w:r>
          </w:p>
          <w:p>
            <w:pPr>
              <w:spacing w:after="40"/>
            </w:pPr>
            <w:r>
              <w:rPr>
                <w:rFonts w:ascii="Arial" w:cs="Arial" w:eastAsia="Arial" w:hAnsi="Arial"/>
                <w:sz w:val="17"/>
                <w:szCs w:val="17"/>
              </w:rPr>
              <w:t xml:space="preserve">Numer WE: 207-431-5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01-2119967772-24</w:t>
            </w:r>
          </w:p>
        </w:tc>
        <w:tc>
          <w:tcPr>
            <w:tcW w:type="dxa" w:w="2800"/>
          </w:tcPr>
          <w:p>
            <w:pPr>
              <w:spacing w:after="40"/>
            </w:pPr>
            <w:r>
              <w:rPr>
                <w:rFonts w:ascii="Arial" w:cs="Arial" w:eastAsia="Arial" w:hAnsi="Arial"/>
                <w:sz w:val="17"/>
                <w:szCs w:val="17"/>
              </w:rPr>
              <w:t xml:space="preserve">Flam. Liq. 3 H226, Skin Sens. 1B H317</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trimethylcyclohexyl]hexan-3-ol</w:t>
            </w:r>
          </w:p>
        </w:tc>
        <w:tc>
          <w:tcPr>
            <w:tcW w:type="dxa" w:w="2600"/>
          </w:tcPr>
          <w:p>
            <w:pPr>
              <w:spacing w:after="40"/>
            </w:pPr>
            <w:r>
              <w:rPr>
                <w:rFonts w:ascii="Arial" w:cs="Arial" w:eastAsia="Arial" w:hAnsi="Arial"/>
                <w:sz w:val="17"/>
                <w:szCs w:val="17"/>
              </w:rPr>
              <w:t xml:space="preserve">Numer CAS: —</w:t>
            </w:r>
          </w:p>
          <w:p>
            <w:pPr>
              <w:spacing w:after="40"/>
            </w:pPr>
            <w:r>
              <w:rPr>
                <w:rFonts w:ascii="Arial" w:cs="Arial" w:eastAsia="Arial" w:hAnsi="Arial"/>
                <w:sz w:val="17"/>
                <w:szCs w:val="17"/>
              </w:rPr>
              <w:t xml:space="preserve">Numer WE: 947-716-8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01-2120768938-30</w:t>
            </w:r>
          </w:p>
        </w:tc>
        <w:tc>
          <w:tcPr>
            <w:tcW w:type="dxa" w:w="2800"/>
          </w:tcPr>
          <w:p>
            <w:pPr>
              <w:spacing w:after="40"/>
            </w:pPr>
            <w:r>
              <w:rPr>
                <w:rFonts w:ascii="Arial" w:cs="Arial" w:eastAsia="Arial" w:hAnsi="Arial"/>
                <w:sz w:val="17"/>
                <w:szCs w:val="17"/>
              </w:rPr>
              <w:t xml:space="preserve">Skin Sens. 1B H317, Stwarzające zagrożenie dla środowiska wodnego - kategoria ostra 1 H400 M = 1, Stwarzające zagrożenie dla środowiska wodnego - kategoria przewlekła 1 H410</w:t>
            </w:r>
          </w:p>
          <w:p>
            <w:pPr>
              <w:spacing w:after="40"/>
            </w:pPr>
            <w:r>
              <w:rPr>
                <w:rFonts w:ascii="Arial" w:cs="Arial" w:eastAsia="Arial" w:hAnsi="Arial"/>
                <w:sz w:val="17"/>
                <w:szCs w:val="17"/>
              </w:rPr>
              <w:t xml:space="preserve">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aldehyd cynamonowy</w:t>
            </w:r>
          </w:p>
          <w:p>
            <w:r>
              <w:rPr>
                <w:rFonts w:ascii="Arial" w:cs="Arial" w:eastAsia="Arial" w:hAnsi="Arial"/>
                <w:i/>
                <w:iCs/>
                <w:color w:val="666666"/>
                <w:sz w:val="16"/>
                <w:szCs w:val="16"/>
              </w:rPr>
              <w:t xml:space="preserve">(ang. CINNAMALDEHYDE)</w:t>
            </w:r>
          </w:p>
        </w:tc>
        <w:tc>
          <w:tcPr>
            <w:tcW w:type="dxa" w:w="2600"/>
          </w:tcPr>
          <w:p>
            <w:pPr>
              <w:spacing w:after="40"/>
            </w:pPr>
            <w:r>
              <w:rPr>
                <w:rFonts w:ascii="Arial" w:cs="Arial" w:eastAsia="Arial" w:hAnsi="Arial"/>
                <w:sz w:val="17"/>
                <w:szCs w:val="17"/>
              </w:rPr>
              <w:t xml:space="preserve">Numer CAS: 104-55-2</w:t>
            </w:r>
          </w:p>
          <w:p>
            <w:pPr>
              <w:spacing w:after="40"/>
            </w:pPr>
            <w:r>
              <w:rPr>
                <w:rFonts w:ascii="Arial" w:cs="Arial" w:eastAsia="Arial" w:hAnsi="Arial"/>
                <w:sz w:val="17"/>
                <w:szCs w:val="17"/>
              </w:rPr>
              <w:t xml:space="preserve">Numer WE: 203-213-9</w:t>
            </w:r>
          </w:p>
          <w:p>
            <w:pPr>
              <w:spacing w:after="40"/>
            </w:pPr>
            <w:r>
              <w:rPr>
                <w:rFonts w:ascii="Arial" w:cs="Arial" w:eastAsia="Arial" w:hAnsi="Arial"/>
                <w:sz w:val="17"/>
                <w:szCs w:val="17"/>
              </w:rPr>
              <w:t xml:space="preserve">Numer indeksowy: 606-155-00-6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01-2119935242-45</w:t>
            </w:r>
          </w:p>
        </w:tc>
        <w:tc>
          <w:tcPr>
            <w:tcW w:type="dxa" w:w="2800"/>
          </w:tcPr>
          <w:p>
            <w:pPr>
              <w:spacing w:after="40"/>
            </w:pPr>
            <w:r>
              <w:rPr>
                <w:rFonts w:ascii="Arial" w:cs="Arial" w:eastAsia="Arial" w:hAnsi="Arial"/>
                <w:sz w:val="17"/>
                <w:szCs w:val="17"/>
              </w:rPr>
              <w:t xml:space="preserve">Skin Sens. 1A H317</w:t>
            </w:r>
          </w:p>
          <w:p>
            <w:pPr>
              <w:spacing w:after="40"/>
            </w:pPr>
            <w:r>
              <w:rPr>
                <w:rFonts w:ascii="Arial" w:cs="Arial" w:eastAsia="Arial" w:hAnsi="Arial"/>
                <w:sz w:val="17"/>
                <w:szCs w:val="17"/>
              </w:rPr>
              <w:t xml:space="preserve">Skin Sens. 1A H317: ≥ 0,01%</w:t>
            </w:r>
          </w:p>
        </w:tc>
        <w:tc>
          <w:tcPr>
            <w:tcW w:type="dxa" w:w="1400"/>
          </w:tcPr>
          <w:p>
            <w:r>
              <w:rPr>
                <w:rFonts w:ascii="Arial" w:cs="Arial" w:eastAsia="Arial" w:hAnsi="Arial"/>
                <w:sz w:val="18"/>
                <w:szCs w:val="18"/>
              </w:rPr>
              <w:t xml:space="preserve">0,05 ≤ x &lt; 0,1 %</w:t>
            </w:r>
          </w:p>
        </w:tc>
      </w:tr>
      <w:tr>
        <w:tc>
          <w:tcPr>
            <w:tcW w:type="dxa" w:w="2800"/>
          </w:tcPr>
          <w:p>
            <w:pPr>
              <w:spacing w:after="40"/>
            </w:pPr>
            <w:r>
              <w:rPr>
                <w:rFonts w:ascii="Arial" w:cs="Arial" w:eastAsia="Arial" w:hAnsi="Arial"/>
                <w:b/>
                <w:bCs/>
                <w:sz w:val="18"/>
                <w:szCs w:val="18"/>
              </w:rPr>
              <w:t xml:space="preserve">alfa-cedren</w:t>
            </w:r>
          </w:p>
          <w:p>
            <w:r>
              <w:rPr>
                <w:rFonts w:ascii="Arial" w:cs="Arial" w:eastAsia="Arial" w:hAnsi="Arial"/>
                <w:i/>
                <w:iCs/>
                <w:color w:val="666666"/>
                <w:sz w:val="16"/>
                <w:szCs w:val="16"/>
              </w:rPr>
              <w:t xml:space="preserve">(ang. ALPHA-CEDRENE)</w:t>
            </w:r>
          </w:p>
        </w:tc>
        <w:tc>
          <w:tcPr>
            <w:tcW w:type="dxa" w:w="2600"/>
          </w:tcPr>
          <w:p>
            <w:pPr>
              <w:spacing w:after="40"/>
            </w:pPr>
            <w:r>
              <w:rPr>
                <w:rFonts w:ascii="Arial" w:cs="Arial" w:eastAsia="Arial" w:hAnsi="Arial"/>
                <w:sz w:val="17"/>
                <w:szCs w:val="17"/>
              </w:rPr>
              <w:t xml:space="preserve">Numer CAS: 469-61-4</w:t>
            </w:r>
          </w:p>
          <w:p>
            <w:pPr>
              <w:spacing w:after="40"/>
            </w:pPr>
            <w:r>
              <w:rPr>
                <w:rFonts w:ascii="Arial" w:cs="Arial" w:eastAsia="Arial" w:hAnsi="Arial"/>
                <w:sz w:val="17"/>
                <w:szCs w:val="17"/>
              </w:rPr>
              <w:t xml:space="preserve">Numer WE: 207-418-4</w:t>
            </w:r>
          </w:p>
        </w:tc>
        <w:tc>
          <w:tcPr>
            <w:tcW w:type="dxa" w:w="2800"/>
          </w:tcPr>
          <w:p>
            <w:pPr>
              <w:spacing w:after="40"/>
            </w:pPr>
            <w:r>
              <w:rPr>
                <w:rFonts w:ascii="Arial" w:cs="Arial" w:eastAsia="Arial" w:hAnsi="Arial"/>
                <w:sz w:val="17"/>
                <w:szCs w:val="17"/>
              </w:rPr>
              <w:t xml:space="preserve">Asp. Tox. 1 H304, Stwarzające zagrożenie dla środowiska wodnego - kategoria ostra 1 H400 M = 10, Stwarzające zagrożenie dla środowiska wodnego - kategoria przewlekła 1 H410</w:t>
            </w:r>
          </w:p>
          <w:p>
            <w:pPr>
              <w:spacing w:after="40"/>
            </w:pPr>
            <w:r>
              <w:rPr>
                <w:rFonts w:ascii="Arial" w:cs="Arial" w:eastAsia="Arial" w:hAnsi="Arial"/>
                <w:sz w:val="17"/>
                <w:szCs w:val="17"/>
              </w:rPr>
              <w:t xml:space="preserve">M = 10</w:t>
            </w:r>
          </w:p>
        </w:tc>
        <w:tc>
          <w:tcPr>
            <w:tcW w:type="dxa" w:w="1400"/>
          </w:tcPr>
          <w:p>
            <w:r>
              <w:rPr>
                <w:rFonts w:ascii="Arial" w:cs="Arial" w:eastAsia="Arial" w:hAnsi="Arial"/>
                <w:sz w:val="18"/>
                <w:szCs w:val="18"/>
              </w:rPr>
              <w:t xml:space="preserve">0 &lt; x &lt; 0,025 %</w:t>
            </w:r>
          </w:p>
        </w:tc>
      </w:tr>
      <w:tr>
        <w:tc>
          <w:tcPr>
            <w:tcW w:type="dxa" w:w="2800"/>
          </w:tcPr>
          <w:p>
            <w:pPr>
              <w:spacing w:after="40"/>
            </w:pPr>
            <w:r>
              <w:rPr>
                <w:rFonts w:ascii="Arial" w:cs="Arial" w:eastAsia="Arial" w:hAnsi="Arial"/>
                <w:b/>
                <w:bCs/>
                <w:sz w:val="18"/>
                <w:szCs w:val="18"/>
              </w:rPr>
              <w:t xml:space="preserve">kwas octowy</w:t>
            </w:r>
          </w:p>
          <w:p>
            <w:r>
              <w:rPr>
                <w:rFonts w:ascii="Arial" w:cs="Arial" w:eastAsia="Arial" w:hAnsi="Arial"/>
                <w:i/>
                <w:iCs/>
                <w:color w:val="666666"/>
                <w:sz w:val="16"/>
                <w:szCs w:val="16"/>
              </w:rPr>
              <w:t xml:space="preserve">(ang. acetic acid ...%)</w:t>
            </w:r>
          </w:p>
        </w:tc>
        <w:tc>
          <w:tcPr>
            <w:tcW w:type="dxa" w:w="2600"/>
          </w:tcPr>
          <w:p>
            <w:pPr>
              <w:spacing w:after="40"/>
            </w:pPr>
            <w:r>
              <w:rPr>
                <w:rFonts w:ascii="Arial" w:cs="Arial" w:eastAsia="Arial" w:hAnsi="Arial"/>
                <w:sz w:val="17"/>
                <w:szCs w:val="17"/>
              </w:rPr>
              <w:t xml:space="preserve">Numer CAS: 64-19-7</w:t>
            </w:r>
          </w:p>
          <w:p>
            <w:pPr>
              <w:spacing w:after="40"/>
            </w:pPr>
            <w:r>
              <w:rPr>
                <w:rFonts w:ascii="Arial" w:cs="Arial" w:eastAsia="Arial" w:hAnsi="Arial"/>
                <w:sz w:val="17"/>
                <w:szCs w:val="17"/>
              </w:rPr>
              <w:t xml:space="preserve">Numer WE: 200-580-7</w:t>
            </w:r>
          </w:p>
          <w:p>
            <w:pPr>
              <w:spacing w:after="40"/>
            </w:pPr>
            <w:r>
              <w:rPr>
                <w:rFonts w:ascii="Arial" w:cs="Arial" w:eastAsia="Arial" w:hAnsi="Arial"/>
                <w:sz w:val="17"/>
                <w:szCs w:val="17"/>
              </w:rPr>
              <w:t xml:space="preserve">Numer indeksowy: 607-002-00-6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01-2119475328-30</w:t>
            </w:r>
          </w:p>
        </w:tc>
        <w:tc>
          <w:tcPr>
            <w:tcW w:type="dxa" w:w="2800"/>
          </w:tcPr>
          <w:p>
            <w:pPr>
              <w:spacing w:after="40"/>
            </w:pPr>
            <w:r>
              <w:rPr>
                <w:rFonts w:ascii="Arial" w:cs="Arial" w:eastAsia="Arial" w:hAnsi="Arial"/>
                <w:sz w:val="17"/>
                <w:szCs w:val="17"/>
              </w:rPr>
              <w:t xml:space="preserve">Flam. Liq. 3 H226, Skin Corr. 1A H314, Eye Dam. 1 H318, Classification note</w:t>
            </w:r>
          </w:p>
          <w:p>
            <w:pPr>
              <w:spacing w:after="40"/>
            </w:pPr>
            <w:r>
              <w:rPr>
                <w:rFonts w:ascii="Arial" w:cs="Arial" w:eastAsia="Arial" w:hAnsi="Arial"/>
                <w:sz w:val="17"/>
                <w:szCs w:val="17"/>
              </w:rPr>
              <w:t xml:space="preserve">Skin Corr. 1A H314: ≥ 90%, Skin Corr. 1B H314: ≥ 25% - &lt; 90%, Skin Corr.</w:t>
            </w:r>
          </w:p>
          <w:p>
            <w:pPr>
              <w:spacing w:after="40"/>
            </w:pPr>
            <w:r>
              <w:rPr>
                <w:rFonts w:ascii="Arial" w:cs="Arial" w:eastAsia="Arial" w:hAnsi="Arial"/>
                <w:sz w:val="17"/>
                <w:szCs w:val="17"/>
              </w:rPr>
              <w:t xml:space="preserve">1C H314: ≥ 25% - &lt; 90%, Skin Irrit. 2 H315: ≥ 1% - &lt; 25%, Eye Dam. 1 H318:</w:t>
            </w:r>
          </w:p>
          <w:p>
            <w:pPr>
              <w:spacing w:after="40"/>
            </w:pPr>
            <w:r>
              <w:rPr>
                <w:rFonts w:ascii="Arial" w:cs="Arial" w:eastAsia="Arial" w:hAnsi="Arial"/>
                <w:sz w:val="17"/>
                <w:szCs w:val="17"/>
              </w:rPr>
              <w:t xml:space="preserve">≥ 25%, Eye Irrit. 2 H319: ≥ 10% - &lt; 25%</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metanol</w:t>
            </w:r>
          </w:p>
          <w:p>
            <w:r>
              <w:rPr>
                <w:rFonts w:ascii="Arial" w:cs="Arial" w:eastAsia="Arial" w:hAnsi="Arial"/>
                <w:i/>
                <w:iCs/>
                <w:color w:val="666666"/>
                <w:sz w:val="16"/>
                <w:szCs w:val="16"/>
              </w:rPr>
              <w:t xml:space="preserve">(ang. METHANOL)</w:t>
            </w:r>
          </w:p>
        </w:tc>
        <w:tc>
          <w:tcPr>
            <w:tcW w:type="dxa" w:w="2600"/>
          </w:tcPr>
          <w:p>
            <w:pPr>
              <w:spacing w:after="40"/>
            </w:pPr>
            <w:r>
              <w:rPr>
                <w:rFonts w:ascii="Arial" w:cs="Arial" w:eastAsia="Arial" w:hAnsi="Arial"/>
                <w:sz w:val="17"/>
                <w:szCs w:val="17"/>
              </w:rPr>
              <w:t xml:space="preserve">Numer CAS: 67-56-1</w:t>
            </w:r>
          </w:p>
          <w:p>
            <w:pPr>
              <w:spacing w:after="40"/>
            </w:pPr>
            <w:r>
              <w:rPr>
                <w:rFonts w:ascii="Arial" w:cs="Arial" w:eastAsia="Arial" w:hAnsi="Arial"/>
                <w:sz w:val="17"/>
                <w:szCs w:val="17"/>
              </w:rPr>
              <w:t xml:space="preserve">Numer WE: 200-659-6</w:t>
            </w:r>
          </w:p>
          <w:p>
            <w:pPr>
              <w:spacing w:after="40"/>
            </w:pPr>
            <w:r>
              <w:rPr>
                <w:rFonts w:ascii="Arial" w:cs="Arial" w:eastAsia="Arial" w:hAnsi="Arial"/>
                <w:sz w:val="17"/>
                <w:szCs w:val="17"/>
              </w:rPr>
              <w:t xml:space="preserve">Numer indeksowy: 603-001-00-X</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01-2119433307-44</w:t>
            </w:r>
          </w:p>
        </w:tc>
        <w:tc>
          <w:tcPr>
            <w:tcW w:type="dxa" w:w="2800"/>
          </w:tcPr>
          <w:p>
            <w:pPr>
              <w:spacing w:after="40"/>
            </w:pPr>
            <w:r>
              <w:rPr>
                <w:rFonts w:ascii="Arial" w:cs="Arial" w:eastAsia="Arial" w:hAnsi="Arial"/>
                <w:sz w:val="17"/>
                <w:szCs w:val="17"/>
              </w:rPr>
              <w:t xml:space="preserve">Flam. Liq. 2 H225, Acute Tox. 3 H301, Acute Tox. 3 H311, Acute Tox. 3</w:t>
            </w:r>
          </w:p>
          <w:p>
            <w:pPr>
              <w:spacing w:after="40"/>
            </w:pPr>
            <w:r>
              <w:rPr>
                <w:rFonts w:ascii="Arial" w:cs="Arial" w:eastAsia="Arial" w:hAnsi="Arial"/>
                <w:sz w:val="17"/>
                <w:szCs w:val="17"/>
              </w:rPr>
              <w:t xml:space="preserve">H331, Działanie toksyczne na narządy docelowe – narażenie jednorazowe 1 H370</w:t>
            </w:r>
          </w:p>
          <w:p>
            <w:pPr>
              <w:spacing w:after="40"/>
            </w:pPr>
            <w:r>
              <w:rPr>
                <w:rFonts w:ascii="Arial" w:cs="Arial" w:eastAsia="Arial" w:hAnsi="Arial"/>
                <w:sz w:val="17"/>
                <w:szCs w:val="17"/>
              </w:rPr>
              <w:t xml:space="preserve">Działanie toksyczne na narządy docelowe – narażenie jednorazowe 2 H371: ≥ 3% - &lt; 10%</w:t>
            </w:r>
          </w:p>
          <w:p>
            <w:pPr>
              <w:spacing w:after="40"/>
            </w:pPr>
            <w:r>
              <w:rPr>
                <w:rFonts w:ascii="Arial" w:cs="Arial" w:eastAsia="Arial" w:hAnsi="Arial"/>
                <w:sz w:val="17"/>
                <w:szCs w:val="17"/>
              </w:rPr>
              <w:t xml:space="preserve">ATE (droga pokarmowa) = 100 mg/kg, ATE (na skórę) = 300 mg/kg, ATE (inhalacyjnie, pary) = 3 mg/l</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heptan</w:t>
            </w:r>
          </w:p>
          <w:p>
            <w:r>
              <w:rPr>
                <w:rFonts w:ascii="Arial" w:cs="Arial" w:eastAsia="Arial" w:hAnsi="Arial"/>
                <w:i/>
                <w:iCs/>
                <w:color w:val="666666"/>
                <w:sz w:val="16"/>
                <w:szCs w:val="16"/>
              </w:rPr>
              <w:t xml:space="preserve">(ang. HEPTANE)</w:t>
            </w:r>
          </w:p>
        </w:tc>
        <w:tc>
          <w:tcPr>
            <w:tcW w:type="dxa" w:w="2600"/>
          </w:tcPr>
          <w:p>
            <w:pPr>
              <w:spacing w:after="40"/>
            </w:pPr>
            <w:r>
              <w:rPr>
                <w:rFonts w:ascii="Arial" w:cs="Arial" w:eastAsia="Arial" w:hAnsi="Arial"/>
                <w:sz w:val="17"/>
                <w:szCs w:val="17"/>
              </w:rPr>
              <w:t xml:space="preserve">Numer CAS: 142-82-5</w:t>
            </w:r>
          </w:p>
          <w:p>
            <w:pPr>
              <w:spacing w:after="40"/>
            </w:pPr>
            <w:r>
              <w:rPr>
                <w:rFonts w:ascii="Arial" w:cs="Arial" w:eastAsia="Arial" w:hAnsi="Arial"/>
                <w:sz w:val="17"/>
                <w:szCs w:val="17"/>
              </w:rPr>
              <w:t xml:space="preserve">Numer WE: 205-563-8</w:t>
            </w:r>
          </w:p>
          <w:p>
            <w:pPr>
              <w:spacing w:after="40"/>
            </w:pPr>
            <w:r>
              <w:rPr>
                <w:rFonts w:ascii="Arial" w:cs="Arial" w:eastAsia="Arial" w:hAnsi="Arial"/>
                <w:sz w:val="17"/>
                <w:szCs w:val="17"/>
              </w:rPr>
              <w:t xml:space="preserve">Numer indeksowy: 601-008-00-2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01-2119457603-38</w:t>
            </w:r>
          </w:p>
        </w:tc>
        <w:tc>
          <w:tcPr>
            <w:tcW w:type="dxa" w:w="2800"/>
          </w:tcPr>
          <w:p>
            <w:pPr>
              <w:spacing w:after="40"/>
            </w:pPr>
            <w:r>
              <w:rPr>
                <w:rFonts w:ascii="Arial" w:cs="Arial" w:eastAsia="Arial" w:hAnsi="Arial"/>
                <w:sz w:val="17"/>
                <w:szCs w:val="17"/>
              </w:rPr>
              <w:t xml:space="preserve">Flam. Liq. 2 H225, Asp. Tox. 1 H304, Skin Irrit. 2 H315, Działanie toksyczne na narządy docelowe – narażenie jednorazowe 3 H336,</w:t>
            </w:r>
          </w:p>
          <w:p>
            <w:pPr>
              <w:spacing w:after="40"/>
            </w:pPr>
            <w:r>
              <w:rPr>
                <w:rFonts w:ascii="Arial" w:cs="Arial" w:eastAsia="Arial" w:hAnsi="Arial"/>
                <w:sz w:val="17"/>
                <w:szCs w:val="17"/>
              </w:rPr>
              <w:t xml:space="preserve">Stwarzające zagrożenie dla środowiska wodnego - kategoria ostra 1 H400 M = 1, Stwarzające zagrożenie dla środowiska wodnego - kategoria przewlekła 1 H410 M = 1, Classification note</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aceton (propan-2-on)</w:t>
            </w:r>
          </w:p>
          <w:p>
            <w:r>
              <w:rPr>
                <w:rFonts w:ascii="Arial" w:cs="Arial" w:eastAsia="Arial" w:hAnsi="Arial"/>
                <w:i/>
                <w:iCs/>
                <w:color w:val="666666"/>
                <w:sz w:val="16"/>
                <w:szCs w:val="16"/>
              </w:rPr>
              <w:t xml:space="preserve">(ang. ACETONE)</w:t>
            </w:r>
          </w:p>
        </w:tc>
        <w:tc>
          <w:tcPr>
            <w:tcW w:type="dxa" w:w="2600"/>
          </w:tcPr>
          <w:p>
            <w:pPr>
              <w:spacing w:after="40"/>
            </w:pPr>
            <w:r>
              <w:rPr>
                <w:rFonts w:ascii="Arial" w:cs="Arial" w:eastAsia="Arial" w:hAnsi="Arial"/>
                <w:sz w:val="17"/>
                <w:szCs w:val="17"/>
              </w:rPr>
              <w:t xml:space="preserve">Numer CAS: 67-64-1</w:t>
            </w:r>
          </w:p>
          <w:p>
            <w:pPr>
              <w:spacing w:after="40"/>
            </w:pPr>
            <w:r>
              <w:rPr>
                <w:rFonts w:ascii="Arial" w:cs="Arial" w:eastAsia="Arial" w:hAnsi="Arial"/>
                <w:sz w:val="17"/>
                <w:szCs w:val="17"/>
              </w:rPr>
              <w:t xml:space="preserve">Numer WE: 200-662-2</w:t>
            </w:r>
          </w:p>
          <w:p>
            <w:pPr>
              <w:spacing w:after="40"/>
            </w:pPr>
            <w:r>
              <w:rPr>
                <w:rFonts w:ascii="Arial" w:cs="Arial" w:eastAsia="Arial" w:hAnsi="Arial"/>
                <w:sz w:val="17"/>
                <w:szCs w:val="17"/>
              </w:rPr>
              <w:t xml:space="preserve">Numer indeksowy: 606-001-00-8</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01-2119471330-49</w:t>
            </w:r>
          </w:p>
        </w:tc>
        <w:tc>
          <w:tcPr>
            <w:tcW w:type="dxa" w:w="2800"/>
          </w:tcPr>
          <w:p>
            <w:pPr>
              <w:spacing w:after="40"/>
            </w:pPr>
            <w:r>
              <w:rPr>
                <w:rFonts w:ascii="Arial" w:cs="Arial" w:eastAsia="Arial" w:hAnsi="Arial"/>
                <w:sz w:val="17"/>
                <w:szCs w:val="17"/>
              </w:rPr>
              <w:t xml:space="preserve">Flam. Liq. 2 H225, Eye Irrit. 2 H319, Działanie toksyczne na narządy docelowe – narażenie jednorazowe 3 H336, EUH066</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01-2119471310-51</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w:t>
            </w:r>
          </w:p>
          <w:p>
            <w:pPr>
              <w:spacing w:after="40"/>
            </w:pPr>
            <w:r>
              <w:rPr>
                <w:rFonts w:ascii="Arial" w:cs="Arial" w:eastAsia="Arial" w:hAnsi="Arial"/>
                <w:sz w:val="17"/>
                <w:szCs w:val="17"/>
              </w:rPr>
              <w:t xml:space="preserve">Irrit. 2 H315, Działanie toksyczne na narządy docelowe – narażenie jednorazowe 3 H336</w:t>
            </w:r>
          </w:p>
        </w:tc>
        <w:tc>
          <w:tcPr>
            <w:tcW w:type="dxa" w:w="1400"/>
          </w:tcPr>
          <w:p>
            <w:r>
              <w:rPr>
                <w:rFonts w:ascii="Arial" w:cs="Arial" w:eastAsia="Arial" w:hAnsi="Arial"/>
                <w:sz w:val="18"/>
                <w:szCs w:val="18"/>
              </w:rPr>
              <w:t xml:space="preserve">0 &lt; x &lt; 0,05 %</w:t>
            </w:r>
          </w:p>
        </w:tc>
      </w:tr>
      <w:tr>
        <w:tc>
          <w:tcPr>
            <w:tcW w:type="dxa" w:w="2800"/>
          </w:tcPr>
          <w:p>
            <w:pPr>
              <w:spacing w:after="40"/>
            </w:pPr>
            <w:r>
              <w:rPr>
                <w:rFonts w:ascii="Arial" w:cs="Arial" w:eastAsia="Arial" w:hAnsi="Arial"/>
                <w:b/>
                <w:bCs/>
                <w:sz w:val="18"/>
                <w:szCs w:val="18"/>
              </w:rPr>
              <w:t xml:space="preserve">fenol</w:t>
            </w:r>
          </w:p>
          <w:p>
            <w:r>
              <w:rPr>
                <w:rFonts w:ascii="Arial" w:cs="Arial" w:eastAsia="Arial" w:hAnsi="Arial"/>
                <w:i/>
                <w:iCs/>
                <w:color w:val="666666"/>
                <w:sz w:val="16"/>
                <w:szCs w:val="16"/>
              </w:rPr>
              <w:t xml:space="preserve">(ang. phenol)</w:t>
            </w:r>
          </w:p>
        </w:tc>
        <w:tc>
          <w:tcPr>
            <w:tcW w:type="dxa" w:w="2600"/>
          </w:tcPr>
          <w:p>
            <w:pPr>
              <w:spacing w:after="40"/>
            </w:pPr>
            <w:r>
              <w:rPr>
                <w:rFonts w:ascii="Arial" w:cs="Arial" w:eastAsia="Arial" w:hAnsi="Arial"/>
                <w:sz w:val="17"/>
                <w:szCs w:val="17"/>
              </w:rPr>
              <w:t xml:space="preserve">Numer CAS: 108-95-2</w:t>
            </w:r>
          </w:p>
          <w:p>
            <w:pPr>
              <w:spacing w:after="40"/>
            </w:pPr>
            <w:r>
              <w:rPr>
                <w:rFonts w:ascii="Arial" w:cs="Arial" w:eastAsia="Arial" w:hAnsi="Arial"/>
                <w:sz w:val="17"/>
                <w:szCs w:val="17"/>
              </w:rPr>
              <w:t xml:space="preserve">Numer WE: 203-632-7</w:t>
            </w:r>
          </w:p>
          <w:p>
            <w:pPr>
              <w:spacing w:after="40"/>
            </w:pPr>
            <w:r>
              <w:rPr>
                <w:rFonts w:ascii="Arial" w:cs="Arial" w:eastAsia="Arial" w:hAnsi="Arial"/>
                <w:sz w:val="17"/>
                <w:szCs w:val="17"/>
              </w:rPr>
              <w:t xml:space="preserve">Numer indeksowy: 604-001-00-2</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01-2119471329-32</w:t>
            </w:r>
          </w:p>
        </w:tc>
        <w:tc>
          <w:tcPr>
            <w:tcW w:type="dxa" w:w="2800"/>
          </w:tcPr>
          <w:p>
            <w:pPr>
              <w:spacing w:after="40"/>
            </w:pPr>
            <w:r>
              <w:rPr>
                <w:rFonts w:ascii="Arial" w:cs="Arial" w:eastAsia="Arial" w:hAnsi="Arial"/>
                <w:sz w:val="17"/>
                <w:szCs w:val="17"/>
              </w:rPr>
              <w:t xml:space="preserve">Muta. 2 H341, Acute Tox. 3 H301, Acute Tox. 3 H311, Acute Tox. 3 H331,</w:t>
            </w:r>
          </w:p>
          <w:p>
            <w:pPr>
              <w:spacing w:after="40"/>
            </w:pPr>
            <w:r>
              <w:rPr>
                <w:rFonts w:ascii="Arial" w:cs="Arial" w:eastAsia="Arial" w:hAnsi="Arial"/>
                <w:sz w:val="17"/>
                <w:szCs w:val="17"/>
              </w:rPr>
              <w:t xml:space="preserve">Działanie toksyczne na narządy docelowe – narażenie powtarzane 2 H373, Skin Corr. 1B H314, Eye Dam. 1 H318</w:t>
            </w:r>
          </w:p>
          <w:p>
            <w:pPr>
              <w:spacing w:after="40"/>
            </w:pPr>
            <w:r>
              <w:rPr>
                <w:rFonts w:ascii="Arial" w:cs="Arial" w:eastAsia="Arial" w:hAnsi="Arial"/>
                <w:sz w:val="17"/>
                <w:szCs w:val="17"/>
              </w:rPr>
              <w:t xml:space="preserve">Skin Corr. 1B H314: ≥ 3%, Skin Irrit. 2 H315: ≥ 1% - &lt; 3%</w:t>
            </w:r>
          </w:p>
          <w:p>
            <w:pPr>
              <w:spacing w:after="40"/>
            </w:pPr>
            <w:r>
              <w:rPr>
                <w:rFonts w:ascii="Arial" w:cs="Arial" w:eastAsia="Arial" w:hAnsi="Arial"/>
                <w:sz w:val="17"/>
                <w:szCs w:val="17"/>
              </w:rPr>
              <w:t xml:space="preserve">LD50 Oral: 282 mg/kg bw, LD50 Dermal: 525 mg/kg bw, ATE Inhalation</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pPr>
      <w:r>
        <w:rPr>
          <w:rFonts w:ascii="Arial" w:cs="Arial" w:eastAsia="Arial" w:hAnsi="Arial"/>
          <w:sz w:val="20"/>
          <w:szCs w:val="20"/>
        </w:rPr>
        <w:t xml:space="preserve">W razie wątpliwości lub w przypadku wystąpienia objawów skonsultować się z lekarzem i pokazać mu niniejszą kartę charakterystyki. W przypadku cięższych objawów wezwać natychmiastową pomoc medyczną.</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Take off immediately all contaminated clothing. Wash immediately and thoroughly with running water (and soap if possible). Get medical advice/attention. Avoid further contact with contaminated clothing.</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Wyjąć soczewki kontaktowe, jeżeli są i można je łatwo usunąć. Płukać natychmiast dużą ilością wody przez co najmniej 15 minut, całkowicie otwierając powieki. Zasięgnąć porady/zgłosić się pod opiekę lekarza (skonsultować się z lekarzem okulistą).</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chyba że zostało to wyraźnie zalecone przez lekarza. Nigdy nie podawać niczego doustnie osobie nieprzytomnej.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 dala od miejsca zdarzenia, zapewnić ciepło i spokój. Zasięgnąć porady/zgłosić się pod opiekę lekarza.</w:t>
      </w:r>
    </w:p>
    <w:p>
      <w:pPr>
        <w:spacing w:after="80"/>
      </w:pPr>
      <w:r>
        <w:rPr>
          <w:rFonts w:ascii="Arial" w:cs="Arial" w:eastAsia="Arial" w:hAnsi="Arial"/>
          <w:sz w:val="20"/>
          <w:szCs w:val="20"/>
        </w:rPr>
        <w:t xml:space="preserve">Ochrona osób udzielających pierwszej pomocy:</w:t>
      </w:r>
    </w:p>
    <w:p>
      <w:pPr>
        <w:spacing w:after="80"/>
      </w:pPr>
      <w:r>
        <w:rPr>
          <w:rFonts w:ascii="Arial" w:cs="Arial" w:eastAsia="Arial" w:hAnsi="Arial"/>
          <w:sz w:val="20"/>
          <w:szCs w:val="20"/>
        </w:rPr>
        <w:t xml:space="preserve">It is good practice for rescuers lending support to a person who has been exposed to a chemical substance or to a mixture to wear personal protective equipment. The nature of such protection depends on the hazard level of the substance or mixture, on the type of exposure and on the extent of the Suarez Company First compilation BLK0276-2 - SWEET HOME - PROFUMATORE AMBIENTE SANDALO 6/35 contamination. In the absence of other more specific indications, use of disposable gloves in the event of possible contact with body fluids is recommended. For the type of PPE suitable for the characteristics of the substance or mixture, see section 8.</w:t>
      </w:r>
    </w:p>
    <w:p>
      <w:pPr>
        <w:spacing w:after="100" w:before="200"/>
      </w:pPr>
      <w:r>
        <w:rPr>
          <w:rFonts w:ascii="Arial" w:cs="Arial" w:eastAsia="Arial" w:hAnsi="Arial"/>
          <w:b/>
          <w:bCs/>
          <w:sz w:val="20"/>
          <w:szCs w:val="20"/>
        </w:rPr>
        <w:t xml:space="preserve">4.2. Najważniejsze ostre i opóźnione objawy oraz skutki narażenia</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Działa drażniąco na oczy. Może powodować zaczerwienienie spojówek, pieczenie, łzawienie i ból.</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U osób szczególnie wrażliwych może wywołać reakcję alergiczną skóry (zawiera: octan 4-tert-butylocykloheksylu, linalol, salicylan benzylu, 1,8-cyneol (eukaliptol), trimethylcyclohexyl]hexan-3-ol, aldehyd cynamonowy). Przy długotrwałym kontakcie może powodować wysuszenie lub pękanie skóry.</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Wdychanie wysokich stężeń par może wywoływać podrażnienie błon śluzowych dróg oddechowych, bóle i zawroty głowy oraz uczucie senności.</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Może wywołać podrażnienie układu pokarmowego, nudności, wymioty oraz objawy intoksykacji alkoholowej.</w:t>
      </w:r>
    </w:p>
    <w:p>
      <w:pPr>
        <w:spacing w:after="80"/>
      </w:pPr>
      <w:r>
        <w:rPr>
          <w:rFonts w:ascii="Arial" w:cs="Arial" w:eastAsia="Arial" w:hAnsi="Arial"/>
          <w:sz w:val="20"/>
          <w:szCs w:val="20"/>
        </w:rPr>
        <w:t xml:space="preserve">SKUTKI OPÓŹNIONE: W oparciu o dostępne dane, w warunkach prawidłowego stosowania nie są znane przypadki wystąpienia opóźnionych powikłań zdrowotnych.</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pPr>
      <w:r>
        <w:rPr>
          <w:rFonts w:ascii="Arial" w:cs="Arial" w:eastAsia="Arial" w:hAnsi="Arial"/>
          <w:sz w:val="20"/>
          <w:szCs w:val="20"/>
        </w:rPr>
        <w:t xml:space="preserve">W przypadku wystąpienia objawów (ostrych lub opóźnionych) skonsultować się z lekarzem.</w:t>
      </w:r>
    </w:p>
    <w:p>
      <w:pPr>
        <w:spacing w:after="80"/>
      </w:pPr>
      <w:r>
        <w:rPr>
          <w:rFonts w:ascii="Arial" w:cs="Arial" w:eastAsia="Arial" w:hAnsi="Arial"/>
          <w:sz w:val="20"/>
          <w:szCs w:val="20"/>
        </w:rPr>
        <w:t xml:space="preserve">Środki, które powinny być dostępne w miejscu pracy w celu zapewnienia natychmiastowego i specyficznego leczenia: Bieżąca woda do przemywania oczu i zmywania skóry.</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 piana, proszek gaśniczy, CO2.</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Środki ostrożności: usunąć źródła zapłonu.</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zapewnić wentylację.</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1900 mg/m³</w:t>
      </w:r>
    </w:p>
    <w:p>
      <w:pPr>
        <w:spacing w:after="80"/>
      </w:pPr>
      <w:r>
        <w:rPr>
          <w:rFonts w:ascii="Arial" w:cs="Arial" w:eastAsia="Arial" w:hAnsi="Arial"/>
          <w:sz w:val="20"/>
          <w:szCs w:val="20"/>
        </w:rPr>
        <w:t xml:space="preserve">(2-Metoksymetyloetoksy)propanol [CAS: 34590-94-8]:</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240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480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2,6-di-tert-butylo-4-metylofenol (BHT) [CAS: 128-37-0]:</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 mg/m³ (frakcja wdychalna)</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nie ustalono</w:t>
      </w:r>
    </w:p>
    <w:p>
      <w:pPr>
        <w:spacing w:after="80"/>
      </w:pPr>
      <w:r>
        <w:rPr>
          <w:rFonts w:ascii="Arial" w:cs="Arial" w:eastAsia="Arial" w:hAnsi="Arial"/>
          <w:sz w:val="20"/>
          <w:szCs w:val="20"/>
        </w:rPr>
        <w:t xml:space="preserve">Kwas octowy [CAS: 64-19-7]:</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25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50 mg/m³</w:t>
      </w:r>
    </w:p>
    <w:p>
      <w:pPr>
        <w:spacing w:after="80"/>
      </w:pPr>
      <w:r>
        <w:rPr>
          <w:rFonts w:ascii="Arial" w:cs="Arial" w:eastAsia="Arial" w:hAnsi="Arial"/>
          <w:sz w:val="20"/>
          <w:szCs w:val="20"/>
        </w:rPr>
        <w:t xml:space="preserve">Metanol [CAS: 67-56-1]:</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300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Heptan [CAS: 142-82-5]: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1200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2000 mg/m³</w:t>
      </w:r>
    </w:p>
    <w:p>
      <w:pPr>
        <w:spacing w:after="80"/>
      </w:pPr>
      <w:r>
        <w:rPr>
          <w:rFonts w:ascii="Arial" w:cs="Arial" w:eastAsia="Arial" w:hAnsi="Arial"/>
          <w:sz w:val="20"/>
          <w:szCs w:val="20"/>
        </w:rPr>
        <w:t xml:space="preserve">Aceton [CAS: 67-64-1]:</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600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1800 mg/m³</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pPr>
      <w:r>
        <w:rPr>
          <w:rFonts w:ascii="Arial" w:cs="Arial" w:eastAsia="Arial" w:hAnsi="Arial"/>
          <w:sz w:val="20"/>
          <w:szCs w:val="20"/>
        </w:rPr>
        <w:t xml:space="preserve">Fenol [CAS: 108-95-2]:</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7,8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16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Pochodne poziomy niepowodujące zmian (DNEL) oraz Przewidywane stężenia niepowodujące zmian w środowisku (PNEC):</w:t>
      </w:r>
    </w:p>
    <w:p>
      <w:pPr>
        <w:spacing w:after="80"/>
      </w:pPr>
      <w:r>
        <w:rPr>
          <w:rFonts w:ascii="Arial" w:cs="Arial" w:eastAsia="Arial" w:hAnsi="Arial"/>
          <w:sz w:val="20"/>
          <w:szCs w:val="20"/>
        </w:rPr>
        <w:t xml:space="preserve">Substancja: etanol [CAS: 64-17-5]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114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przewlekłe układowe: 950 mg/m³; skutki ostre miejscowe: 1900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206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343 mg/kg mc/dzień</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36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37,2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308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121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283 mg/kg mc/dzień</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0,78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3,17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0,96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0,79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3,6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2,9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2,75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580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0,38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0,63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0,0053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0,00053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2,01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0,21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0,053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12,2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66,67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0,42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19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1,9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70,2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7,02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190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4168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2,74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0,00077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0,000077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0,389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0,039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0,0077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1,786 mg/kg</w:t>
      </w:r>
    </w:p>
    <w:p>
      <w:pPr>
        <w:spacing w:after="80"/>
      </w:pPr>
      <w:r>
        <w:rPr>
          <w:rFonts w:ascii="Arial" w:cs="Arial" w:eastAsia="Arial" w:hAnsi="Arial"/>
          <w:sz w:val="20"/>
          <w:szCs w:val="20"/>
        </w:rPr>
        <w:t xml:space="preserve">Substancja: linalol [CAS: 78-70-6]</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1,2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4,1 / 0,7 / 16,5 / 2,8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skutki ostre układowe: 2,5 mg/kg mc/dzień; skutki przewlekłe układowe: 1,25 mg/kg mc/dzień</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ostre układowe: 5 mg/kg mc/dzień; skutki przewlekłe układowe: 2,5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0,2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0,02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2,22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0,222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2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7,8 mg/kg food</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0,327 mg/kg</w:t>
      </w:r>
    </w:p>
    <w:p>
      <w:pPr>
        <w:spacing w:after="80"/>
      </w:pPr>
      <w:r>
        <w:rPr>
          <w:rFonts w:ascii="Arial" w:cs="Arial" w:eastAsia="Arial" w:hAnsi="Arial"/>
          <w:sz w:val="20"/>
          <w:szCs w:val="20"/>
        </w:rPr>
        <w:t xml:space="preserve">Substancja: salicylan benzylu [CAS: 118-58-1]</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0,78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3,17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0,9 mg/kg mc/dzień</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1,74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9,87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2,8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0,583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0,058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1,41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0,0012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0,00012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0,246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0,025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0,012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0,1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222,2 mg/kg food</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0,048 mg/kg</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0,5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0,05 mg/kg/d</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100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0,396 mg/kg/d</w:t>
      </w:r>
    </w:p>
    <w:p>
      <w:pPr>
        <w:spacing w:after="80"/>
      </w:pPr>
      <w:r>
        <w:rPr>
          <w:rFonts w:ascii="Arial" w:cs="Arial" w:eastAsia="Arial" w:hAnsi="Arial"/>
          <w:sz w:val="20"/>
          <w:szCs w:val="20"/>
        </w:rPr>
        <w:t xml:space="preserve">Substancja: 2,6-di-tert-butylo-4-metylofenol (BHT) [CAS: 128-37-0]</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0,86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0,25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0,000199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0,02  μg/l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0,0996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0,00996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0,00199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0,17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8,33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0,04769 mg/kg</w:t>
      </w:r>
    </w:p>
    <w:p>
      <w:pPr>
        <w:spacing w:after="80"/>
      </w:pPr>
      <w:r>
        <w:rPr>
          <w:rFonts w:ascii="Arial" w:cs="Arial" w:eastAsia="Arial" w:hAnsi="Arial"/>
          <w:sz w:val="20"/>
          <w:szCs w:val="20"/>
        </w:rPr>
        <w:t xml:space="preserve">Substancja: 1,8-cyneol (eukaliptol) [CAS: 470-82-6]</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600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1,74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7,05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2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0,057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0,0057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1,425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0,142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0,57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40 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0,25 mg/kg</w:t>
      </w:r>
    </w:p>
    <w:p>
      <w:pPr>
        <w:spacing w:after="80"/>
      </w:pPr>
      <w:r>
        <w:rPr>
          <w:rFonts w:ascii="Arial" w:cs="Arial" w:eastAsia="Arial" w:hAnsi="Arial"/>
          <w:sz w:val="20"/>
          <w:szCs w:val="20"/>
        </w:rPr>
        <w:t xml:space="preserve">Substancja: aldehyd cynamonowy [CAS: 104-55-2]</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1,37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2,4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13,6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1,37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0,021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0,002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0,021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0,002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0,21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7,1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0,004 mg/kg</w:t>
      </w:r>
    </w:p>
    <w:p>
      <w:pPr>
        <w:spacing w:after="80"/>
      </w:pPr>
      <w:r>
        <w:rPr>
          <w:rFonts w:ascii="Arial" w:cs="Arial" w:eastAsia="Arial" w:hAnsi="Arial"/>
          <w:sz w:val="20"/>
          <w:szCs w:val="20"/>
        </w:rPr>
        <w:t xml:space="preserve">Substancja: metanol [CAS: 67-56-1]</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4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26 mg/m³, ostre układowe: 26 mg/m³, przewlekłe miejscowe: 26 mg/m³, przewlekłe układowe: 26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130 mg/m³, ostre układowe: 130 mg/m³, przewlekłe miejscowe: 130 mg/m³, przewlekłe układowe: 130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skutki ostre układowe: 4 mg/kg mc/dzień; skutki przewlekłe układowe: 4 mg/kg mc/dzień</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ostre układowe: 20 mg/kg mc/dzień; skutki przewlekłe układowe: 20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20,8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2,08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77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7,7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1540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100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100 mg/kg</w:t>
      </w:r>
    </w:p>
    <w:p>
      <w:pPr>
        <w:spacing w:after="80"/>
      </w:pPr>
      <w:r>
        <w:rPr>
          <w:rFonts w:ascii="Arial" w:cs="Arial" w:eastAsia="Arial" w:hAnsi="Arial"/>
          <w:sz w:val="20"/>
          <w:szCs w:val="20"/>
        </w:rPr>
        <w:t xml:space="preserve">Substancja: toluen [CAS: 108-88-3]</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8,13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226 mg/m³, ostre układowe: 226 mg/m³, przewlekłe miejscowe: 56,5 mg/m³, przewlekłe układowe: 56,5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384 mg/m³, ostre układowe: 384 mg/m³, przewlekłe miejscowe: 192 mg/m³, przewlekłe układowe: 192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226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384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16,39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16,39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0,68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13,61 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 2,89 mg/kg soil dw</w:t>
      </w:r>
    </w:p>
    <w:p>
      <w:pPr>
        <w:spacing w:after="80"/>
      </w:pPr>
      <w:r>
        <w:rPr>
          <w:rFonts w:ascii="Arial" w:cs="Arial" w:eastAsia="Arial" w:hAnsi="Arial"/>
          <w:sz w:val="20"/>
          <w:szCs w:val="20"/>
        </w:rPr>
        <w:t xml:space="preserve">Substancja: fenol [CAS: 108-95-2]</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0,4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1,32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przewlekłe układowe: 16 mg/m³; skutki ostre miejscowe: 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0,4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1,23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25 / 25 / 25 / 25 mg/m³</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0,008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0,001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0,091 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0,009 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0,031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2,1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0,136 mg/kg/d</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 3,058 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 0,306 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 11,36 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 1,136 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 30,58 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 85 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 0,47 mg/kg</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 (metoda wewnętrzna)</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brown Remark:Visual</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 (metoda wewnętrzna)</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 (metoda: HSDB 2015; INRS 2011)</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 (metoda: HSDB 2015; INRS 2011)</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Easily ciecz łatwopalna and</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Dolna granica wybuchowości (DGW): 3,3 % (v/v); Górna granica wybuchowości (GGW):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 °C (metoda: ISO 3679:2023)</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 (metoda wewnętrzna)</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 (metoda wewnętrzna)</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 Method:INRS, 2011</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Brak danych</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 (metoda: HSDB, 2015; INRS, 2011)</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 (produkt płynny)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ok. 88–90% (ok. 766 g/l)</w:t>
      </w:r>
    </w:p>
    <w:p>
      <w:pPr>
        <w:spacing w:after="100" w:before="200"/>
      </w:pPr>
      <w:r>
        <w:rPr>
          <w:rFonts w:ascii="Arial" w:cs="Arial" w:eastAsia="Arial" w:hAnsi="Arial"/>
          <w:b/>
          <w:bCs/>
          <w:sz w:val="20"/>
          <w:szCs w:val="20"/>
        </w:rPr>
        <w:t xml:space="preserve">9.2.1. Informacje dotyczące klas zagrożenia fizycznego: Brak dodatkowych danych badawczych.</w:t>
      </w:r>
    </w:p>
    <w:p>
      <w:pPr>
        <w:spacing w:after="100" w:before="200"/>
      </w:pPr>
      <w:r>
        <w:rPr>
          <w:rFonts w:ascii="Arial" w:cs="Arial" w:eastAsia="Arial" w:hAnsi="Arial"/>
          <w:b/>
          <w:bCs/>
          <w:sz w:val="20"/>
          <w:szCs w:val="20"/>
        </w:rPr>
        <w:t xml:space="preserve">9.2.2. Inne właściwości bezpieczeństwa: Zawartość LZO (VOC): ok. 88–90% (ok. 766 g/l).</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 brak szczególnych zagrożeń.</w:t>
      </w:r>
    </w:p>
    <w:p>
      <w:pPr>
        <w:pBdr>
          <w:bottom w:color="00A651" w:sz="12" w:space="1"/>
        </w:pBdr>
        <w:spacing w:after="150" w:before="300"/>
      </w:pPr>
      <w:r>
        <w:rPr>
          <w:b/>
          <w:bCs/>
          <w:sz w:val="22"/>
          <w:szCs w:val="22"/>
        </w:rPr>
        <w:t xml:space="preserve">SEKCJA 11: INFORMACJE TOKSYKOLOGICZNE</w:t>
      </w:r>
    </w:p>
    <w:p>
      <w:pPr>
        <w:spacing w:after="100" w:before="200"/>
      </w:pPr>
      <w:r>
        <w:rPr>
          <w:rFonts w:ascii="Arial" w:cs="Arial" w:eastAsia="Arial" w:hAnsi="Arial"/>
          <w:b/>
          <w:bCs/>
          <w:sz w:val="20"/>
          <w:szCs w:val="20"/>
        </w:rPr>
        <w:t xml:space="preserve">11.1. Toksyczność ostra: Metanol LD50 doustnie: 5628 mg/kg (szczur).</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nie została zaklasyfikowana jako stwarzająca zagrożenie dla środowiska.</w:t>
      </w:r>
    </w:p>
    <w:p>
      <w:pPr>
        <w:spacing w:after="80"/>
      </w:pPr>
      <w:r>
        <w:rPr>
          <w:rFonts w:ascii="Arial" w:cs="Arial" w:eastAsia="Arial" w:hAnsi="Arial"/>
          <w:sz w:val="20"/>
          <w:szCs w:val="20"/>
        </w:rPr>
        <w:t xml:space="preserve">Brak danych doświadczalnych dla mieszaniny.</w:t>
      </w:r>
    </w:p>
    <w:p>
      <w:pPr>
        <w:spacing w:after="80" w:before="150"/>
      </w:pPr>
      <w:r>
        <w:rPr>
          <w:rFonts w:ascii="Arial" w:cs="Arial" w:eastAsia="Arial" w:hAnsi="Arial"/>
          <w:b/>
          <w:bCs/>
          <w:sz w:val="20"/>
          <w:szCs w:val="20"/>
        </w:rPr>
        <w:t xml:space="preserve">Informacje ekotoksykologiczne o składnikach:</w:t>
      </w:r>
    </w:p>
    <w:p>
      <w:pPr>
        <w:spacing w:after="80" w:before="150"/>
      </w:pPr>
      <w:r>
        <w:rPr>
          <w:rFonts w:ascii="Arial" w:cs="Arial" w:eastAsia="Arial" w:hAnsi="Arial"/>
          <w:b/>
          <w:bCs/>
          <w:sz w:val="20"/>
          <w:szCs w:val="20"/>
        </w:rPr>
        <w:t xml:space="preserve">etanol (CAS: 64-17-5):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14200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454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275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250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96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11,5 mg/l</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&gt; 1000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&gt; 300,82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&gt; 1000 mg/l/(72 h)</w:t>
      </w:r>
    </w:p>
    <w:p>
      <w:pPr>
        <w:spacing w:after="80" w:before="150"/>
      </w:pPr>
      <w:r>
        <w:rPr>
          <w:rFonts w:ascii="Arial" w:cs="Arial" w:eastAsia="Arial" w:hAnsi="Arial"/>
          <w:b/>
          <w:bCs/>
          <w:sz w:val="20"/>
          <w:szCs w:val="20"/>
        </w:rPr>
        <w:t xml:space="preserve">linalol (CAS: 78-70-6):</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27,8 mg/l/(96 h) Oncorhynchus mykiss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59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88,3 mg/l/(72 h) Desmodesmus subspicatus</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&lt; 3,5 mg/l Oncorhynchus mykiss</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1,34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0,88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0,49 mg/l/(72 h)</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0,2 mg/l</w:t>
      </w:r>
    </w:p>
    <w:p>
      <w:pPr>
        <w:spacing w:after="80" w:before="150"/>
      </w:pPr>
      <w:r>
        <w:rPr>
          <w:rFonts w:ascii="Arial" w:cs="Arial" w:eastAsia="Arial" w:hAnsi="Arial"/>
          <w:b/>
          <w:bCs/>
          <w:sz w:val="20"/>
          <w:szCs w:val="20"/>
        </w:rPr>
        <w:t xml:space="preserve">salicylan benzylu (CAS: 118-58-1):</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1,03 mg/l/(96 h) Danio rerio</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1,16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1,29 mg/l/(72 h) Pseudokirchneriella subcapitata</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0,894 mg/l Daphnia magna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0,502 mg/l Pseudokirchneriella subcapitata</w:t>
      </w:r>
    </w:p>
    <w:p>
      <w:pPr>
        <w:spacing w:after="80" w:before="150"/>
      </w:pPr>
      <w:r>
        <w:rPr>
          <w:rFonts w:ascii="Arial" w:cs="Arial" w:eastAsia="Arial" w:hAnsi="Arial"/>
          <w:b/>
          <w:bCs/>
          <w:sz w:val="20"/>
          <w:szCs w:val="20"/>
        </w:rPr>
        <w:t xml:space="preserve">2,6-di-tert-butylo-4-metylofenol (BHT) (CAS: 128-37-0):</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0,199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0,48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&gt; 0,4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0,053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0,15 mg/l</w:t>
      </w:r>
    </w:p>
    <w:p>
      <w:pPr>
        <w:spacing w:after="80" w:before="150"/>
      </w:pPr>
      <w:r>
        <w:rPr>
          <w:rFonts w:ascii="Arial" w:cs="Arial" w:eastAsia="Arial" w:hAnsi="Arial"/>
          <w:b/>
          <w:bCs/>
          <w:sz w:val="20"/>
          <w:szCs w:val="20"/>
        </w:rPr>
        <w:t xml:space="preserve">1,8-cyneol (eukaliptol) (CAS: 470-82-6):</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57 mg/l/(96 h) Oncorhynchus mykiss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&gt; 100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74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32 mg/l Oncorhynchus mykiss</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100 mg/l Daphnia magna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9,1 mg/l</w:t>
      </w:r>
    </w:p>
    <w:p>
      <w:pPr>
        <w:spacing w:after="80"/>
      </w:pPr>
      <w:r>
        <w:rPr>
          <w:rFonts w:ascii="Arial" w:cs="Arial" w:eastAsia="Arial" w:hAnsi="Arial"/>
          <w:sz w:val="20"/>
          <w:szCs w:val="20"/>
        </w:rPr>
        <w:t xml:space="preserve">trimethylcyclohexyl]hexan-3-ol:</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999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696 mg/l/(48 h)</w:t>
      </w:r>
    </w:p>
    <w:p>
      <w:pPr>
        <w:spacing w:after="80" w:before="150"/>
      </w:pPr>
      <w:r>
        <w:rPr>
          <w:rFonts w:ascii="Arial" w:cs="Arial" w:eastAsia="Arial" w:hAnsi="Arial"/>
          <w:b/>
          <w:bCs/>
          <w:sz w:val="20"/>
          <w:szCs w:val="20"/>
        </w:rPr>
        <w:t xml:space="preserve">aldehyd cynamonowy (CAS: 104-55-2):</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&gt; 3,5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3,21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16,09 mg/l/(72 h)</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0,049 mg/l</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1,2 mg/l/(96 h) Oncorhynchus mykiss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1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0,88 mg/l/(72 h)</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0,56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0,45 mg/l</w:t>
      </w:r>
    </w:p>
    <w:p>
      <w:pPr>
        <w:spacing w:after="80" w:before="150"/>
      </w:pPr>
      <w:r>
        <w:rPr>
          <w:rFonts w:ascii="Arial" w:cs="Arial" w:eastAsia="Arial" w:hAnsi="Arial"/>
          <w:b/>
          <w:bCs/>
          <w:sz w:val="20"/>
          <w:szCs w:val="20"/>
        </w:rPr>
        <w:t xml:space="preserve">metanol (CAS: 67-56-1):</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15320 mg/l/(96 h) Leuciscus idus melanotus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18260 mg/l/(96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22000 mg/l/(96 h) Pseudokirchneriella subcapitata</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3950 mg/l/(96 h) Danio rerio</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7960 mg/l/(96 h) Mytilus edulis (omułek)</w:t>
      </w:r>
    </w:p>
    <w:p>
      <w:pPr>
        <w:spacing w:after="80" w:before="150"/>
      </w:pPr>
      <w:r>
        <w:rPr>
          <w:rFonts w:ascii="Arial" w:cs="Arial" w:eastAsia="Arial" w:hAnsi="Arial"/>
          <w:b/>
          <w:bCs/>
          <w:sz w:val="20"/>
          <w:szCs w:val="20"/>
        </w:rPr>
        <w:t xml:space="preserve">heptan (CAS: 142-82-5):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375 mg/l/(96 h) Tilapia mossambica</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82,5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1,5 mg/l/(72 h) Algae</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8,6 mg/l/(96 h) Cyprinus carpio</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5,3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22 mg/l/(72 h) Desmodesmus subspicatus</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6,8 mg/l Desmodesmus subspicatus</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&gt; 150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&gt; 1000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&gt; 969 mg/l/(72 h)</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1000 mg/l (48 h)</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969 mg/l</w:t>
      </w:r>
    </w:p>
    <w:p>
      <w:pPr>
        <w:spacing w:after="80" w:before="150"/>
      </w:pPr>
      <w:r>
        <w:rPr>
          <w:rFonts w:ascii="Arial" w:cs="Arial" w:eastAsia="Arial" w:hAnsi="Arial"/>
          <w:b/>
          <w:bCs/>
          <w:sz w:val="20"/>
          <w:szCs w:val="20"/>
        </w:rPr>
        <w:t xml:space="preserve">toluen (CAS: 108-88-3):</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5,5 mg/l/(96 h) Oncorhynchus kisutch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3,78 mg/l</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134 mg/l/(3 h) Chlorella vulgaris and Chlamydomonas angulosa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 10 mg/l/(72 h) Skeletonema costatum</w:t>
      </w:r>
    </w:p>
    <w:p>
      <w:pPr>
        <w:spacing w:after="80" w:before="150"/>
      </w:pPr>
      <w:r>
        <w:rPr>
          <w:rFonts w:ascii="Arial" w:cs="Arial" w:eastAsia="Arial" w:hAnsi="Arial"/>
          <w:b/>
          <w:bCs/>
          <w:sz w:val="20"/>
          <w:szCs w:val="20"/>
        </w:rPr>
        <w:t xml:space="preserve">fenol (CAS: 108-95-2):</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 21,93 mg/l/(14 dni) Poecilia reticulata</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 3,1 mg/l/(48 h) Ceriodaphnia dubia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 61,1 mg/l/(96 h) (96 h) EC50 (cell number increase): 61,1 mg phenol/L (95 %</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 4 mg/l/(14 dni) Poecilia reticulata</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 0,16 mg/l</w:t>
      </w:r>
    </w:p>
    <w:p>
      <w:pPr>
        <w:spacing w:after="100" w:before="200"/>
      </w:pPr>
      <w:r>
        <w:rPr>
          <w:rFonts w:ascii="Arial" w:cs="Arial" w:eastAsia="Arial" w:hAnsi="Arial"/>
          <w:b/>
          <w:bCs/>
          <w:sz w:val="20"/>
          <w:szCs w:val="20"/>
        </w:rPr>
        <w:t xml:space="preserve">12.2. Trwałość i zdolność do rozkładu</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Szybko ulega degradacji (substancja łatwo biodegradowalna). Rozpuszczalność w wodzie: 1000 - 10000 mg/l.</w:t>
      </w:r>
    </w:p>
    <w:p>
      <w:pPr>
        <w:spacing w:after="80"/>
      </w:pPr>
      <w:r>
        <w:rPr>
          <w:rFonts w:ascii="Arial" w:cs="Arial" w:eastAsia="Arial" w:hAnsi="Arial"/>
          <w:sz w:val="20"/>
          <w:szCs w:val="20"/>
        </w:rPr>
        <w:t xml:space="preserve">linalol (CAS: 78-70-6): Szybko ulega degradacji (substancja łatwo biodegradowalna).</w:t>
      </w:r>
    </w:p>
    <w:p>
      <w:pPr>
        <w:spacing w:after="80"/>
      </w:pPr>
      <w:r>
        <w:rPr>
          <w:rFonts w:ascii="Arial" w:cs="Arial" w:eastAsia="Arial" w:hAnsi="Arial"/>
          <w:sz w:val="20"/>
          <w:szCs w:val="20"/>
        </w:rPr>
        <w:t xml:space="preserve">salicylan benzylu (CAS: 118-58-1): Szybko ulega degradacji (substancja łatwo biodegradowalna).</w:t>
      </w:r>
    </w:p>
    <w:p>
      <w:pPr>
        <w:spacing w:after="80"/>
      </w:pPr>
      <w:r>
        <w:rPr>
          <w:rFonts w:ascii="Arial" w:cs="Arial" w:eastAsia="Arial" w:hAnsi="Arial"/>
          <w:sz w:val="20"/>
          <w:szCs w:val="20"/>
        </w:rPr>
        <w:t xml:space="preserve">2,6-di-tert-butylo-4-metylofenol (BHT) (CAS: 128-37-0): Szybko ulega degradacji (substancja łatwo biodegradowalna).</w:t>
      </w:r>
    </w:p>
    <w:p>
      <w:pPr>
        <w:spacing w:after="80"/>
      </w:pPr>
      <w:r>
        <w:rPr>
          <w:rFonts w:ascii="Arial" w:cs="Arial" w:eastAsia="Arial" w:hAnsi="Arial"/>
          <w:sz w:val="20"/>
          <w:szCs w:val="20"/>
        </w:rPr>
        <w:t xml:space="preserve">1,8-cyneol (eukaliptol) (CAS: 470-82-6): Szybko ulega degradacji (substancja łatwo biodegradowalna).</w:t>
      </w:r>
    </w:p>
    <w:p>
      <w:pPr>
        <w:spacing w:after="80"/>
      </w:pPr>
      <w:r>
        <w:rPr>
          <w:rFonts w:ascii="Arial" w:cs="Arial" w:eastAsia="Arial" w:hAnsi="Arial"/>
          <w:sz w:val="20"/>
          <w:szCs w:val="20"/>
        </w:rPr>
        <w:t xml:space="preserve">trimethylcyclohexyl]hexan-3-ol: Szybko ulega degradacji (substancja łatwo biodegradowalna).</w:t>
      </w:r>
    </w:p>
    <w:p>
      <w:pPr>
        <w:spacing w:after="80"/>
      </w:pPr>
      <w:r>
        <w:rPr>
          <w:rFonts w:ascii="Arial" w:cs="Arial" w:eastAsia="Arial" w:hAnsi="Arial"/>
          <w:sz w:val="20"/>
          <w:szCs w:val="20"/>
        </w:rPr>
        <w:t xml:space="preserve">aldehyd cynamonowy (CAS: 104-55-2): Szybko ulega degradacji (substancja łatwo biodegradowalna).</w:t>
      </w:r>
    </w:p>
    <w:p>
      <w:pPr>
        <w:spacing w:after="80"/>
      </w:pPr>
      <w:r>
        <w:rPr>
          <w:rFonts w:ascii="Arial" w:cs="Arial" w:eastAsia="Arial" w:hAnsi="Arial"/>
          <w:sz w:val="20"/>
          <w:szCs w:val="20"/>
        </w:rPr>
        <w:t xml:space="preserve">metanol (CAS: 67-56-1): Szybko ulega degradacji (substancja łatwo biodegradowalna). Rozpuszczalność w wodzie: 1000 - 10000 mg/l.</w:t>
      </w:r>
    </w:p>
    <w:p>
      <w:pPr>
        <w:spacing w:after="80"/>
      </w:pPr>
      <w:r>
        <w:rPr>
          <w:rFonts w:ascii="Arial" w:cs="Arial" w:eastAsia="Arial" w:hAnsi="Arial"/>
          <w:sz w:val="20"/>
          <w:szCs w:val="20"/>
        </w:rPr>
        <w:t xml:space="preserve">heptan (CAS: 142-82-5): Szybko ulega degradacji (substancja łatwo biodegradowalna). Rozpuszczalność w wodzie: 0,1 - 100 mg/l.</w:t>
      </w:r>
    </w:p>
    <w:p>
      <w:pPr>
        <w:spacing w:after="80"/>
      </w:pPr>
      <w:r>
        <w:rPr>
          <w:rFonts w:ascii="Arial" w:cs="Arial" w:eastAsia="Arial" w:hAnsi="Arial"/>
          <w:sz w:val="20"/>
          <w:szCs w:val="20"/>
        </w:rPr>
        <w:t xml:space="preserve">aceton (propan-2-on) (CAS: 67-64-1): Szybko ulega degradacji (substancja łatwo biodegradowalna).</w:t>
      </w:r>
    </w:p>
    <w:p>
      <w:pPr>
        <w:spacing w:after="80"/>
      </w:pPr>
      <w:r>
        <w:rPr>
          <w:rFonts w:ascii="Arial" w:cs="Arial" w:eastAsia="Arial" w:hAnsi="Arial"/>
          <w:sz w:val="20"/>
          <w:szCs w:val="20"/>
        </w:rPr>
        <w:t xml:space="preserve">toluen (CAS: 108-88-3): Szybko ulega degradacji (substancja łatwo biodegradowalna). Rozpuszczalność w wodzie: 100 - 1000 mg/l.</w:t>
      </w:r>
    </w:p>
    <w:p>
      <w:pPr>
        <w:spacing w:after="80"/>
      </w:pPr>
      <w:r>
        <w:rPr>
          <w:rFonts w:ascii="Arial" w:cs="Arial" w:eastAsia="Arial" w:hAnsi="Arial"/>
          <w:sz w:val="20"/>
          <w:szCs w:val="20"/>
        </w:rPr>
        <w:t xml:space="preserve">fenol (CAS: 108-95-2): Szybko ulega degradacji (substancja łatwo biodegradowalna).</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pPr>
      <w:r>
        <w:rPr>
          <w:rFonts w:ascii="Arial" w:cs="Arial" w:eastAsia="Arial" w:hAnsi="Arial"/>
          <w:sz w:val="20"/>
          <w:szCs w:val="20"/>
        </w:rPr>
        <w:t xml:space="preserve">octan 4-tert-butylocykloheksylu (CAS: 32210-23-4): Nie wykazuje zdolności do bioakumulacji. Współczynnik biokoncentracji (BCF) = 334,6..</w:t>
      </w:r>
    </w:p>
    <w:p>
      <w:pPr>
        <w:spacing w:after="80"/>
      </w:pPr>
      <w:r>
        <w:rPr>
          <w:rFonts w:ascii="Arial" w:cs="Arial" w:eastAsia="Arial" w:hAnsi="Arial"/>
          <w:sz w:val="20"/>
          <w:szCs w:val="20"/>
        </w:rPr>
        <w:t xml:space="preserve">salicylan benzylu (CAS: 118-58-1): wykazuje zdolność do bioakumulacji (Bioaccumulative), współczynnik biokoncentracji BCF = 311..</w:t>
      </w:r>
    </w:p>
    <w:p>
      <w:pPr>
        <w:spacing w:after="80"/>
      </w:pPr>
      <w:r>
        <w:rPr>
          <w:rFonts w:ascii="Arial" w:cs="Arial" w:eastAsia="Arial" w:hAnsi="Arial"/>
          <w:sz w:val="20"/>
          <w:szCs w:val="20"/>
        </w:rPr>
        <w:t xml:space="preserve">2,6-di-tert-butylo-4-metylofenol (BHT) (CAS: 128-37-0): współczynnik podziału n-oktanol/woda (log Kow): 5,1, współczynnik biokoncentracji BCF = 598,4.</w:t>
      </w:r>
    </w:p>
    <w:p>
      <w:pPr>
        <w:spacing w:after="80"/>
      </w:pPr>
      <w:r>
        <w:rPr>
          <w:rFonts w:ascii="Arial" w:cs="Arial" w:eastAsia="Arial" w:hAnsi="Arial"/>
          <w:sz w:val="20"/>
          <w:szCs w:val="20"/>
        </w:rPr>
        <w:t xml:space="preserve">1,8-cyneol (eukaliptol) (CAS: 470-82-6): współczynnik biokoncentracji BCF = 155 l/kg.</w:t>
      </w:r>
    </w:p>
    <w:p>
      <w:pPr>
        <w:spacing w:after="80"/>
      </w:pPr>
      <w:r>
        <w:rPr>
          <w:rFonts w:ascii="Arial" w:cs="Arial" w:eastAsia="Arial" w:hAnsi="Arial"/>
          <w:sz w:val="20"/>
          <w:szCs w:val="20"/>
        </w:rPr>
        <w:t xml:space="preserve">aldehyd cynamonowy (CAS: 104-55-2): współczynnik biokoncentracji BCF = 147,91.</w:t>
      </w:r>
    </w:p>
    <w:p>
      <w:pPr>
        <w:spacing w:after="80"/>
      </w:pPr>
      <w:r>
        <w:rPr>
          <w:rFonts w:ascii="Arial" w:cs="Arial" w:eastAsia="Arial" w:hAnsi="Arial"/>
          <w:sz w:val="20"/>
          <w:szCs w:val="20"/>
        </w:rPr>
        <w:t xml:space="preserve">metanol (CAS: 67-56-1): współczynnik podziału n-oktanol/woda (log Kow): -0,77, współczynnik biokoncentracji BCF = 0,2.</w:t>
      </w:r>
    </w:p>
    <w:p>
      <w:pPr>
        <w:spacing w:after="80"/>
      </w:pPr>
      <w:r>
        <w:rPr>
          <w:rFonts w:ascii="Arial" w:cs="Arial" w:eastAsia="Arial" w:hAnsi="Arial"/>
          <w:sz w:val="20"/>
          <w:szCs w:val="20"/>
        </w:rPr>
        <w:t xml:space="preserve">heptan (CAS: 142-82-5): współczynnik podziału n-oktanol/woda (log Kow): 4,5, współczynnik biokoncentracji BCF = 552.</w:t>
      </w:r>
    </w:p>
    <w:p>
      <w:pPr>
        <w:spacing w:after="80"/>
      </w:pPr>
      <w:r>
        <w:rPr>
          <w:rFonts w:ascii="Arial" w:cs="Arial" w:eastAsia="Arial" w:hAnsi="Arial"/>
          <w:sz w:val="20"/>
          <w:szCs w:val="20"/>
        </w:rPr>
        <w:t xml:space="preserve">aceton (propan-2-on) (CAS: 67-64-1): współczynnik podziału n-oktanol/woda (log Kow): -0,23, współczynnik biokoncentracji BCF = 3.</w:t>
      </w:r>
    </w:p>
    <w:p>
      <w:pPr>
        <w:spacing w:after="80"/>
      </w:pPr>
      <w:r>
        <w:rPr>
          <w:rFonts w:ascii="Arial" w:cs="Arial" w:eastAsia="Arial" w:hAnsi="Arial"/>
          <w:sz w:val="20"/>
          <w:szCs w:val="20"/>
        </w:rPr>
        <w:t xml:space="preserve">toluen (CAS: 108-88-3): współczynnik podziału n-oktanol/woda (log Kow): 2,73, współczynnik biokoncentracji BCF = 90.</w:t>
      </w:r>
    </w:p>
    <w:p>
      <w:pPr>
        <w:spacing w:after="80"/>
      </w:pPr>
      <w:r>
        <w:rPr>
          <w:rFonts w:ascii="Arial" w:cs="Arial" w:eastAsia="Arial" w:hAnsi="Arial"/>
          <w:sz w:val="20"/>
          <w:szCs w:val="20"/>
        </w:rPr>
        <w:t xml:space="preserve">fenol (CAS: 108-95-2): współczynnik podziału n-oktanol/woda (log Kow): 1,47, współczynnik biokoncentracji BCF = 17,5.</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2,6-di-tert-butylo-4-metylofenol (BHT) (CAS: 128-37-0): współczynnik podziału gleba/woda (Koc): 4,2.</w:t>
      </w:r>
    </w:p>
    <w:p>
      <w:pPr>
        <w:spacing w:after="80"/>
      </w:pPr>
      <w:r>
        <w:rPr>
          <w:rFonts w:ascii="Arial" w:cs="Arial" w:eastAsia="Arial" w:hAnsi="Arial"/>
          <w:sz w:val="20"/>
          <w:szCs w:val="20"/>
        </w:rPr>
        <w:t xml:space="preserve">1,8-cyneol (eukaliptol) (CAS: 470-82-6): współczynnik podziału gleba/woda (Koc): 2,33.</w:t>
      </w:r>
    </w:p>
    <w:p>
      <w:pPr>
        <w:spacing w:after="80"/>
      </w:pPr>
      <w:r>
        <w:rPr>
          <w:rFonts w:ascii="Arial" w:cs="Arial" w:eastAsia="Arial" w:hAnsi="Arial"/>
          <w:sz w:val="20"/>
          <w:szCs w:val="20"/>
        </w:rPr>
        <w:t xml:space="preserve">aldehyd cynamonowy (CAS: 104-55-2): współczynnik podziału gleba/woda (Koc): 1,958.</w:t>
      </w:r>
    </w:p>
    <w:p>
      <w:pPr>
        <w:spacing w:after="80"/>
      </w:pPr>
      <w:r>
        <w:rPr>
          <w:rFonts w:ascii="Arial" w:cs="Arial" w:eastAsia="Arial" w:hAnsi="Arial"/>
          <w:sz w:val="20"/>
          <w:szCs w:val="20"/>
        </w:rPr>
        <w:t xml:space="preserve">heptan (CAS: 142-82-5): współczynnik podziału gleba/woda (Koc): 2,38.</w:t>
      </w:r>
    </w:p>
    <w:p>
      <w:pPr>
        <w:spacing w:after="80"/>
      </w:pPr>
      <w:r>
        <w:rPr>
          <w:rFonts w:ascii="Arial" w:cs="Arial" w:eastAsia="Arial" w:hAnsi="Arial"/>
          <w:sz w:val="20"/>
          <w:szCs w:val="20"/>
        </w:rPr>
        <w:t xml:space="preserve">toluen (CAS: 108-88-3): współczynnik podziału gleba/woda (Koc): 2,31.</w:t>
      </w:r>
    </w:p>
    <w:p>
      <w:pPr>
        <w:spacing w:after="80"/>
      </w:pPr>
      <w:r>
        <w:rPr>
          <w:rFonts w:ascii="Arial" w:cs="Arial" w:eastAsia="Arial" w:hAnsi="Arial"/>
          <w:sz w:val="20"/>
          <w:szCs w:val="20"/>
        </w:rPr>
        <w:t xml:space="preserve">fenol (CAS: 108-95-2): współczynnik podziału gleba/woda (Koc): 1,57 l/kg.</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60" w:before="60"/>
      </w:pPr>
      <w:r>
        <w:rPr>
          <w:rFonts w:ascii="Arial" w:cs="Arial" w:eastAsia="Arial" w:hAnsi="Arial"/>
          <w:b/>
          <w:bCs/>
          <w:sz w:val="20"/>
          <w:szCs w:val="20"/>
        </w:rPr>
        <w:t xml:space="preserve">- Odpady z produktu (dla zastosowań profesjonalnych / przemysłowych):</w:t>
      </w:r>
      <w:r>
        <w:rPr>
          <w:rFonts w:ascii="Arial" w:cs="Arial" w:eastAsia="Arial" w:hAnsi="Arial"/>
          <w:sz w:val="20"/>
          <w:szCs w:val="20"/>
        </w:rPr>
        <w:t xml:space="preserve"> 14 06 03* (Inne rozpuszczalniki i mieszaniny rozpuszczalników).</w:t>
      </w:r>
    </w:p>
    <w:p>
      <w:pPr>
        <w:spacing w:after="60" w:before="60"/>
      </w:pPr>
      <w:r>
        <w:rPr>
          <w:rFonts w:ascii="Arial" w:cs="Arial" w:eastAsia="Arial" w:hAnsi="Arial"/>
          <w:b/>
          <w:bCs/>
          <w:sz w:val="20"/>
          <w:szCs w:val="20"/>
        </w:rPr>
        <w:t xml:space="preserve">- Odpady z produktu (dla konsumentów / odpady komunalne):</w:t>
      </w:r>
      <w:r>
        <w:rPr>
          <w:rFonts w:ascii="Arial" w:cs="Arial" w:eastAsia="Arial" w:hAnsi="Arial"/>
          <w:sz w:val="20"/>
          <w:szCs w:val="20"/>
        </w:rPr>
        <w:t xml:space="preserve"> 20 01 13* (Rozpuszczalniki).</w:t>
      </w:r>
    </w:p>
    <w:p>
      <w:pPr>
        <w:spacing w:after="60" w:before="60"/>
      </w:pPr>
      <w:r>
        <w:rPr>
          <w:rFonts w:ascii="Arial" w:cs="Arial" w:eastAsia="Arial" w:hAnsi="Arial"/>
          <w:b/>
          <w:bCs/>
          <w:sz w:val="20"/>
          <w:szCs w:val="20"/>
        </w:rPr>
        <w:t xml:space="preserve">- Odpady opakowaniowe:</w:t>
      </w:r>
      <w:r>
        <w:rPr>
          <w:rFonts w:ascii="Arial" w:cs="Arial" w:eastAsia="Arial" w:hAnsi="Arial"/>
          <w:sz w:val="20"/>
          <w:szCs w:val="20"/>
        </w:rPr>
        <w:t xml:space="preserv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80" w:before="200"/>
      </w:pPr>
      <w:r>
        <w:rPr>
          <w:rFonts w:ascii="Arial" w:cs="Arial" w:eastAsia="Arial" w:hAnsi="Arial"/>
          <w:b/>
          <w:bCs/>
          <w:sz w:val="20"/>
          <w:szCs w:val="20"/>
        </w:rPr>
        <w:t xml:space="preserve">14.3. Klasa(-y) zagrożenia w transporcie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ADR / RID, IMDG, IATA: Klasa 3 (Materiały ciekłe zapalne)</w:t>
      </w:r>
    </w:p>
    <w:p>
      <w:pPr>
        <w:spacing w:after="80" w:before="80"/>
      </w:pPr>
      <w:r>
        <w:rPr>
          <w:rFonts w:ascii="Arial" w:cs="Arial" w:eastAsia="Arial" w:hAnsi="Arial"/>
          <w:b/>
          <w:bCs/>
          <w:sz w:val="20"/>
          <w:szCs w:val="20"/>
        </w:rPr>
        <w:t xml:space="preserve">Nalepka ostrzegawcza:</w:t>
      </w:r>
      <w:r>
        <w:rPr>
          <w:rFonts w:ascii="Arial" w:cs="Arial" w:eastAsia="Arial" w:hAnsi="Arial"/>
          <w:sz w:val="20"/>
          <w:szCs w:val="20"/>
        </w:rPr>
        <w:t xml:space="preserve"> Nr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 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60" w:before="80"/>
      </w:pPr>
      <w:r>
        <w:rPr>
          <w:rFonts w:ascii="Arial" w:cs="Arial" w:eastAsia="Arial" w:hAnsi="Arial"/>
          <w:b/>
          <w:bCs/>
          <w:sz w:val="20"/>
          <w:szCs w:val="20"/>
        </w:rPr>
        <w:t xml:space="preserve">Ilości ograniczone (LQ): </w:t>
      </w:r>
      <w:r>
        <w:rPr>
          <w:rFonts w:ascii="Arial" w:cs="Arial" w:eastAsia="Arial" w:hAnsi="Arial"/>
          <w:sz w:val="20"/>
          <w:szCs w:val="20"/>
        </w:rPr>
        <w:t xml:space="preserve">1 L</w:t>
      </w:r>
    </w:p>
    <w:p>
      <w:pPr>
        <w:spacing w:after="80" w:before="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r>
        <w:rPr>
          <w:rFonts w:ascii="Arial" w:cs="Arial" w:eastAsia="Arial" w:hAnsi="Arial"/>
          <w:i/>
          <w:iCs/>
          <w:sz w:val="16"/>
          <w:szCs w:val="16"/>
        </w:rPr>
        <w:t xml:space="preserve">  Znak dla towarów pakowanych w ilościach ograniczonych (LQ) zgodnie z działem 3.4 Umowy ADR</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60" w:before="60"/>
      </w:pPr>
      <w:r>
        <w:rPr>
          <w:rFonts w:ascii="Arial" w:cs="Arial" w:eastAsia="Arial" w:hAnsi="Arial"/>
          <w:b/>
          <w:bCs/>
          <w:sz w:val="20"/>
          <w:szCs w:val="20"/>
        </w:rPr>
        <w:t xml:space="preserve">- Substancje wzbudzające szczególnie duże obawy (SVHC – REACH załącznik XIV):</w:t>
      </w:r>
      <w:r>
        <w:rPr>
          <w:rFonts w:ascii="Arial" w:cs="Arial" w:eastAsia="Arial" w:hAnsi="Arial"/>
          <w:sz w:val="20"/>
          <w:szCs w:val="20"/>
        </w:rPr>
        <w:t xml:space="preserve"> Mieszanina nie zawiera substancji z listy kandydackiej SVHC podlegających procedurze udzielania zezwoleń (REACH załącznik XIV) w stężeniu ≥ 0,1% wag.</w:t>
      </w:r>
    </w:p>
    <w:p>
      <w:pPr>
        <w:spacing w:after="60" w:before="60"/>
      </w:pPr>
      <w:r>
        <w:rPr>
          <w:rFonts w:ascii="Arial" w:cs="Arial" w:eastAsia="Arial" w:hAnsi="Arial"/>
          <w:b/>
          <w:bCs/>
          <w:sz w:val="20"/>
          <w:szCs w:val="20"/>
        </w:rPr>
        <w:t xml:space="preserve">- Ograniczenia dotyczące produkcji, wprowadzania do obrotu i stosowania niektórych niebezpiecznych substancji (REACH załącznik XVII):</w:t>
      </w:r>
      <w:r>
        <w:rPr>
          <w:rFonts w:ascii="Arial" w:cs="Arial" w:eastAsia="Arial" w:hAnsi="Arial"/>
          <w:sz w:val="20"/>
          <w:szCs w:val="20"/>
        </w:rPr>
        <w:t xml:space="preserve"/>
      </w:r>
    </w:p>
    <w:p>
      <w:pPr>
        <w:spacing w:after="80"/>
      </w:pPr>
      <w:r>
        <w:rPr>
          <w:rFonts w:ascii="Arial" w:cs="Arial" w:eastAsia="Arial" w:hAnsi="Arial"/>
          <w:sz w:val="20"/>
          <w:szCs w:val="20"/>
        </w:rPr>
        <w:t xml:space="preserve">* Produkt podlega ograniczeniom wynikającym z pozycji 3 (Ciekłe substancje lub mieszaniny stwarzające zagrożenie w rozumieniu rozporządzenia CLP) oraz pozycji 40 (Substancje zaklasyfikowane jako ciecze łatwopalne kategorii 1, 2 lub 3).</w:t>
      </w:r>
    </w:p>
    <w:p>
      <w:pPr>
        <w:spacing w:after="80"/>
      </w:pPr>
      <w:r>
        <w:rPr>
          <w:rFonts w:ascii="Arial" w:cs="Arial" w:eastAsia="Arial" w:hAnsi="Arial"/>
          <w:sz w:val="20"/>
          <w:szCs w:val="20"/>
        </w:rPr>
        <w:t xml:space="preserve">* Substancje zawarte w mieszaninie podlegają ograniczeniom wynikającym z pozycji 75 (Substancje w tuszach do tatuażu i makijażu permanentnego).</w:t>
      </w:r>
    </w:p>
    <w:p>
      <w:pPr>
        <w:spacing w:after="60" w:before="60"/>
      </w:pPr>
      <w:r>
        <w:rPr>
          <w:rFonts w:ascii="Arial" w:cs="Arial" w:eastAsia="Arial" w:hAnsi="Arial"/>
          <w:b/>
          <w:bCs/>
          <w:sz w:val="20"/>
          <w:szCs w:val="20"/>
        </w:rPr>
        <w:t xml:space="preserve">- Dyrektywa Seveso III (2012/18/UE) / Rozporządzenie Ministra Rozwoju z dnia 29 stycznia 2016 r. (Dz.U. 2016 poz. 138):</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Kategoria zagrożenia:</w:t>
      </w:r>
      <w:r>
        <w:rPr>
          <w:rFonts w:ascii="Arial" w:cs="Arial" w:eastAsia="Arial" w:hAnsi="Arial"/>
          <w:sz w:val="20"/>
          <w:szCs w:val="20"/>
        </w:rPr>
        <w:t xml:space="preserve"> P5c CIECZE ŁATWOPALNE.</w:t>
      </w:r>
    </w:p>
    <w:p>
      <w:pPr>
        <w:spacing w:after="60" w:before="60"/>
      </w:pPr>
      <w:r>
        <w:rPr>
          <w:rFonts w:ascii="Arial" w:cs="Arial" w:eastAsia="Arial" w:hAnsi="Arial"/>
          <w:b/>
          <w:bCs/>
          <w:sz w:val="20"/>
          <w:szCs w:val="20"/>
        </w:rPr>
        <w:t xml:space="preserve">* Ilości progowe substancji niebezpiecznych decydujące o zaliczeniu zakładu:</w:t>
      </w:r>
      <w:r>
        <w:rPr>
          <w:rFonts w:ascii="Arial" w:cs="Arial" w:eastAsia="Arial" w:hAnsi="Arial"/>
          <w:sz w:val="20"/>
          <w:szCs w:val="20"/>
        </w:rPr>
        <w:t xml:space="preserve"> Zakład o Zwiększonym Ryzyku (ZZR) – 5 000 t; Zakład o Dużym Ryzyku (ZDR) – 50 000 t.</w:t>
      </w:r>
    </w:p>
    <w:p>
      <w:pPr>
        <w:spacing w:after="60" w:before="60"/>
      </w:pPr>
      <w:r>
        <w:rPr>
          <w:rFonts w:ascii="Arial" w:cs="Arial" w:eastAsia="Arial" w:hAnsi="Arial"/>
          <w:b/>
          <w:bCs/>
          <w:sz w:val="20"/>
          <w:szCs w:val="20"/>
        </w:rPr>
        <w:t xml:space="preserve">- Rozporządzenie Parlamentu Europejskiego i Rady (UE) nr 649/2012 z dnia 4 lipca 2012 r. dotyczące wywozu i przywozu niebezpiecznych chemikaliów (PIC):</w:t>
      </w:r>
      <w:r>
        <w:rPr>
          <w:rFonts w:ascii="Arial" w:cs="Arial" w:eastAsia="Arial" w:hAnsi="Arial"/>
          <w:sz w:val="20"/>
          <w:szCs w:val="20"/>
        </w:rPr>
        <w:t xml:space="preserve">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H226:</w:t>
      </w:r>
      <w:r>
        <w:rPr>
          <w:rFonts w:ascii="Arial" w:cs="Arial" w:eastAsia="Arial" w:hAnsi="Arial"/>
          <w:sz w:val="20"/>
          <w:szCs w:val="20"/>
        </w:rPr>
        <w:t xml:space="preserve"> Łatwopalna ciecz i pary.</w:t>
      </w:r>
    </w:p>
    <w:p>
      <w:pPr>
        <w:spacing w:after="80" w:before="80"/>
      </w:pPr>
      <w:r>
        <w:rPr>
          <w:rFonts w:ascii="Arial" w:cs="Arial" w:eastAsia="Arial" w:hAnsi="Arial"/>
          <w:b/>
          <w:bCs/>
          <w:sz w:val="20"/>
          <w:szCs w:val="20"/>
        </w:rPr>
        <w:t xml:space="preserve">H301:</w:t>
      </w:r>
      <w:r>
        <w:rPr>
          <w:rFonts w:ascii="Arial" w:cs="Arial" w:eastAsia="Arial" w:hAnsi="Arial"/>
          <w:sz w:val="20"/>
          <w:szCs w:val="20"/>
        </w:rPr>
        <w:t xml:space="preserve"> Działa toksycznie po połknięciu.</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H311:</w:t>
      </w:r>
      <w:r>
        <w:rPr>
          <w:rFonts w:ascii="Arial" w:cs="Arial" w:eastAsia="Arial" w:hAnsi="Arial"/>
          <w:sz w:val="20"/>
          <w:szCs w:val="20"/>
        </w:rPr>
        <w:t xml:space="preserve"> Działa toksycznie w kontakcie ze skórą.</w:t>
      </w:r>
    </w:p>
    <w:p>
      <w:pPr>
        <w:spacing w:after="80" w:before="80"/>
      </w:pPr>
      <w:r>
        <w:rPr>
          <w:rFonts w:ascii="Arial" w:cs="Arial" w:eastAsia="Arial" w:hAnsi="Arial"/>
          <w:b/>
          <w:bCs/>
          <w:sz w:val="20"/>
          <w:szCs w:val="20"/>
        </w:rPr>
        <w:t xml:space="preserve">H314:</w:t>
      </w:r>
      <w:r>
        <w:rPr>
          <w:rFonts w:ascii="Arial" w:cs="Arial" w:eastAsia="Arial" w:hAnsi="Arial"/>
          <w:sz w:val="20"/>
          <w:szCs w:val="20"/>
        </w:rPr>
        <w:t xml:space="preserve"> Powoduje poważne oparzenia skóry oraz uszkodzenia oczu.</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H318:</w:t>
      </w:r>
      <w:r>
        <w:rPr>
          <w:rFonts w:ascii="Arial" w:cs="Arial" w:eastAsia="Arial" w:hAnsi="Arial"/>
          <w:sz w:val="20"/>
          <w:szCs w:val="20"/>
        </w:rPr>
        <w:t xml:space="preserve"> Powoduje poważne uszkodzenie oczu.</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H331:</w:t>
      </w:r>
      <w:r>
        <w:rPr>
          <w:rFonts w:ascii="Arial" w:cs="Arial" w:eastAsia="Arial" w:hAnsi="Arial"/>
          <w:sz w:val="20"/>
          <w:szCs w:val="20"/>
        </w:rPr>
        <w:t xml:space="preserve"> Działa toksycznie w następstwie wdychania.</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H341:</w:t>
      </w:r>
      <w:r>
        <w:rPr>
          <w:rFonts w:ascii="Arial" w:cs="Arial" w:eastAsia="Arial" w:hAnsi="Arial"/>
          <w:sz w:val="20"/>
          <w:szCs w:val="20"/>
        </w:rPr>
        <w:t xml:space="preserve"> Podejrzewa się, że powoduje wady genetyczne.</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before="80"/>
      </w:pPr>
      <w:r>
        <w:rPr>
          <w:rFonts w:ascii="Arial" w:cs="Arial" w:eastAsia="Arial" w:hAnsi="Arial"/>
          <w:b/>
          <w:bCs/>
          <w:sz w:val="20"/>
          <w:szCs w:val="20"/>
        </w:rPr>
        <w:t xml:space="preserve">H370:</w:t>
      </w:r>
      <w:r>
        <w:rPr>
          <w:rFonts w:ascii="Arial" w:cs="Arial" w:eastAsia="Arial" w:hAnsi="Arial"/>
          <w:sz w:val="20"/>
          <w:szCs w:val="20"/>
        </w:rPr>
        <w:t xml:space="preserve"> Powoduje uszkodzenie narządów.</w:t>
      </w:r>
    </w:p>
    <w:p>
      <w:pPr>
        <w:spacing w:after="80" w:before="80"/>
      </w:pPr>
      <w:r>
        <w:rPr>
          <w:rFonts w:ascii="Arial" w:cs="Arial" w:eastAsia="Arial" w:hAnsi="Arial"/>
          <w:b/>
          <w:bCs/>
          <w:sz w:val="20"/>
          <w:szCs w:val="20"/>
        </w:rPr>
        <w:t xml:space="preserve">H371:</w:t>
      </w:r>
      <w:r>
        <w:rPr>
          <w:rFonts w:ascii="Arial" w:cs="Arial" w:eastAsia="Arial" w:hAnsi="Arial"/>
          <w:sz w:val="20"/>
          <w:szCs w:val="20"/>
        </w:rPr>
        <w:t xml:space="preserve"> Może powodować uszkodzenie narządów.</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H400:</w:t>
      </w:r>
      <w:r>
        <w:rPr>
          <w:rFonts w:ascii="Arial" w:cs="Arial" w:eastAsia="Arial" w:hAnsi="Arial"/>
          <w:sz w:val="20"/>
          <w:szCs w:val="20"/>
        </w:rPr>
        <w:t xml:space="preserve"> Działa bardzo toksycznie na organizmy wodne.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H411:</w:t>
      </w:r>
      <w:r>
        <w:rPr>
          <w:rFonts w:ascii="Arial" w:cs="Arial" w:eastAsia="Arial" w:hAnsi="Arial"/>
          <w:sz w:val="20"/>
          <w:szCs w:val="20"/>
        </w:rPr>
        <w:t xml:space="preserve"> Działa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80"/>
      </w:pPr>
      <w:r>
        <w:rPr>
          <w:rFonts w:ascii="Arial" w:cs="Arial" w:eastAsia="Arial" w:hAnsi="Arial"/>
          <w:b/>
          <w:bCs/>
          <w:sz w:val="20"/>
          <w:szCs w:val="20"/>
        </w:rPr>
        <w:t xml:space="preserve">EUH066:</w:t>
      </w:r>
      <w:r>
        <w:rPr>
          <w:rFonts w:ascii="Arial" w:cs="Arial" w:eastAsia="Arial" w:hAnsi="Arial"/>
          <w:sz w:val="20"/>
          <w:szCs w:val="20"/>
        </w:rPr>
        <w:t xml:space="preserve"> Powtarzające się narażenie może powodować wysuszanie lub pękanie skóry.</w:t>
      </w:r>
    </w:p>
    <w:p>
      <w:pPr>
        <w:spacing w:after="80" w:before="80"/>
      </w:pPr>
      <w:r>
        <w:rPr>
          <w:rFonts w:ascii="Arial" w:cs="Arial" w:eastAsia="Arial" w:hAnsi="Arial"/>
          <w:b/>
          <w:bCs/>
          <w:sz w:val="20"/>
          <w:szCs w:val="20"/>
        </w:rPr>
        <w:t xml:space="preserve">EUH208:</w:t>
      </w:r>
      <w:r>
        <w:rPr>
          <w:rFonts w:ascii="Arial" w:cs="Arial" w:eastAsia="Arial" w:hAnsi="Arial"/>
          <w:sz w:val="20"/>
          <w:szCs w:val="20"/>
        </w:rPr>
        <w:t xml:space="preserve"> Zawiera substancję uczulającą. Może powodować wystąpienie reakcji alergicznej.</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3:</w:t>
      </w:r>
      <w:r>
        <w:rPr>
          <w:rFonts w:ascii="Arial" w:cs="Arial" w:eastAsia="Arial" w:hAnsi="Arial"/>
          <w:sz w:val="20"/>
          <w:szCs w:val="20"/>
        </w:rPr>
        <w:t xml:space="preserve"> Toksyczność ostra, kategoria 3</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Acute 1:</w:t>
      </w:r>
      <w:r>
        <w:rPr>
          <w:rFonts w:ascii="Arial" w:cs="Arial" w:eastAsia="Arial" w:hAnsi="Arial"/>
          <w:sz w:val="20"/>
          <w:szCs w:val="20"/>
        </w:rPr>
        <w:t xml:space="preserve"> Stwarzające zagrożenie dla środowiska wodnego – zagrożenie ostre, kategoria 1</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2:</w:t>
      </w:r>
      <w:r>
        <w:rPr>
          <w:rFonts w:ascii="Arial" w:cs="Arial" w:eastAsia="Arial" w:hAnsi="Arial"/>
          <w:sz w:val="20"/>
          <w:szCs w:val="20"/>
        </w:rPr>
        <w:t xml:space="preserve"> Stwarzające zagrożenie dla środowiska wodnego – zagrożenie przewlekłe, kategoria 2</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Dam. 1:</w:t>
      </w:r>
      <w:r>
        <w:rPr>
          <w:rFonts w:ascii="Arial" w:cs="Arial" w:eastAsia="Arial" w:hAnsi="Arial"/>
          <w:sz w:val="20"/>
          <w:szCs w:val="20"/>
        </w:rPr>
        <w:t xml:space="preserve"> Poważne uszkodzenie oczu,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before="80"/>
      </w:pPr>
      <w:r>
        <w:rPr>
          <w:rFonts w:ascii="Arial" w:cs="Arial" w:eastAsia="Arial" w:hAnsi="Arial"/>
          <w:b/>
          <w:bCs/>
          <w:sz w:val="20"/>
          <w:szCs w:val="20"/>
        </w:rPr>
        <w:t xml:space="preserve">Flam. Liq. 3:</w:t>
      </w:r>
      <w:r>
        <w:rPr>
          <w:rFonts w:ascii="Arial" w:cs="Arial" w:eastAsia="Arial" w:hAnsi="Arial"/>
          <w:sz w:val="20"/>
          <w:szCs w:val="20"/>
        </w:rPr>
        <w:t xml:space="preserve"> Substancja ciekła łatwopalna, kategoria 3</w:t>
      </w:r>
    </w:p>
    <w:p>
      <w:pPr>
        <w:spacing w:after="80"/>
      </w:pPr>
      <w:r>
        <w:rPr>
          <w:rFonts w:ascii="Arial" w:cs="Arial" w:eastAsia="Arial" w:hAnsi="Arial"/>
          <w:sz w:val="20"/>
          <w:szCs w:val="20"/>
        </w:rPr>
        <w:t xml:space="preserve">Muta. 2: Działanie mutagenne na komórki rozrodcze, kategoria 2</w:t>
      </w:r>
    </w:p>
    <w:p>
      <w:pPr>
        <w:spacing w:after="80"/>
      </w:pPr>
      <w:r>
        <w:rPr>
          <w:rFonts w:ascii="Arial" w:cs="Arial" w:eastAsia="Arial" w:hAnsi="Arial"/>
          <w:sz w:val="20"/>
          <w:szCs w:val="20"/>
        </w:rPr>
        <w:t xml:space="preserve">Repr. 2: Działanie szkodliwe na rozrodczość,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1:</w:t>
      </w:r>
      <w:r>
        <w:rPr>
          <w:rFonts w:ascii="Arial" w:cs="Arial" w:eastAsia="Arial" w:hAnsi="Arial"/>
          <w:sz w:val="20"/>
          <w:szCs w:val="20"/>
        </w:rPr>
        <w:t xml:space="preserve"> Działanie toksyczne na narządy docelowe – narażenie jednorazowe, kategoria 1</w:t>
      </w:r>
    </w:p>
    <w:p>
      <w:pPr>
        <w:spacing w:after="80" w:before="80"/>
      </w:pPr>
      <w:r>
        <w:rPr>
          <w:rFonts w:ascii="Arial" w:cs="Arial" w:eastAsia="Arial" w:hAnsi="Arial"/>
          <w:b/>
          <w:bCs/>
          <w:sz w:val="20"/>
          <w:szCs w:val="20"/>
        </w:rPr>
        <w:t xml:space="preserve">STOT SE 2:</w:t>
      </w:r>
      <w:r>
        <w:rPr>
          <w:rFonts w:ascii="Arial" w:cs="Arial" w:eastAsia="Arial" w:hAnsi="Arial"/>
          <w:sz w:val="20"/>
          <w:szCs w:val="20"/>
        </w:rPr>
        <w:t xml:space="preserve"> Działanie toksyczne na narządy docelowe – narażenie jednorazowe,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Corr. 1:</w:t>
      </w:r>
      <w:r>
        <w:rPr>
          <w:rFonts w:ascii="Arial" w:cs="Arial" w:eastAsia="Arial" w:hAnsi="Arial"/>
          <w:sz w:val="20"/>
          <w:szCs w:val="20"/>
        </w:rPr>
        <w:t xml:space="preserve"> Działanie żrące na skórę, kategoria 1</w:t>
      </w:r>
    </w:p>
    <w:p>
      <w:pPr>
        <w:spacing w:after="80" w:before="80"/>
      </w:pPr>
      <w:r>
        <w:rPr>
          <w:rFonts w:ascii="Arial" w:cs="Arial" w:eastAsia="Arial" w:hAnsi="Arial"/>
          <w:b/>
          <w:bCs/>
          <w:sz w:val="20"/>
          <w:szCs w:val="20"/>
        </w:rPr>
        <w:t xml:space="preserve">Skin Corr. 1A:</w:t>
      </w:r>
      <w:r>
        <w:rPr>
          <w:rFonts w:ascii="Arial" w:cs="Arial" w:eastAsia="Arial" w:hAnsi="Arial"/>
          <w:sz w:val="20"/>
          <w:szCs w:val="20"/>
        </w:rPr>
        <w:t xml:space="preserve"> Działanie żrące na skórę, kategoria 1A</w:t>
      </w:r>
    </w:p>
    <w:p>
      <w:pPr>
        <w:spacing w:after="80" w:before="80"/>
      </w:pPr>
      <w:r>
        <w:rPr>
          <w:rFonts w:ascii="Arial" w:cs="Arial" w:eastAsia="Arial" w:hAnsi="Arial"/>
          <w:b/>
          <w:bCs/>
          <w:sz w:val="20"/>
          <w:szCs w:val="20"/>
        </w:rPr>
        <w:t xml:space="preserve">Skin Corr. 1B:</w:t>
      </w:r>
      <w:r>
        <w:rPr>
          <w:rFonts w:ascii="Arial" w:cs="Arial" w:eastAsia="Arial" w:hAnsi="Arial"/>
          <w:sz w:val="20"/>
          <w:szCs w:val="20"/>
        </w:rPr>
        <w:t xml:space="preserve"> Działanie żrące na skórę, kategoria 1B</w:t>
      </w:r>
    </w:p>
    <w:p>
      <w:pPr>
        <w:spacing w:after="80" w:before="80"/>
      </w:pPr>
      <w:r>
        <w:rPr>
          <w:rFonts w:ascii="Arial" w:cs="Arial" w:eastAsia="Arial" w:hAnsi="Arial"/>
          <w:b/>
          <w:bCs/>
          <w:sz w:val="20"/>
          <w:szCs w:val="20"/>
        </w:rPr>
        <w:t xml:space="preserve">Skin Corr. 1C:</w:t>
      </w:r>
      <w:r>
        <w:rPr>
          <w:rFonts w:ascii="Arial" w:cs="Arial" w:eastAsia="Arial" w:hAnsi="Arial"/>
          <w:sz w:val="20"/>
          <w:szCs w:val="20"/>
        </w:rPr>
        <w:t xml:space="preserve"> Działanie żrące na skórę, kategoria 1C</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80"/>
      </w:pPr>
      <w:r>
        <w:rPr>
          <w:rFonts w:ascii="Arial" w:cs="Arial" w:eastAsia="Arial" w:hAnsi="Arial"/>
          <w:b/>
          <w:bCs/>
          <w:sz w:val="20"/>
          <w:szCs w:val="20"/>
        </w:rPr>
        <w:t xml:space="preserve">Skin Sens. 1A:</w:t>
      </w:r>
      <w:r>
        <w:rPr>
          <w:rFonts w:ascii="Arial" w:cs="Arial" w:eastAsia="Arial" w:hAnsi="Arial"/>
          <w:sz w:val="20"/>
          <w:szCs w:val="20"/>
        </w:rPr>
        <w:t xml:space="preserve"> Działanie uczulające na skórę, kategoria 1A</w:t>
      </w:r>
    </w:p>
    <w:p>
      <w:pPr>
        <w:spacing w:after="80" w:before="80"/>
      </w:pPr>
      <w:r>
        <w:rPr>
          <w:rFonts w:ascii="Arial" w:cs="Arial" w:eastAsia="Arial" w:hAnsi="Arial"/>
          <w:b/>
          <w:bCs/>
          <w:sz w:val="20"/>
          <w:szCs w:val="20"/>
        </w:rPr>
        <w:t xml:space="preserve">Skin Sens. 1B:</w:t>
      </w:r>
      <w:r>
        <w:rPr>
          <w:rFonts w:ascii="Arial" w:cs="Arial" w:eastAsia="Arial" w:hAnsi="Arial"/>
          <w:sz w:val="20"/>
          <w:szCs w:val="20"/>
        </w:rPr>
        <w:t xml:space="preserve"> Działanie uczulające na skórę, kategoria 1B</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60" w:before="60"/>
      </w:pPr>
      <w:r>
        <w:rPr>
          <w:rFonts w:ascii="Arial" w:cs="Arial" w:eastAsia="Arial" w:hAnsi="Arial"/>
          <w:b/>
          <w:bCs/>
          <w:sz w:val="20"/>
          <w:szCs w:val="20"/>
        </w:rPr>
        <w:t xml:space="preserve">- Baza danych Europejskiej Agencji Chemikaliów (ECHA):</w:t>
      </w:r>
      <w:r>
        <w:rPr>
          <w:rFonts w:ascii="Arial" w:cs="Arial" w:eastAsia="Arial" w:hAnsi="Arial"/>
          <w:sz w:val="20"/>
          <w:szCs w:val="20"/>
        </w:rPr>
        <w:t xml:space="preserve"> https://echa.europa.eu/</w:t>
      </w:r>
    </w:p>
    <w:p>
      <w:pPr>
        <w:spacing w:after="60" w:before="60"/>
      </w:pPr>
      <w:r>
        <w:rPr>
          <w:rFonts w:ascii="Arial" w:cs="Arial" w:eastAsia="Arial" w:hAnsi="Arial"/>
          <w:b/>
          <w:bCs/>
          <w:sz w:val="20"/>
          <w:szCs w:val="20"/>
        </w:rPr>
        <w:t xml:space="preserve">- Baza danych PubChem National Library of Medicine:</w:t>
      </w:r>
      <w:r>
        <w:rPr>
          <w:rFonts w:ascii="Arial" w:cs="Arial" w:eastAsia="Arial" w:hAnsi="Arial"/>
          <w:sz w:val="20"/>
          <w:szCs w:val="20"/>
        </w:rPr>
        <w:t xml:space="preserv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(wersja 1.0 PL) stanowi wydanie pierwsze w języku polskim, opracowane na podstawie karty charakterystyki SDS producenta z dnia 03.12.2024 r.</w:t>
      </w:r>
    </w:p>
    <w:p>
      <w:pPr>
        <w:spacing w:after="80"/>
      </w:pPr>
      <w:r>
        <w:rPr>
          <w:rFonts w:ascii="Arial" w:cs="Arial" w:eastAsia="Arial" w:hAnsi="Arial"/>
          <w:sz w:val="20"/>
          <w:szCs w:val="20"/>
        </w:rPr>
        <w:t xml:space="preserve">Aktualizacja została sporządzona i dostosowana zgodnie z wymogami Rozporządzenia Komisji (UE) 2020/878 z dnia 18 czerwca 2020 r. zmieniającego załącznik II do rozporządzenia (WE) nr 1907/2006 (REACH) oraz przepisami prawa Rzeczypospolitej Polskiej.</w:t>
      </w:r>
    </w:p>
    <w:p>
      <w:pPr>
        <w:spacing w:after="80"/>
      </w:pPr>
      <w:r>
        <w:rPr>
          <w:rFonts w:ascii="Arial" w:cs="Arial" w:eastAsia="Arial" w:hAnsi="Arial"/>
          <w:sz w:val="20"/>
          <w:szCs w:val="20"/>
        </w:rPr>
        <w:t xml:space="preserve">Główne zmiany wprowadzone w bieżącej wersji obejmują:</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danych dostawcy karty w Rzeczypospolitej Polskiej na ITALLUX Sp. z o.o. (ul. Wesoła 16, 63-600 Kępno, www.prostozwloch.com.pl).</w:t>
      </w:r>
    </w:p>
    <w:p>
      <w:pPr>
        <w:spacing w:after="60" w:before="60"/>
      </w:pPr>
      <w:r>
        <w:rPr>
          <w:rFonts w:ascii="Arial" w:cs="Arial" w:eastAsia="Arial" w:hAnsi="Arial"/>
          <w:b/>
          <w:bCs/>
          <w:sz w:val="20"/>
          <w:szCs w:val="20"/>
        </w:rPr>
        <w:t xml:space="preserve">- Sekcja 8.1:</w:t>
      </w:r>
      <w:r>
        <w:rPr>
          <w:rFonts w:ascii="Arial" w:cs="Arial" w:eastAsia="Arial" w:hAnsi="Arial"/>
          <w:sz w:val="20"/>
          <w:szCs w:val="20"/>
        </w:rPr>
        <w:t xml:space="preserve"> Weryfikacja i implementacja krajowych norm higienicznych w środowisku pracy (NDS, NDSCh) na podstawie Rozporządzenia MRPiPS (Dz.U. 2018 poz. 1286 z późn. zm.).</w:t>
      </w:r>
    </w:p>
    <w:p>
      <w:pPr>
        <w:spacing w:after="60" w:before="60"/>
      </w:pPr>
      <w:r>
        <w:rPr>
          <w:rFonts w:ascii="Arial" w:cs="Arial" w:eastAsia="Arial" w:hAnsi="Arial"/>
          <w:b/>
          <w:bCs/>
          <w:sz w:val="20"/>
          <w:szCs w:val="20"/>
        </w:rPr>
        <w:t xml:space="preserve">- Sekcja 11.2 i 12.6:</w:t>
      </w:r>
      <w:r>
        <w:rPr>
          <w:rFonts w:ascii="Arial" w:cs="Arial" w:eastAsia="Arial" w:hAnsi="Arial"/>
          <w:sz w:val="20"/>
          <w:szCs w:val="20"/>
        </w:rPr>
        <w:t xml:space="preserve"> Wdrożenie obligatoryjnych podsekcji dotyczących właściwości zaburzających funkcjonowanie układu hormonalnego.</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klasyfikacji i 6-cyfrowych kodów odpadów zgodnie z ustawą o odpadach i Dz.U. 2020 poz. 10.</w:t>
      </w:r>
    </w:p>
    <w:p>
      <w:pPr>
        <w:spacing w:after="60" w:before="60"/>
      </w:pPr>
      <w:r>
        <w:rPr>
          <w:rFonts w:ascii="Arial" w:cs="Arial" w:eastAsia="Arial" w:hAnsi="Arial"/>
          <w:b/>
          <w:bCs/>
          <w:sz w:val="20"/>
          <w:szCs w:val="20"/>
        </w:rPr>
        <w:t xml:space="preserve">- Sekcja 14:</w:t>
      </w:r>
      <w:r>
        <w:rPr>
          <w:rFonts w:ascii="Arial" w:cs="Arial" w:eastAsia="Arial" w:hAnsi="Arial"/>
          <w:sz w:val="20"/>
          <w:szCs w:val="20"/>
        </w:rPr>
        <w:t xml:space="preserve"> Weryfikacja i zharmonizowanie warunków przewozu zgodnie z Umową ADR.</w:t>
      </w:r>
    </w:p>
    <w:p>
      <w:pPr>
        <w:spacing w:after="80" w:before="150"/>
      </w:pPr>
      <w:r>
        <w:rPr>
          <w:rFonts w:ascii="Arial" w:cs="Arial" w:eastAsia="Arial" w:hAnsi="Arial"/>
          <w:b/>
          <w:bCs/>
          <w:sz w:val="20"/>
          <w:szCs w:val="20"/>
        </w:rPr>
        <w:t xml:space="preserve">Klauzula prawna i ochrona praw autorskich:</w:t>
      </w:r>
    </w:p>
    <w:p>
      <w:pPr>
        <w:spacing w:after="80"/>
      </w:pPr>
      <w:r>
        <w:rPr>
          <w:rFonts w:ascii="Arial" w:cs="Arial" w:eastAsia="Arial" w:hAnsi="Arial"/>
          <w:sz w:val="20"/>
          <w:szCs w:val="20"/>
        </w:rPr>
        <w:t xml:space="preserve">Niniejsze autorskie opracowanie tłumaczenia, formatowania oraz adaptacji regulacyjnej do prawa polskiego stanowi własność intelektualną firmy ITALLUX Sp. z o.o.. Kopiowanie i wykorzystywanie całości lub fragmentów w celach komercyjnych przez podmioty trzecie bez uprzedniej zgody właściciela jest zabronione. Dozwolone jest wykorzystanie dokumentu przez odbiorców w łańcuchu dostaw do celów bezpieczeństwa pracy i ochrony zdrowia.</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E5E7EB" w:sz="4" w:space="4"/>
      </w:pBdr>
      <w:spacing w:before="120"/>
      <w:jc w:val="right"/>
    </w:pPr>
    <w:r>
      <w:rPr>
        <w:rFonts w:ascii="Arial" w:cs="Arial" w:eastAsia="Arial" w:hAnsi="Arial"/>
        <w:color w:val="555555"/>
        <w:sz w:val="16"/>
        <w:szCs w:val="16"/>
      </w:rPr>
      <w:t xml:space="preserve">Dystrybutor: ITALLUX Sp. z o.o. | </w:t>
    </w:r>
    <w:r>
      <w:rPr>
        <w:rFonts w:ascii="Arial" w:cs="Arial" w:eastAsia="Arial" w:hAnsi="Arial"/>
        <w:color w:val="555555"/>
        <w:sz w:val="16"/>
        <w:szCs w:val="16"/>
      </w:rPr>
      <w:t xml:space="preserve">Strona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z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E5E7EB" w:sz="4" w:space="4"/>
      </w:pBdr>
      <w:spacing w:after="120"/>
      <w:jc w:val="right"/>
    </w:pPr>
    <w:r>
      <w:rPr>
        <w:rFonts w:ascii="Arial" w:cs="Arial" w:eastAsia="Arial" w:hAnsi="Arial"/>
        <w:color w:val="555555"/>
        <w:sz w:val="16"/>
        <w:szCs w:val="16"/>
      </w:rPr>
      <w:t xml:space="preserve">KARTA CHARAKTERYSTYKI | SWEET HOME - PROFUMATORE AMBIENTE SANDALO | Wersja: 1.0 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df4620fc619cfcec683facca7e88bc7fd37dd8.undefined"/><Relationship Id="rId10" Type="http://schemas.openxmlformats.org/officeDocument/2006/relationships/image" Target="media/ab3b38ff5aec5db8cf291d921b1836a765ff072f.undefined"/><Relationship Id="rId11" Type="http://schemas.openxmlformats.org/officeDocument/2006/relationships/image" Target="media/bb4e46ba2799965d0181b8cc93349251770e4a8c.undefined"/><Relationship Id="rId12" Type="http://schemas.openxmlformats.org/officeDocument/2006/relationships/image" Target="media/40ebfa5564939c27d85f5e4019dc884a31c847f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2026-09-16T09:01:57.807Z</dcterms:created>
  <dcterms:modified xsi:type="dcterms:W3CDTF">2026-09-16T09:01:57.807Z</dcterms:modified>
</cp:coreProperties>
</file>

<file path=docProps/custom.xml><?xml version="1.0" encoding="utf-8"?>
<Properties xmlns="http://schemas.openxmlformats.org/officeDocument/2006/custom-properties" xmlns:vt="http://schemas.openxmlformats.org/officeDocument/2006/docPropsVTypes"/>
</file>