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14.09.2026</w:t>
      </w:r>
      <w:r>
        <w:rPr>
          <w:sz w:val="16"/>
          <w:szCs w:val="16"/>
        </w:rPr>
        <w:t xml:space="preserve">
Wersja: undefined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1: IDENTYFIKACJA SUBSTANCJI/MIESZANINY I IDENTYFIKACJA PRZEDSIĘBIORSTWA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Nazwa handlowa:</w:t>
      </w:r>
      <w:r>
        <w:rPr>
          <w:rFonts w:ascii="Arial" w:cs="Arial" w:eastAsia="Arial" w:hAnsi="Arial"/>
          <w:sz w:val="20"/>
          <w:szCs w:val="20"/>
        </w:rPr>
        <w:t xml:space="preserve"> SWEET HOME - PROFUMATORE AMBIENTE ORCHIDEA E VANIGLIA V2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UFI:</w:t>
      </w:r>
      <w:r>
        <w:rPr>
          <w:rFonts w:ascii="Arial" w:cs="Arial" w:eastAsia="Arial" w:hAnsi="Arial"/>
          <w:sz w:val="20"/>
          <w:szCs w:val="20"/>
        </w:rPr>
        <w:t xml:space="preserve"> 1JUA-J3HY-KX04-SM29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 Istotne zidentyfikowane zastosowania substancji lub mieszaniny oraz zastosowania odradzane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Zastosowanie zidentyfikowane:</w:t>
      </w:r>
      <w:r>
        <w:rPr>
          <w:rFonts w:ascii="Arial" w:cs="Arial" w:eastAsia="Arial" w:hAnsi="Arial"/>
          <w:sz w:val="20"/>
          <w:szCs w:val="20"/>
        </w:rPr>
        <w:t xml:space="preserve"> Odświeżacz powietrza (dyfuzor zapachowy do wnętrz).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Zastosowania odradzane:</w:t>
      </w:r>
      <w:r>
        <w:rPr>
          <w:rFonts w:ascii="Arial" w:cs="Arial" w:eastAsia="Arial" w:hAnsi="Arial"/>
          <w:sz w:val="20"/>
          <w:szCs w:val="20"/>
        </w:rPr>
        <w:t xml:space="preserve"> Wszelkie inne zastosowania nieprzewidziane przez producenta.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Firma:</w:t>
      </w:r>
      <w:r>
        <w:rPr>
          <w:rFonts w:ascii="Arial" w:cs="Arial" w:eastAsia="Arial" w:hAnsi="Arial"/>
          <w:sz w:val="20"/>
          <w:szCs w:val="20"/>
        </w:rPr>
        <w:t xml:space="preserve"> MITRANS Weronika Grzesiak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Adres:</w:t>
      </w:r>
      <w:r>
        <w:rPr>
          <w:rFonts w:ascii="Arial" w:cs="Arial" w:eastAsia="Arial" w:hAnsi="Arial"/>
          <w:sz w:val="20"/>
          <w:szCs w:val="20"/>
        </w:rPr>
        <w:t xml:space="preserve"> ul. Wesoła 16, 63-600 Kępno, woj. wielkopolskie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E-mail:</w:t>
      </w:r>
      <w:r>
        <w:rPr>
          <w:rFonts w:ascii="Arial" w:cs="Arial" w:eastAsia="Arial" w:hAnsi="Arial"/>
          <w:sz w:val="20"/>
          <w:szCs w:val="20"/>
        </w:rPr>
        <w:t xml:space="preserve"> kontakt@prostozwloch.com.pl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Telefon:</w:t>
      </w:r>
      <w:r>
        <w:rPr>
          <w:rFonts w:ascii="Arial" w:cs="Arial" w:eastAsia="Arial" w:hAnsi="Arial"/>
          <w:sz w:val="20"/>
          <w:szCs w:val="20"/>
        </w:rPr>
        <w:t xml:space="preserve"> +48 663116607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 alarmowy przedsiębiorstwa:</w:t>
      </w:r>
      <w:r>
        <w:rPr>
          <w:rFonts w:ascii="Arial" w:cs="Arial" w:eastAsia="Arial" w:hAnsi="Arial"/>
          <w:sz w:val="20"/>
          <w:szCs w:val="20"/>
        </w:rPr>
        <w:t xml:space="preserve"> +48 663116607 (czynny od poniedziałku do piątku w godzinach 8:00 – 16:00, informacja udzielana w języku polskim)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Informacja toksykologiczna w Polsce (organ doradczy):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Centrum Informacji Toksykologicznej (Instytut Medycyny Pracy im. prof. J. Nofera w Łodzi):</w:t>
      </w:r>
      <w:r>
        <w:rPr>
          <w:rFonts w:ascii="Arial" w:cs="Arial" w:eastAsia="Arial" w:hAnsi="Arial"/>
          <w:sz w:val="20"/>
          <w:szCs w:val="20"/>
        </w:rPr>
        <w:t xml:space="preserve"> tel. +48 42 631 47 24, +48 42 631 47 25 (czynne w dni robocze w godz. 7:00 – 15:00)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Ośrodek Informacji Toksykologicznej w Warszawie (całodobowa informacja toksykologiczna 24/7):</w:t>
      </w:r>
      <w:r>
        <w:rPr>
          <w:rFonts w:ascii="Arial" w:cs="Arial" w:eastAsia="Arial" w:hAnsi="Arial"/>
          <w:sz w:val="20"/>
          <w:szCs w:val="20"/>
        </w:rPr>
        <w:t xml:space="preserve"> tel. +48 22 619 66 54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Ogólne telefony ratunkowe w nagłych wypadkach:</w:t>
      </w:r>
      <w:r>
        <w:rPr>
          <w:rFonts w:ascii="Arial" w:cs="Arial" w:eastAsia="Arial" w:hAnsi="Arial"/>
          <w:sz w:val="20"/>
          <w:szCs w:val="20"/>
        </w:rPr>
        <w:t xml:space="preserve"> 112 (ogólnoeuropejski numer alarmowy), 998 (straż pożarna), 999 (pogotowie ratunkowe)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Flam. Liq. 2 (Substancja ciekła łatwopalna,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Eye Irrit. 2 (Działanie drażniące na oczy,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 i hasło ostrzegawcze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Niebezpieczeństwo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Nazwy niebezpiecznych substancji wymienione na etykiecie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rodzaj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środki ostrożności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P210 Przechowywać z dala od źródeł ciepła, gorących powierzchni, źródeł iskrzenia, otwartego ognia i innych źródeł zapłonu. Nie palić.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P305+P351+P338 W PRZYPADKU DOSTANIA SIĘ DO OCZU: Ostrożnie płukać wodą przez kilka minut. Wyjąć soczewki kontaktowe, jeżeli są i można je łatwo usunąć. Nadal płukać.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P337+P313 W przypadku utrzymywania się działania drażniącego na oczy: Zasięgnąć porady/zgłosić się pod opiekę lekarza.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P501 Zawartość/pojemnik usuwać do odpowiednio oznakowanych pojemników na odpady zgodnie z krajowymi przepisami.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P302+P352 W PRZYPADKU KONTAKTU ZE SKÓRĄ: Umyć dużą ilością wody z mydłem.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uzupełniające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Zawiera: kumaryna (2H-chromen-2-on).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stwarzających zagrożenie wraz z dodatkami niesklasyfikowanymi.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etanol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ETHANOL)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64-17-5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200-578-6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603-002-00-5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01-2119457610-43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Eye Irrit. 2 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Eye Irrit. 2 H319: ≥ 50%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74 ≤ x &lt; 78 %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anyżowy (4-metoksybenzaldehyd)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ANISALDEHYDE)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123-11-5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204-602-6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01-2119977101-43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Repr. 2 H361fd, Stwarzające zagrożenie dla środowiska wodnego - kategoria przewlekła 3 H412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0,7 ≤ x &lt; 0,8 %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kumaryna (2H-chromen-2-on)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2H-CHROMEN-2-ONE)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91-64-5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202-086-7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01-2119943756-26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4 H302, Skin Sens. 1 H317, Stwarzające zagrożenie dla środowiska wodnego - kategoria przewlekła 3 H412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 (droga pokarmowa) = 500 mg/kg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0,4 ≤ x &lt; 0,45 %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2,6-di-tert-butylo-4-metylofenol (BHT)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2,6-di-tert-butyl-p-cresol)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128-37-0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204-881-4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01-2119565113-46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przewlekła 1 H410 M = 1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0,1 ≤ x &lt; 0,15 %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toluen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toluene)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108-88-3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203-625-9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601-021-00-3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01-2119471310-51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Repr. 2 H361d, Asp. Tox. 1 H304, Działanie toksyczne na narządy docelowe – narażenie powtarzane 2 H373,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Irrit. 2 H315, Działanie toksyczne na narządy docelowe – narażenie jednorazowe 3 H336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x &lt; 0,05 %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wdychania: Wyprowadzić poszkodowanego na świeże powietrze. W razie złego samopoczucia zasięgnąć porady lekarza.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kontaktu ze skórą: Zdjąć zanieczyszczoną odzież. Umyć skórę dużą ilością wody z mydłem. W przypadku podrażnienia skonsultować się z lekarzem.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kontaktu z oczami: Płukać ostrożnie wodą przez kilka minut. Wyjąć soczewki kontaktowe, jeżeli są i można je łatwo usunąć. Kontynuować płukanie. W razie utrzymywania się podrażnienia zgłosić się do okulisty.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połknięcia: Dokładnie wypłukać usta wodą. Nie wywoływać wymiotów bez konsultacji lekarskiej. Pokazać kartę charakterystyki lub etykietę.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Dwutlenek węgla (CO2), proszek gaśniczy, piana gaśnicza, rozproszony strumień wody.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Niewłaściwe środki gaśnicze:</w:t>
      </w:r>
      <w:r>
        <w:rPr>
          <w:rFonts w:ascii="Arial" w:cs="Arial" w:eastAsia="Arial" w:hAnsi="Arial"/>
          <w:sz w:val="20"/>
          <w:szCs w:val="20"/>
        </w:rPr>
        <w:t xml:space="preserve"> Zwarty strumień wody.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 Szczególne zagrożenia związane z substancją lub mieszaniną: Podczas spalania mogą wydzielać się tlenki węgla i inne toksyczne gazy pirolityczne.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 Informacje dla straży pożarnej: Stosować aparaty ochrony dróg oddechowych z niezależnym obiegiem powietrza oraz pełne ubranie ochronne.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ostrożności, wyposażenie ochronne i procedury w sytuacjach awaryjnych: Usunąć wszelkie źródła zapłonu. Zapewnić odpowiednią wentylację. Nie wdychać par.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Środki ostrożności w zakresie ochrony środowiska: Nie dopuścić do przedostania się do wód powierzchniowych, kanalizacji i gleby.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6.3. Metody i materiały zapobiegające rozprzestrzenianiu się skażenia i służące do usuwania skażenia: Zebrać za pomocą niepalnego materiału pochłaniającego (piasek, ziemia okrzemkowa, sorbent uniwersalny). Przekazać do utylizacji zgodnie z przepisami.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 dotyczące bezpiecznego postępowania: Przechowywać z dala od źródeł ciepła, iskrzenia, otwartego ognia. Nie palić. Unikać kontaktu z oczami i skórą.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 Warunki bezpiecznego magazynowania: Przechowywać w szczelnie zamkniętych, oryginalnych opakowaniach w chłodnym, suchym i dobrze wentylowanym miejscu.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wartości najwyższych dopuszczalnych stężeń w środowisku pracy (Polska – Dz.U. 2018 poz. 1286 z późn. zm., w tym Dz.U. 2024 poz. 1017):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[CAS: 64-17-5]: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1900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[CAS: 128-37-0]: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[CAS: 108-88-3]: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NDSCh: 200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Uwagi: oznakowanie substancji notacją „skóra”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Wspólnotowe i zagraniczne dopuszczalne wartości narażenia zawodowego (OEL):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Niemcy (AGW) / Austria (MAK): 380 mg/m³ (200 ppm) / 960 mg/m³ (500 ppm).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 oraz 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etanol [CAS: 64-17-5]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Oral87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Inhalation114 mg/m3950 mg/m3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Skin206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343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słodka:0,96mg/l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morska:0,79mg/l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słodkowodne:3,6mg/kg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morskie:2,9mg/kg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okresowe):2,75mg/l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(STP):580mg/l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wtórne):0,38mg/kg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(gleba):0,63mg/kg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aldehyd anyżowy (4-metoksybenzaldehyd) [CAS: 123-11-5]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Oral2,5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Inhalation4,35 mg/m314,7  mg/m3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Skin4,2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6,9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słodka:0,081mg/l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morska:0,008111mg/l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słodkowodne:0,409mg/kg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morskie:0,0409mg/kg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okresowe):0,8111mg/l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(STP):4,5mg/l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(gleba):0,0967mg/kg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kumaryna (2H-chromen-2-on) [CAS: 91-64-5]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Oral0,39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Inhalation1,69 mg/m36,78 mg/m3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Skin0,39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0,79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słodka:0,019mg/l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morska:0,0019mg/l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słodkowodne:0,15mg/kg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morskie:0,015mg/kg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okresowe):0,0142mg/l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(STP):6,4mg/l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wtórne):30,7mg/kg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(gleba):0,018mg/kg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2,6-di-tert-butylo-4-metylofenol (BHT) [CAS: 128-37-0]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Oral0,25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Inhalation0,86 mg/m33,5 mg/m3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Skin0,25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0,5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słodka:0,000199mg/l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morska:0,02 μg/l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słodkowodne:0,0996mg/kg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morskie:0,00996mg/kg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okresowe):0,00199mg/l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(STP):0,17mg/l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wtórne):8,33mg/kg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(gleba):0,04769mg/kg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toluen [CAS: 108-88-3]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Oral8,13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Inhalation226 mg/m3226 mg/m356,5 mg/m356,5 mg/m3384 mg/m3384 mg/m3192 mg/m3192 mg/m3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Skin226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384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słodkowodne:16,39mg/kg/d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morskie:16,39mg/kg/d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(STP):13,61mg/l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wtórne):2,89mg/kg soil dw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Zalecane procedury monitorowania:</w:t>
      </w:r>
      <w:r>
        <w:rPr>
          <w:rFonts w:ascii="Arial" w:cs="Arial" w:eastAsia="Arial" w:hAnsi="Arial"/>
          <w:sz w:val="20"/>
          <w:szCs w:val="20"/>
        </w:rPr>
        <w:t xml:space="preserve"> Należy stosować procedury monitorowania stężeń niebezpiecznych substancji w powietrzu na stanowiskach pracy oraz procedury kontroli wentylacji zgodnie z odpowiednimi Polskimi Normami.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oczu:</w:t>
      </w:r>
      <w:r>
        <w:rPr>
          <w:rFonts w:ascii="Arial" w:cs="Arial" w:eastAsia="Arial" w:hAnsi="Arial"/>
          <w:sz w:val="20"/>
          <w:szCs w:val="20"/>
        </w:rPr>
        <w:t xml:space="preserve"> Nosić okulary ochronne w szczelnej obudowie lub gogle ochronne zgodne z normą PN-EN 166.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skóry:</w:t>
      </w:r>
      <w:r>
        <w:rPr>
          <w:rFonts w:ascii="Arial" w:cs="Arial" w:eastAsia="Arial" w:hAnsi="Arial"/>
          <w:sz w:val="20"/>
          <w:szCs w:val="20"/>
        </w:rPr>
        <w:t xml:space="preserve"> Stosować odpowiednią odzież roboczą chroniącą przed kontaktem z chemikaliami.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rąk:</w:t>
      </w:r>
      <w:r>
        <w:rPr>
          <w:rFonts w:ascii="Arial" w:cs="Arial" w:eastAsia="Arial" w:hAnsi="Arial"/>
          <w:sz w:val="20"/>
          <w:szCs w:val="20"/>
        </w:rPr>
        <w:t xml:space="preserve"> Stosować rękawice ochronne odporne na działanie chemikaliów (np. z kauczuku nitrylowego lub neoprenu) zgodne z normą PN-EN ISO 374-1. Czas przebicia i grubość materiału należy skonsultować z dostawcą rękawic.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dróg oddechowych:</w:t>
      </w:r>
      <w:r>
        <w:rPr>
          <w:rFonts w:ascii="Arial" w:cs="Arial" w:eastAsia="Arial" w:hAnsi="Arial"/>
          <w:sz w:val="20"/>
          <w:szCs w:val="20"/>
        </w:rPr>
        <w:t xml:space="preserve"> W normalnych warunkach stosowania przy właściwej wentylacji nie jest wymagana. W przypadku niedostatecznej wentylacji lub przekroczenia dopuszczalnych stężeń NDS stosować odpowiedni sprzęt ochrony dróg oddechowych z pochłaniaczem par typu A (norma PN-EN 14387).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Zagrożenia termiczne: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Kontrola narażenia środowiska:</w:t>
      </w:r>
      <w:r>
        <w:rPr>
          <w:rFonts w:ascii="Arial" w:cs="Arial" w:eastAsia="Arial" w:hAnsi="Arial"/>
          <w:sz w:val="20"/>
          <w:szCs w:val="20"/>
        </w:rPr>
        <w:t xml:space="preserve"> Nie dopuścić do przedostania się dużych ilości produktu do kanalizacji, wód powierzchniowych ani gruntowych.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higieniczne i techniczne:</w:t>
      </w:r>
      <w:r>
        <w:rPr>
          <w:rFonts w:ascii="Arial" w:cs="Arial" w:eastAsia="Arial" w:hAnsi="Arial"/>
          <w:sz w:val="20"/>
          <w:szCs w:val="20"/>
        </w:rPr>
        <w:t xml:space="preserve"> Zapewnić odpowiednią wentylację ogólną i miejscową na stanowiskach pracy. Myć ręce po zakończeniu pracy z produktem. Nie jeść i nie pić podczas stosowania.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 Informacje na temat podstawowych właściwości fizycznych i chemicznych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 skupienia:</w:t>
      </w:r>
      <w:r>
        <w:rPr>
          <w:rFonts w:ascii="Arial" w:cs="Arial" w:eastAsia="Arial" w:hAnsi="Arial"/>
          <w:sz w:val="20"/>
          <w:szCs w:val="20"/>
        </w:rPr>
        <w:t xml:space="preserve"> liquidTemperature: 20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Kolor:</w:t>
      </w:r>
      <w:r>
        <w:rPr>
          <w:rFonts w:ascii="Arial" w:cs="Arial" w:eastAsia="Arial" w:hAnsi="Arial"/>
          <w:sz w:val="20"/>
          <w:szCs w:val="20"/>
        </w:rPr>
        <w:t xml:space="preserve"> pinkTemperature: 20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Zapach:</w:t>
      </w:r>
      <w:r>
        <w:rPr>
          <w:rFonts w:ascii="Arial" w:cs="Arial" w:eastAsia="Arial" w:hAnsi="Arial"/>
          <w:sz w:val="20"/>
          <w:szCs w:val="20"/>
        </w:rPr>
        <w:t xml:space="preserve"> characteristicMethod:wewnętrzna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topnienia/krzepnięcia:</w:t>
      </w:r>
      <w:r>
        <w:rPr>
          <w:rFonts w:ascii="Arial" w:cs="Arial" w:eastAsia="Arial" w:hAnsi="Arial"/>
          <w:sz w:val="20"/>
          <w:szCs w:val="20"/>
        </w:rPr>
        <w:t xml:space="preserve"> -114 °CMethod:not specified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wrzenia lub początkowa temperatura wrzenia i zakres temperatur wrzenia:</w:t>
      </w:r>
      <w:r>
        <w:rPr>
          <w:rFonts w:ascii="Arial" w:cs="Arial" w:eastAsia="Arial" w:hAnsi="Arial"/>
          <w:sz w:val="20"/>
          <w:szCs w:val="20"/>
        </w:rPr>
        <w:t xml:space="preserve"> 78,5 °CMethod:not specified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Palność materiałów:</w:t>
      </w:r>
      <w:r>
        <w:rPr>
          <w:rFonts w:ascii="Arial" w:cs="Arial" w:eastAsia="Arial" w:hAnsi="Arial"/>
          <w:sz w:val="20"/>
          <w:szCs w:val="20"/>
        </w:rPr>
        <w:t xml:space="preserve"> łatwopalny liquidMethod: ISO 3679:2015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Dolna i górna granica wybuchowości:</w:t>
      </w:r>
      <w:r>
        <w:rPr>
          <w:rFonts w:ascii="Arial" w:cs="Arial" w:eastAsia="Arial" w:hAnsi="Arial"/>
          <w:sz w:val="20"/>
          <w:szCs w:val="20"/>
        </w:rPr>
        <w:t xml:space="preserve"> Dolna granica wybuchowości (DGW): 3,3 % (v/v); Górna granica wybuchowości (GGW): 19 % (v/v)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zapłonu:</w:t>
      </w:r>
      <w:r>
        <w:rPr>
          <w:rFonts w:ascii="Arial" w:cs="Arial" w:eastAsia="Arial" w:hAnsi="Arial"/>
          <w:sz w:val="20"/>
          <w:szCs w:val="20"/>
        </w:rPr>
        <w:t xml:space="preserve"> 18,7 °CMethod: ISO 3679:2015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samozapłonu:</w:t>
      </w:r>
      <w:r>
        <w:rPr>
          <w:rFonts w:ascii="Arial" w:cs="Arial" w:eastAsia="Arial" w:hAnsi="Arial"/>
          <w:sz w:val="20"/>
          <w:szCs w:val="20"/>
        </w:rPr>
        <w:t xml:space="preserve"> 363 °CMethod:not specified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rozkładu:</w:t>
      </w:r>
      <w:r>
        <w:rPr>
          <w:rFonts w:ascii="Arial" w:cs="Arial" w:eastAsia="Arial" w:hAnsi="Arial"/>
          <w:sz w:val="20"/>
          <w:szCs w:val="20"/>
        </w:rPr>
        <w:t xml:space="preserve"> not availablethey can decompose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pH:</w:t>
      </w:r>
      <w:r>
        <w:rPr>
          <w:rFonts w:ascii="Arial" w:cs="Arial" w:eastAsia="Arial" w:hAnsi="Arial"/>
          <w:sz w:val="20"/>
          <w:szCs w:val="20"/>
        </w:rPr>
        <w:t xml:space="preserve"> 5 - 8Method:not specified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Lepkość kinematyczna:</w:t>
      </w:r>
      <w:r>
        <w:rPr>
          <w:rFonts w:ascii="Arial" w:cs="Arial" w:eastAsia="Arial" w:hAnsi="Arial"/>
          <w:sz w:val="20"/>
          <w:szCs w:val="20"/>
        </w:rPr>
        <w:t xml:space="preserve"> 1,5Method:Not specified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wodzie:</w:t>
      </w:r>
      <w:r>
        <w:rPr>
          <w:rFonts w:ascii="Arial" w:cs="Arial" w:eastAsia="Arial" w:hAnsi="Arial"/>
          <w:sz w:val="20"/>
          <w:szCs w:val="20"/>
        </w:rPr>
        <w:t xml:space="preserve"> not specified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innych rozpuszczalnikach:</w:t>
      </w:r>
      <w:r>
        <w:rPr>
          <w:rFonts w:ascii="Arial" w:cs="Arial" w:eastAsia="Arial" w:hAnsi="Arial"/>
          <w:sz w:val="20"/>
          <w:szCs w:val="20"/>
        </w:rPr>
        <w:t xml:space="preserve"> Nie dotyczy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Współczynnik podziału n-oktanol/woda (wartość współczynnika log):</w:t>
      </w:r>
      <w:r>
        <w:rPr>
          <w:rFonts w:ascii="Arial" w:cs="Arial" w:eastAsia="Arial" w:hAnsi="Arial"/>
          <w:sz w:val="20"/>
          <w:szCs w:val="20"/>
        </w:rPr>
        <w:t xml:space="preserve"> -0,35Method:not specified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Prężność pary:</w:t>
      </w:r>
      <w:r>
        <w:rPr>
          <w:rFonts w:ascii="Arial" w:cs="Arial" w:eastAsia="Arial" w:hAnsi="Arial"/>
          <w:sz w:val="20"/>
          <w:szCs w:val="20"/>
        </w:rPr>
        <w:t xml:space="preserve"> 5,9 kPaMethod:not specified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Gęstość lub gęstość względna:</w:t>
      </w:r>
      <w:r>
        <w:rPr>
          <w:rFonts w:ascii="Arial" w:cs="Arial" w:eastAsia="Arial" w:hAnsi="Arial"/>
          <w:sz w:val="20"/>
          <w:szCs w:val="20"/>
        </w:rPr>
        <w:t xml:space="preserve"> 0,855 g/cm³Method:wewnętrzna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Względna gęstość pary:</w:t>
      </w:r>
      <w:r>
        <w:rPr>
          <w:rFonts w:ascii="Arial" w:cs="Arial" w:eastAsia="Arial" w:hAnsi="Arial"/>
          <w:sz w:val="20"/>
          <w:szCs w:val="20"/>
        </w:rPr>
        <w:t xml:space="preserve"> 1,6Method:HSDB, 2015; INRS, 2011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Charakterystyka cząsteczek:</w:t>
      </w:r>
      <w:r>
        <w:rPr>
          <w:rFonts w:ascii="Arial" w:cs="Arial" w:eastAsia="Arial" w:hAnsi="Arial"/>
          <w:sz w:val="20"/>
          <w:szCs w:val="20"/>
        </w:rPr>
        <w:t xml:space="preserve"> Nie dotyczy (produkt płynny)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 Inne informacje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Lotne Związki Organiczne (LZO / VOC):</w:t>
      </w:r>
      <w:r>
        <w:rPr>
          <w:rFonts w:ascii="Arial" w:cs="Arial" w:eastAsia="Arial" w:hAnsi="Arial"/>
          <w:sz w:val="20"/>
          <w:szCs w:val="20"/>
        </w:rPr>
        <w:t xml:space="preserve"> ok. 76–78% (ok. 663 g/l)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9.2.1. Informacje dotyczące klas zagrożenia fizycznego: Brak dodatkowych danych badawczych.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9.2.2. Inne właściwości bezpieczeństwa: Zawartość LZO (VOC): ok. 76–78% (ok. 663 g/l).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W normalnych warunkach stosowania i magazynowania produkt nie wykazuje niebezpiecznej reaktywności.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10.2. Stabilność chemiczna: Produkt jest stabilny w zalecanych warunkach magazynowania i stosowania.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10.3. Możliwość występowania niebezpiecznych reakcji: Pary mogą tworzyć mieszaniny wybuchowe z powietrzem.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10.4. Warunki, których należy unikać: Wysoka temperatura, otwarty ogień, iskry, bezpośrednie nasłonecznienie.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10.5. Materiały niezgodne: Silne utleniacze, silne kwasy.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10.6. Niebezpieczne produkty rozkładu: Nie występują przy prawidłowym magazynowaniu i stosowaniu.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11. Toxicological information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the absence of experimental data for the product itself, health hazards are evaluated according to the properties of the substances it contains, using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criteria specified in the applicable regulation for classification.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It is therefore necessary to take into account the concentration of the individual hazardous substances indicated in section 3, to evaluate the toxicological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effects of exposure to the product.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Information on hazard classes as defined in Regulation (EC) No 1272/2008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Metabolism, toxicokinetics, mechanism of action and other information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Information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Information on likely routes of exposure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WORKERS: przez drogi oddechowe (inhalacyjnie); contact with the skin.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POPULATION: ingestion of contaminated food or water; przez drogi oddechowe (inhalacyjnie) of ambient air; contact with the skin of products containing the substance.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Delayed and immediate effects as well as chronic effects from short and long-term exposure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Toxic effect on the central and peripheral nervous system with encephalopathy and polyneuritis; irritating for the skin, conjunctiva, cornea and respiratory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apparatus.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Interactive effects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Certain drugs and other industrial products can interfere with the metabolism of the Toluen.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ACUTE TOXICITY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(przez drogi oddechowe (inhalacyjnie)) of the mixture:Nie sklasyfikowano (no significant component)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(droga pokarmowa (doustnie)) of the mixture:Nie sklasyfikowano (no significant component)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(na skórę) of the mixture:Nie sklasyfikowano (no significant component)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 (doustnie)):&gt; 5000 mg/kg szczur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 (inhalacyjnie) pary):LC50 (przez drogi oddechowe - pary, szczur): &gt; 50 mg/l/4h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skórę):&gt; 5000 mg/kg królik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 (doustnie)):3210 mg/kg szczur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 (inhalacyjnie) pary):0,32 mg/l/7h 7h, szczur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skórę):293 mg/kg bw szczur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 (doustnie)):290 mg/kg bw szczur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 (inhalacyjnie) mists/powders):293 mg/kg szczur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skórę):&gt; 2000 mg/kg szczur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 (doustnie)):2930 mg/kg szczur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Suarez Company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Revision nr.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Dated 14/02/2025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BLK0033-2  - SWEET HOME - PROFUMATORE AMBIENTE ORCHIDEA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 VANIGLIA V2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Printed on 14/02/2025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14/21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Replaced revision:1 (Dated: 01/09/2023)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skórę):&gt; 5000 mg/kg bw królik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 (doustnie)):&gt; 5000 mg/kg bw szczur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 (inhalacyjnie) pary):100 ppm człowiek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SKIN CORROSION / IRRITATION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Does not meet the classification criteria for this hazard class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SERIOUS EYE DAMAGE / IRRITATION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Causes serious działanie drażniące na oczy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RESPIRATORY OR działanie uczulające na skórę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May produce an allergic reaction.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Contains: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mutagenne na komórki rozrodcze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Does not meet the classification criteria for this hazard class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rakotwórczość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Does not meet the classification criteria for this hazard class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Classified in Group 3 (not classifiable as a człowiek carcinogen) by the International Agency for Research on Cancer (IARC) - (IARC, 1999).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US Environmental Protection Agency (EPA) affirms that "the data is inadequate for an assessment of the carcinogenic potential".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szkodliwe działanie na rozrodczość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Does not meet the classification criteria for this hazard class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STOT - SINGLE EXPOSURE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Does not meet the classification criteria for this hazard class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STOT - REPEATED EXPOSURE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Does not meet the classification criteria for this hazard class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zagrożenie spowodowane aspiracją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Does not meet the classification criteria for this hazard class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 Information on other hazards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Based on the available data, the product does not contain substances listed in the main European lists of potential or suspected endocrine disruptors with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człowiek health effects under evaluation.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Stosować dobrą praktykę zawodową, unikając przedostawania się produktu do środowiska.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Właściwości ekotoksykologiczne mieszaniny: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dla środowiska.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danych doświadczalnych dla mieszaniny.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ekotoksykologiczne o składnikach: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(ryby):14200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(skorupiaki):454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wodne):275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ryby):250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skorupiaki):96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glony):11,5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aldehyd anyżowy (4-metoksybenzaldehyd) (CAS: 123-11-5):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(ryby):148,32 mg/l/(96 h) Leuciscus idus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(skorupiaki):82,8 mg/l/(48 h) Daphnia magna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wodne):81,11 mg/l/(72 h) Desmodesmus subspicatus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ryby):100 mg/l/(96 h) Leuciscus idus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2,6-di-tert-butylo-4-metylofenol (BHT) (CAS: 128-37-0):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(ryby):0,199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(skorupiaki):0,48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wodne):&gt; 0,4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ryby):0,053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skorupiaki):0,15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toluen (CAS: 108-88-3):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(ryby):5,5 mg/l/(96 h) Oncorhynchus kisutch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(skorupiaki):3,78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wodne):134 mg/l/(3 h) Chlorella vulgaris and Chlamydomonas angulosa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glony):10 mg/l/(72 h) Skeletonema costatum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12.2. Trwałość i zdolność do rozkładu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Szybko ulega degradacji (substancja łatwo biodegradowalna). Rozpuszczalność w wodzie: 1000 - 10000 mg/l.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Szybko ulega degradacji (substancja łatwo biodegradowalna). Rozpuszczalność w wodzie: 100 - 1000 mg/l.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trwałości i rozkładu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12.3. Zdolność do bioakumulacji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Nie wykazuje potencjału bioakumulacji (log Kow = -0,35)..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n-oktanol/woda (log Kow): 5,1, współczynnik biokoncentracji BCF = 598,4.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n-oktanol/woda (log Kow): 2,73, współczynnik biokoncentracji BCF = 90.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bioakumulacji dla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12.4. Mobilność w glebie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współczynnik podziału gleba/woda (Koc): 1.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gleba/woda (Koc): 2,31.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mobilności mieszaniny w glebie.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12.5. Wyniki oceny właściwości PBT i vPvB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spełniających kryteria PBT lub vPvB zgodnie z załącznikiem XIII do rozporządzenia REACH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12.6. Właściwości zaburzające funkcjonowanie układu hormonalnego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o właściwościach zaburzających funkcjonowanie układu hormonalnego w odniesieniu do środowiska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12.7. Inne szkodliwe skutki działania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są znane żadne inne szkodliwe skutki działania na środowisko (brak potencjału niszczenia warstwy ozonowej, tworzenia ozonu fotochemicznego ani wpływu na globalne ocieplenie).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produktu i pozostałości: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Odzyskać, jeśli to możliwe. Nie wprowadzać do kanalizacji, wód powierzchniowych, gruntowych ani gleby. Pozostałości produktu oraz odpady należy poddać odzyskowi lub unieszkodliwianiu w uprawnionych instalacjach (np. spalarniach termicznych lub wyspecjalizowanych zakładach utylizacji odpadów) posiadających stosowne zezwolenia na prowadzenie gospodarki odpadami zgodnie z obowiązującymi przepisami.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odpadów opakowaniowych: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Całkowicie opróżnione opakowania poddać procesowi odzysku lub recyklingu materiałowego w ramach selektywnej zbiórki odpadów. Opakowania zanieczyszczone pozostałościami produktu traktować zgodnie z ich stopniem skażenia – w przypadku substancji niebezpiecznych likwidować jak sam produkt u uprawnionego odbiorcy odpadów.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Klasyfikacja i kody odpadów (Katalog Odpadów Dz.U. 2020 poz. 10):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z produktu (dla zastosowań profesjonalnych / przemysłowych): 16 03 05* (Organiczne odpady zawierające substancje niebezpieczne) lub 16 05 08* (Zużyte chemikalia zawierające substancje niebezpieczne).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z produktu (dla konsumentów / odpady komunalne): 20 01 29* (Detergenty zawierające substancje niebezpieczne) lub 20 01 27*.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opakowaniowe: 15 01 02 (Opakowania z tworzyw sztucznych) [w przypadku opakowań zanieczyszczonych substancjami niebezpiecznymi: 15 01 10*].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Uwaga:</w:t>
      </w:r>
      <w:r>
        <w:rPr>
          <w:rFonts w:ascii="Arial" w:cs="Arial" w:eastAsia="Arial" w:hAnsi="Arial"/>
          <w:sz w:val="20"/>
          <w:szCs w:val="20"/>
        </w:rPr>
        <w:t xml:space="preserve"> Podane kody odpadów mają charakter zalecany. Szczegółowy i ostateczny kod odpadu musi zostać nadany bezpośrednio przez wytwórcę odpadu, w oparciu o miejsce, branżę i specyfikę jego powstawania (BDO).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i unijne akty prawne dotyczące gospodarki odpadami: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2008/98/WE z dnia 19 listopada 2008 r. w sprawie odpadów oraz uchylająca niektóre dyrektywy.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podlega przepisom dotyczącym międzynarodowego przewozu towarów niebezpiecznych (ADR/RID, IMDG, ICAO/IATA).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14.1. Numer UN lub numer identyfikacyjny ID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 1170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14.2. Prawidłowa nazwa przewozowa UN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(ALKOHOL ETYLOWY) lub ETANOL W ROZTWORZE (ALKOHOL ETYLOWY W ROZTWORZE)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14.3. Klasa(-y) zagrożenia w transporcie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Klasa 3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14.4. Grupa pakowania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Grupa pakowania ADR / RID, IMDG, IATA:II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14.5. Zagrożenia dla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(produkt nie jest zaklasyfikowany jako stwarzający zagrożenie dla środowiska w transporcie).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14.6. Szczególne środki ostrożności dla użytkowników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ograniczeń przewozu przez tunele:</w:t>
      </w:r>
      <w:r>
        <w:rPr>
          <w:rFonts w:ascii="Arial" w:cs="Arial" w:eastAsia="Arial" w:hAnsi="Arial"/>
          <w:sz w:val="20"/>
          <w:szCs w:val="20"/>
        </w:rPr>
        <w:t xml:space="preserve"> (D/E)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Transportować w szczelnie zamkniętych, certyfikowanych opakowaniach, zabezpieczonych przed przemieszczaniem i uszkodzeniami mechanicznymi.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Kierowca powinien posiadać stosowne uprawnienia ADR oraz wymagane wyposażenie ochronne pojazdu.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14.7. Transport morski luzem zgodnie z instrumentami IMO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dotyczy (produkt nie jest przewożony luzem w chemikaliowcach morskich).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(WE) nr 1272/2008 z dnia 16 grudnia 2008 r. w sprawie klasyfikacji, oznakowania i pakowania substancji i mieszanin (CLP) z późniejszymi zmianami (kolejne 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Substancje wzbudzające szczególnie duże obawy (SVHC – REACH załącznik XIV): Mieszanina nie zawiera substancji z listy kandydackiej SVHC podlegających procedurze udzielania zezwoleń (REACH załącznik XIV) w stężeniu ≥ 0,1% wag.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Ograniczenia dotyczące produkcji, wprowadzania do obrotu i stosowania niektórych niebezpiecznych substancji (REACH załącznik XVII): Mieszanina nie podlega ograniczeniom na mocy załącznika XVII do rozporządzenia REACH.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2012/18/UE (Seveso III): Z uwagi na właściwości cieczy łatwopalnych produkt może kwalifikować się do przepisów dyrektywy po przekroczeniu ilości progowych [Kategoria P5a/P5b/P5c: 10 t / 50 t lub 5 000 t / 50 000 t w zależności od warunków magazynowania]. Kwalifikacja zakładu (ZZR/ZDR) należy do prowadzącego zakład.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(UE) nr 649/2012 z dnia 4 lipca 2012 r. dotyczące wywozu i przywozu niebezpiecznych chemikaliów (PIC): Nie dotyczy.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25 lutego 2011 r. o substancjach chemicznych i ich mieszaninach (t.j. Dz.U. 2022 poz. 1816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19 sierpnia 2011 r. o przewozie towarów niebezpiecznych (t.j. Dz.U. 2024 poz. 643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30 grudnia 2004 r. w sprawie bezpieczeństwa i higieny pracy związanej z występowaniem w miejscu pracy czynników chemicznych (t.j. Dz.U. 2016 poz. 1488).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2 lutego 2011 r. w sprawie badań i pomiarów czynników szkodliwych dla zdrowia w środowisku pracy (t.j. Dz.U. 2023 poz. 419).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26 czerwca 1974 r. – Kodeks pracy (t.j. Dz.U. 2023 poz. 1465 z późn. zm.).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15.2. Ocena bezpieczeństwa chemicznego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Dla mieszaniny nie dokonano oceny bezpieczeństwa chemicznego (dla mieszanin nie jest ona wymagana zgodnie z art. 14 rozporządzenia REACH).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16: INNE INFORMACJE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Pełne brzmienie zwrotów H i EUH przytoczonych w sekcjach 2 i 3 karty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H225:</w:t>
      </w:r>
      <w:r>
        <w:rPr>
          <w:rFonts w:ascii="Arial" w:cs="Arial" w:eastAsia="Arial" w:hAnsi="Arial"/>
          <w:sz w:val="20"/>
          <w:szCs w:val="20"/>
        </w:rPr>
        <w:t xml:space="preserve"> Wysoce łatwopalna ciecz i pary.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H302:</w:t>
      </w:r>
      <w:r>
        <w:rPr>
          <w:rFonts w:ascii="Arial" w:cs="Arial" w:eastAsia="Arial" w:hAnsi="Arial"/>
          <w:sz w:val="20"/>
          <w:szCs w:val="20"/>
        </w:rPr>
        <w:t xml:space="preserve"> Działa szkodliwie po połknięciu.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H304:</w:t>
      </w:r>
      <w:r>
        <w:rPr>
          <w:rFonts w:ascii="Arial" w:cs="Arial" w:eastAsia="Arial" w:hAnsi="Arial"/>
          <w:sz w:val="20"/>
          <w:szCs w:val="20"/>
        </w:rPr>
        <w:t xml:space="preserve"> Połknięcie i dostanie się przez drogi oddechowe może grozić śmiercią.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H315:</w:t>
      </w:r>
      <w:r>
        <w:rPr>
          <w:rFonts w:ascii="Arial" w:cs="Arial" w:eastAsia="Arial" w:hAnsi="Arial"/>
          <w:sz w:val="20"/>
          <w:szCs w:val="20"/>
        </w:rPr>
        <w:t xml:space="preserve"> Działa drażniąco na skórę.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H317:</w:t>
      </w:r>
      <w:r>
        <w:rPr>
          <w:rFonts w:ascii="Arial" w:cs="Arial" w:eastAsia="Arial" w:hAnsi="Arial"/>
          <w:sz w:val="20"/>
          <w:szCs w:val="20"/>
        </w:rPr>
        <w:t xml:space="preserve"> Może powodować reakcję alergiczną skóry.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H319:</w:t>
      </w:r>
      <w:r>
        <w:rPr>
          <w:rFonts w:ascii="Arial" w:cs="Arial" w:eastAsia="Arial" w:hAnsi="Arial"/>
          <w:sz w:val="20"/>
          <w:szCs w:val="20"/>
        </w:rPr>
        <w:t xml:space="preserve"> Działa drażniąco na oczy.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H336:</w:t>
      </w:r>
      <w:r>
        <w:rPr>
          <w:rFonts w:ascii="Arial" w:cs="Arial" w:eastAsia="Arial" w:hAnsi="Arial"/>
          <w:sz w:val="20"/>
          <w:szCs w:val="20"/>
        </w:rPr>
        <w:t xml:space="preserve"> Może wywoływać uczucie senności lub zawroty głowy.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H361d:</w:t>
      </w:r>
      <w:r>
        <w:rPr>
          <w:rFonts w:ascii="Arial" w:cs="Arial" w:eastAsia="Arial" w:hAnsi="Arial"/>
          <w:sz w:val="20"/>
          <w:szCs w:val="20"/>
        </w:rPr>
        <w:t xml:space="preserve"> Podejrzewa się, że działa szkodliwie na dziecko w łonie matki.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H361fd: Podejrzewa się, że działa szkodliwie na płodność. Podejrzewa się, że działa szkodliwie na dziecko w łonie matki.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H373:</w:t>
      </w:r>
      <w:r>
        <w:rPr>
          <w:rFonts w:ascii="Arial" w:cs="Arial" w:eastAsia="Arial" w:hAnsi="Arial"/>
          <w:sz w:val="20"/>
          <w:szCs w:val="20"/>
        </w:rPr>
        <w:t xml:space="preserve"> Może powodować uszkodzenie narządów poprzez długotrwałe lub narażenie powtarzane.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H410:</w:t>
      </w:r>
      <w:r>
        <w:rPr>
          <w:rFonts w:ascii="Arial" w:cs="Arial" w:eastAsia="Arial" w:hAnsi="Arial"/>
          <w:sz w:val="20"/>
          <w:szCs w:val="20"/>
        </w:rPr>
        <w:t xml:space="preserve"> Działa bardzo toksycznie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H412:</w:t>
      </w:r>
      <w:r>
        <w:rPr>
          <w:rFonts w:ascii="Arial" w:cs="Arial" w:eastAsia="Arial" w:hAnsi="Arial"/>
          <w:sz w:val="20"/>
          <w:szCs w:val="20"/>
        </w:rPr>
        <w:t xml:space="preserve"> Działa szkodliwie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EUH208:</w:t>
      </w:r>
      <w:r>
        <w:rPr>
          <w:rFonts w:ascii="Arial" w:cs="Arial" w:eastAsia="Arial" w:hAnsi="Arial"/>
          <w:sz w:val="20"/>
          <w:szCs w:val="20"/>
        </w:rPr>
        <w:t xml:space="preserve"> Zawiera substancję uczulającą. Może powodować wystąpienie reakcji alergicznej.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Wykaz klas i kategorii zagrożenia przytoczonych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Acute Tox. 4:</w:t>
      </w:r>
      <w:r>
        <w:rPr>
          <w:rFonts w:ascii="Arial" w:cs="Arial" w:eastAsia="Arial" w:hAnsi="Arial"/>
          <w:sz w:val="20"/>
          <w:szCs w:val="20"/>
        </w:rPr>
        <w:t xml:space="preserve"> Toksyczność ostra, kategoria 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1: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3: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Asp. Tox. 1:</w:t>
      </w:r>
      <w:r>
        <w:rPr>
          <w:rFonts w:ascii="Arial" w:cs="Arial" w:eastAsia="Arial" w:hAnsi="Arial"/>
          <w:sz w:val="20"/>
          <w:szCs w:val="20"/>
        </w:rPr>
        <w:t xml:space="preserve"> Zagrożenie spowodowane aspiracją,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Eye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oczy,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Flam. Liq. 2:</w:t>
      </w:r>
      <w:r>
        <w:rPr>
          <w:rFonts w:ascii="Arial" w:cs="Arial" w:eastAsia="Arial" w:hAnsi="Arial"/>
          <w:sz w:val="20"/>
          <w:szCs w:val="20"/>
        </w:rPr>
        <w:t xml:space="preserve"> Substancja ciekła łatwopalna, kategoria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Repr. 2: Działanie szkodliwe na rozrodczość,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RE 2: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powtarzane,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SE 3: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jednorazowe,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skórę,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Sens. 1:</w:t>
      </w:r>
      <w:r>
        <w:rPr>
          <w:rFonts w:ascii="Arial" w:cs="Arial" w:eastAsia="Arial" w:hAnsi="Arial"/>
          <w:sz w:val="20"/>
          <w:szCs w:val="20"/>
        </w:rPr>
        <w:t xml:space="preserve"> Działanie uczulające na skórę, kategoria 1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Objaśnienie skrótów i akronimów stosowanych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ADR:</w:t>
      </w:r>
      <w:r>
        <w:rPr>
          <w:rFonts w:ascii="Arial" w:cs="Arial" w:eastAsia="Arial" w:hAnsi="Arial"/>
          <w:sz w:val="20"/>
          <w:szCs w:val="20"/>
        </w:rPr>
        <w:t xml:space="preserve"> Umowa europejska dotycząca międzynarodowego przewozu drogowego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RID:</w:t>
      </w:r>
      <w:r>
        <w:rPr>
          <w:rFonts w:ascii="Arial" w:cs="Arial" w:eastAsia="Arial" w:hAnsi="Arial"/>
          <w:sz w:val="20"/>
          <w:szCs w:val="20"/>
        </w:rPr>
        <w:t xml:space="preserve"> Regulamin międzynarodowego przewozu kolejami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IMDG:</w:t>
      </w:r>
      <w:r>
        <w:rPr>
          <w:rFonts w:ascii="Arial" w:cs="Arial" w:eastAsia="Arial" w:hAnsi="Arial"/>
          <w:sz w:val="20"/>
          <w:szCs w:val="20"/>
        </w:rPr>
        <w:t xml:space="preserve"> Międzynarodowy morski kodeks towarów niebezpiecznych (International Maritime Dangerous Goods Code)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IATA:</w:t>
      </w:r>
      <w:r>
        <w:rPr>
          <w:rFonts w:ascii="Arial" w:cs="Arial" w:eastAsia="Arial" w:hAnsi="Arial"/>
          <w:sz w:val="20"/>
          <w:szCs w:val="20"/>
        </w:rPr>
        <w:t xml:space="preserve"> Międzynarodowe Zrzeszenie Przewoźników Powietrznych (International Air Transport Association)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ICAO:</w:t>
      </w:r>
      <w:r>
        <w:rPr>
          <w:rFonts w:ascii="Arial" w:cs="Arial" w:eastAsia="Arial" w:hAnsi="Arial"/>
          <w:sz w:val="20"/>
          <w:szCs w:val="20"/>
        </w:rPr>
        <w:t xml:space="preserve"> Organizacja Międzynarodowego Lotnictwa Cywilnego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CLP:</w:t>
      </w:r>
      <w:r>
        <w:rPr>
          <w:rFonts w:ascii="Arial" w:cs="Arial" w:eastAsia="Arial" w:hAnsi="Arial"/>
          <w:sz w:val="20"/>
          <w:szCs w:val="20"/>
        </w:rPr>
        <w:t xml:space="preserve"> Rozporządzenie (WE) nr 1272/2008 w sprawie klasyfikacji, oznakowania i pakowania substancji i mieszanin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REACH:</w:t>
      </w:r>
      <w:r>
        <w:rPr>
          <w:rFonts w:ascii="Arial" w:cs="Arial" w:eastAsia="Arial" w:hAnsi="Arial"/>
          <w:sz w:val="20"/>
          <w:szCs w:val="20"/>
        </w:rPr>
        <w:t xml:space="preserve"> Rozporządzenie (WE) nr 1907/2006 w sprawie rejestracji, oceny, udzielania zezwoleń i stosowanych ograniczeń w zakresie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GHS:</w:t>
      </w:r>
      <w:r>
        <w:rPr>
          <w:rFonts w:ascii="Arial" w:cs="Arial" w:eastAsia="Arial" w:hAnsi="Arial"/>
          <w:sz w:val="20"/>
          <w:szCs w:val="20"/>
        </w:rPr>
        <w:t xml:space="preserve"> Globalnie Zharmonizowany System Klasyfikacji i Oznakowania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CAS:</w:t>
      </w:r>
      <w:r>
        <w:rPr>
          <w:rFonts w:ascii="Arial" w:cs="Arial" w:eastAsia="Arial" w:hAnsi="Arial"/>
          <w:sz w:val="20"/>
          <w:szCs w:val="20"/>
        </w:rPr>
        <w:t xml:space="preserve"> Chemical Abstracts Service (unikalny numeryczny identyfikator substancji chemicznej)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WE:</w:t>
      </w:r>
      <w:r>
        <w:rPr>
          <w:rFonts w:ascii="Arial" w:cs="Arial" w:eastAsia="Arial" w:hAnsi="Arial"/>
          <w:sz w:val="20"/>
          <w:szCs w:val="20"/>
        </w:rPr>
        <w:t xml:space="preserve"> Numer Wspólnoty Europejskiej (oficjalny numer rejestracyjny substancji w UE: EINECS, ELINCS lub NLP)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na stanowisku pracy w ciągu 8-godzinnego dnia pracy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NDSCh: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chwilowe (czas ekspozycji do 15 minut)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NDSP: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pułapowe (wartość, która nie może być przekroczona w żadnym momencie)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Pochodny poziom niepowodujący zmian (Derived No-Effect Level)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Przewidywane stężenie niepowodujące zmian w środowisku (Predicted No-Effect Concentration)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Substancja trwała, wykazująca zdolność do bioakumulacji i toksyczna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vPvB:</w:t>
      </w:r>
      <w:r>
        <w:rPr>
          <w:rFonts w:ascii="Arial" w:cs="Arial" w:eastAsia="Arial" w:hAnsi="Arial"/>
          <w:sz w:val="20"/>
          <w:szCs w:val="20"/>
        </w:rPr>
        <w:t xml:space="preserve"> Substancja bardzo trwała i wykazująca bardzo dużą zdolność do bioakumulacji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SVHC:</w:t>
      </w:r>
      <w:r>
        <w:rPr>
          <w:rFonts w:ascii="Arial" w:cs="Arial" w:eastAsia="Arial" w:hAnsi="Arial"/>
          <w:sz w:val="20"/>
          <w:szCs w:val="20"/>
        </w:rPr>
        <w:t xml:space="preserve"> Substancje wzbudzające szczególnie duże obawy (Substances of Very High Concern)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Współczynnik biokoncentracji (Bioconcentration Factor)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 Kow:</w:t>
      </w:r>
      <w:r>
        <w:rPr>
          <w:rFonts w:ascii="Arial" w:cs="Arial" w:eastAsia="Arial" w:hAnsi="Arial"/>
          <w:sz w:val="20"/>
          <w:szCs w:val="20"/>
        </w:rPr>
        <w:t xml:space="preserve"> Współczynnik podziału n-oktanol/woda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LD50:</w:t>
      </w:r>
      <w:r>
        <w:rPr>
          <w:rFonts w:ascii="Arial" w:cs="Arial" w:eastAsia="Arial" w:hAnsi="Arial"/>
          <w:sz w:val="20"/>
          <w:szCs w:val="20"/>
        </w:rPr>
        <w:t xml:space="preserve"> Dawka śmiertelna dla 50% badanej populacji zwierząt laboratoryjnych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LC50:</w:t>
      </w:r>
      <w:r>
        <w:rPr>
          <w:rFonts w:ascii="Arial" w:cs="Arial" w:eastAsia="Arial" w:hAnsi="Arial"/>
          <w:sz w:val="20"/>
          <w:szCs w:val="20"/>
        </w:rPr>
        <w:t xml:space="preserve"> Stężenie śmiertelne dla 50% badanej populacji organizmów testowych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EC50:</w:t>
      </w:r>
      <w:r>
        <w:rPr>
          <w:rFonts w:ascii="Arial" w:cs="Arial" w:eastAsia="Arial" w:hAnsi="Arial"/>
          <w:sz w:val="20"/>
          <w:szCs w:val="20"/>
        </w:rPr>
        <w:t xml:space="preserve"> Stężenie wywołujące efekt u 50% badanej populacji testowej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NOEC:</w:t>
      </w:r>
      <w:r>
        <w:rPr>
          <w:rFonts w:ascii="Arial" w:cs="Arial" w:eastAsia="Arial" w:hAnsi="Arial"/>
          <w:sz w:val="20"/>
          <w:szCs w:val="20"/>
        </w:rPr>
        <w:t xml:space="preserve"> Najwyższe stężenie, przy którym nie obserwuje się statystycznie istotnych skutków (No Observed Effect Concentration)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SCL:</w:t>
      </w:r>
      <w:r>
        <w:rPr>
          <w:rFonts w:ascii="Arial" w:cs="Arial" w:eastAsia="Arial" w:hAnsi="Arial"/>
          <w:sz w:val="20"/>
          <w:szCs w:val="20"/>
        </w:rPr>
        <w:t xml:space="preserve"> Specyficzne stężenie graniczne (Specific Concentration Limit)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BDO:</w:t>
      </w:r>
      <w:r>
        <w:rPr>
          <w:rFonts w:ascii="Arial" w:cs="Arial" w:eastAsia="Arial" w:hAnsi="Arial"/>
          <w:sz w:val="20"/>
          <w:szCs w:val="20"/>
        </w:rPr>
        <w:t xml:space="preserve"> Baza danych o produktach i opakowaniach oraz o gospodarce odpadami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ECHA:</w:t>
      </w:r>
      <w:r>
        <w:rPr>
          <w:rFonts w:ascii="Arial" w:cs="Arial" w:eastAsia="Arial" w:hAnsi="Arial"/>
          <w:sz w:val="20"/>
          <w:szCs w:val="20"/>
        </w:rPr>
        <w:t xml:space="preserve"> Europejska Agencja Chemikaliów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Główne źródła literatury i danych: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Karty charakterystyki substancji składowych udostępnione przez producentów i dostawców surowców.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Baza danych Europejskiej Agencji Chemikaliów (ECHA): https://echa.europa.eu/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Baza danych PubChem National Library of Medicine: https://pubchem.ncbi.nlm.nih.gov/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Obowiązujące unijne i krajowe akty prawne (REACH, CLP, Dz.U. 2018 poz. 1286, Dz.U. 2023 poz. 1587).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i wskazówki szkoleniowe dla pracowników: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Przed przystąpieniem do pracy z produktem należy zapoznać się z treścią niniejszej karty charakterystyki oraz przepisami BHP obowiązującymi na stanowisku pracy. Pracownicy mający kontakt z produktem powinni zostać przeszkoleni w zakresie prawidłowego i bezpiecznego obchodzenia się z chemikaliami oraz postępowania w sytuacjach awaryjnych.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o zmianach i aktualizacji: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Niniejsza karta charakterystyki została opracowana i zaktualizowana zgodnie z wymogami Rozporządzenia Komisji (UE) 2020/878 z dnia 18 czerwca 2020 r. zmieniającego załącznik II do rozporządzenia (WE) nr 1907/2006 (REACH).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zawarte w niniejszej karcie wynikają z aktualnego stanu wiedzy producenta i dystrybutora i odnoszą się wyłącznie do opisanego produktu. Użytkownik ponosi odpowiedzialność za stworzenie bezpiecznych warunków pracy oraz spełnienie wymagań prawnych związanych z jego zastosowaniem.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undefined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5d8d9c367d3934e7fb954e2d1eb138bb8cbbdb7.undefined"/><Relationship Id="rId10" Type="http://schemas.openxmlformats.org/officeDocument/2006/relationships/image" Target="media/efd45568977e6a957ae58b4c90280b3e4510b305.undefined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2026-09-14T16:31:19.992Z</dcterms:created>
  <dcterms:modified xsi:type="dcterms:W3CDTF">2026-09-14T16:31:19.992Z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