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sz w:val="36"/>
          <w:szCs w:val="36"/>
        </w:rPr>
        <w:t xml:space="preserve">KARTA CHARAKTERYSTYKI</w:t>
      </w:r>
    </w:p>
    <w:p>
      <w:pPr>
        <w:spacing w:after="200"/>
        <w:jc w:val="center"/>
      </w:pPr>
      <w:r>
        <w:rPr>
          <w:rFonts w:ascii="Arial" w:cs="Arial" w:eastAsia="Arial" w:hAnsi="Arial"/>
          <w:i/>
          <w:iCs/>
          <w:color w:val="444444"/>
          <w:sz w:val="16"/>
          <w:szCs w:val="16"/>
        </w:rPr>
        <w:t xml:space="preserve">[Sporządzona zgodnie z Rozporządzeniem (WE) nr 1907/2006 (REACH), zmienionym Rozporządzeniem Komisji (UE) 2020/878]</w:t>
      </w:r>
    </w:p>
    <w:tbl>
      <w:tblPr>
        <w:tblW w:type="pct" w:w="100%"/>
        <w:tblBorders>
          <w:top w:val="single" w:color="00A651" w:sz="6"/>
          <w:left w:val="single" w:color="D0D5DD" w:sz="4"/>
          <w:bottom w:val="single" w:color="00A651" w:sz="6"/>
          <w:right w:val="single" w:color="D0D5DD" w:sz="4"/>
          <w:insideH w:val="none"/>
          <w:insideV w:val="single" w:color="E5E7EB" w:sz="4"/>
        </w:tblBorders>
      </w:tblPr>
      <w:tblGrid>
        <w:gridCol w:w="100"/>
        <w:gridCol w:w="100"/>
      </w:tblGrid>
      <w:tr>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Data sporządzenia: </w:t>
            </w:r>
            <w:r>
              <w:rPr>
                <w:rFonts w:ascii="Arial" w:cs="Arial" w:eastAsia="Arial" w:hAnsi="Arial"/>
                <w:sz w:val="18"/>
                <w:szCs w:val="18"/>
              </w:rPr>
              <w:t xml:space="preserve">16.09.2026</w:t>
            </w:r>
          </w:p>
          <w:p>
            <w:r>
              <w:rPr>
                <w:rFonts w:ascii="Arial" w:cs="Arial" w:eastAsia="Arial" w:hAnsi="Arial"/>
                <w:b/>
                <w:bCs/>
                <w:sz w:val="18"/>
                <w:szCs w:val="18"/>
              </w:rPr>
              <w:t xml:space="preserve">Aktualizacja: </w:t>
            </w:r>
            <w:r>
              <w:rPr>
                <w:rFonts w:ascii="Arial" w:cs="Arial" w:eastAsia="Arial" w:hAnsi="Arial"/>
                <w:sz w:val="18"/>
                <w:szCs w:val="18"/>
              </w:rPr>
              <w:t xml:space="preserve">Nie dotyczy</w:t>
            </w:r>
          </w:p>
        </w:tc>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Wersja: </w:t>
            </w:r>
            <w:r>
              <w:rPr>
                <w:rFonts w:ascii="Arial" w:cs="Arial" w:eastAsia="Arial" w:hAnsi="Arial"/>
                <w:sz w:val="18"/>
                <w:szCs w:val="18"/>
              </w:rPr>
              <w:t xml:space="preserve">1.0 PL</w:t>
            </w:r>
          </w:p>
          <w:p>
            <w:r>
              <w:rPr>
                <w:rFonts w:ascii="Arial" w:cs="Arial" w:eastAsia="Arial" w:hAnsi="Arial"/>
                <w:b/>
                <w:bCs/>
                <w:sz w:val="18"/>
                <w:szCs w:val="18"/>
              </w:rPr>
              <w:t xml:space="preserve">Zastępuje wersję: </w:t>
            </w:r>
            <w:r>
              <w:rPr>
                <w:rFonts w:ascii="Arial" w:cs="Arial" w:eastAsia="Arial" w:hAnsi="Arial"/>
                <w:sz w:val="18"/>
                <w:szCs w:val="18"/>
              </w:rPr>
              <w:t xml:space="preserve">Brak (wydanie pierwsze w języku polskim, opracowane na podstawie SDS producenta z dnia 14.02.2025 r.)</w:t>
            </w:r>
          </w:p>
        </w:tc>
      </w:tr>
    </w:tbl>
    <w:p>
      <w:pPr>
        <w:spacing w:after="200"/>
      </w:pP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ORCHIDEA E VANIGLIA V2</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BLK0033-2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1JUA-J3HY-KX04-SM29</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pPr>
      <w:r>
        <w:rPr>
          <w:rFonts w:ascii="Arial" w:cs="Arial" w:eastAsia="Arial" w:hAnsi="Arial"/>
          <w:sz w:val="20"/>
          <w:szCs w:val="20"/>
        </w:rPr>
        <w:t xml:space="preserve">Zastosowanie: Odświeżacz powietrza (dyfuzor zapachowy).</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Brak.</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Strona www:</w:t>
      </w:r>
      <w:r>
        <w:rPr>
          <w:rFonts w:ascii="Arial" w:cs="Arial" w:eastAsia="Arial" w:hAnsi="Arial"/>
          <w:sz w:val="20"/>
          <w:szCs w:val="20"/>
        </w:rPr>
        <w:t xml:space="preserve"> www.prostozwloch.pl</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GHS02, GHS07</w:t>
      </w:r>
    </w:p>
    <w:p>
      <w:pPr>
        <w:spacing w:after="80" w:before="80"/>
      </w:pPr>
      <w:r>
        <w:rPr>
          <w:rFonts w:ascii="Arial" w:cs="Arial" w:eastAsia="Arial" w:hAnsi="Arial"/>
          <w:b/>
          <w:bCs/>
          <w:sz w:val="20"/>
          <w:szCs w:val="20"/>
        </w:rPr>
        <w:t xml:space="preserve">Hasło ostrzegawcze:</w:t>
      </w:r>
      <w:r>
        <w:rPr>
          <w:rFonts w:ascii="Arial" w:cs="Arial" w:eastAsia="Arial" w:hAnsi="Arial"/>
          <w:sz w:val="20"/>
          <w:szCs w:val="20"/>
        </w:rPr>
        <w:t xml:space="preserve"/>
      </w:r>
    </w:p>
    <w:p>
      <w:pPr>
        <w:spacing w:after="80"/>
      </w:pPr>
      <w:r>
        <w:rPr>
          <w:rFonts w:ascii="Arial" w:cs="Arial" w:eastAsia="Arial" w:hAnsi="Arial"/>
          <w:sz w:val="20"/>
          <w:szCs w:val="20"/>
        </w:rPr>
        <w:t xml:space="preserve">Niebezpieczeństwo</w:t>
      </w:r>
    </w:p>
    <w:p>
      <w:pPr>
        <w:spacing w:after="80"/>
      </w:pPr>
      <w:r>
        <w:rPr>
          <w:rFonts w:ascii="Arial" w:cs="Arial" w:eastAsia="Arial" w:hAnsi="Arial"/>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pPr>
      <w:r>
        <w:rPr>
          <w:rFonts w:ascii="Arial" w:cs="Arial" w:eastAsia="Arial" w:hAnsi="Arial"/>
          <w:sz w:val="20"/>
          <w:szCs w:val="20"/>
        </w:rPr>
        <w:t xml:space="preserve">Informacje uzupełniające:</w:t>
      </w:r>
    </w:p>
    <w:p>
      <w:pPr>
        <w:spacing w:after="80"/>
      </w:pPr>
      <w:r>
        <w:rPr>
          <w:rFonts w:ascii="Arial" w:cs="Arial" w:eastAsia="Arial" w:hAnsi="Arial"/>
          <w:sz w:val="20"/>
          <w:szCs w:val="20"/>
        </w:rPr>
        <w:t xml:space="preserve">EUH208 Zawiera kumarynę (2H-chromen-2-on).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Produkt nie zawiera składników wpisanych do wykazu ustanowionego zgodnie z art. 59 ust. 1 jako posiadające właściwości zaburzające funkcjonowanie układu hormonalnego ani składników o właściwościach zaburzających funkcjonowanie układu hormonalnego zgodnie z kryteriami określonymi w rozporządzeniu 2017/2100/UE lub rozporządzeniu 2018/605/UE w stężeniu równym lub większym od 0,1 %.</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p>
            <w:r>
              <w:rPr>
                <w:rFonts w:ascii="Arial" w:cs="Arial" w:eastAsia="Arial" w:hAnsi="Arial"/>
                <w:i/>
                <w:iCs/>
                <w:color w:val="666666"/>
                <w:sz w:val="16"/>
                <w:szCs w:val="16"/>
              </w:rPr>
              <w:t xml:space="preserve">(ang. ETHANOL)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aldehyd anyżowy (4-metoksybenzaldehyd)</w:t>
            </w:r>
          </w:p>
          <w:p>
            <w:r>
              <w:rPr>
                <w:rFonts w:ascii="Arial" w:cs="Arial" w:eastAsia="Arial" w:hAnsi="Arial"/>
                <w:i/>
                <w:iCs/>
                <w:color w:val="666666"/>
                <w:sz w:val="16"/>
                <w:szCs w:val="16"/>
              </w:rPr>
              <w:t xml:space="preserve">(ang. ANISALDEHYDE)</w:t>
            </w:r>
          </w:p>
        </w:tc>
        <w:tc>
          <w:tcPr>
            <w:tcW w:type="dxa" w:w="2600"/>
          </w:tcPr>
          <w:p>
            <w:pPr>
              <w:spacing w:after="40"/>
            </w:pPr>
            <w:r>
              <w:rPr>
                <w:rFonts w:ascii="Arial" w:cs="Arial" w:eastAsia="Arial" w:hAnsi="Arial"/>
                <w:sz w:val="17"/>
                <w:szCs w:val="17"/>
              </w:rPr>
              <w:t xml:space="preserve">Numer CAS: 123-11-5</w:t>
            </w:r>
          </w:p>
          <w:p>
            <w:pPr>
              <w:spacing w:after="40"/>
            </w:pPr>
            <w:r>
              <w:rPr>
                <w:rFonts w:ascii="Arial" w:cs="Arial" w:eastAsia="Arial" w:hAnsi="Arial"/>
                <w:sz w:val="17"/>
                <w:szCs w:val="17"/>
              </w:rPr>
              <w:t xml:space="preserve">Numer WE: 204-602-6</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01-2119977101-43</w:t>
            </w:r>
          </w:p>
        </w:tc>
        <w:tc>
          <w:tcPr>
            <w:tcW w:type="dxa" w:w="2800"/>
          </w:tcPr>
          <w:p>
            <w:pPr>
              <w:spacing w:after="40"/>
            </w:pPr>
            <w:r>
              <w:rPr>
                <w:rFonts w:ascii="Arial" w:cs="Arial" w:eastAsia="Arial" w:hAnsi="Arial"/>
                <w:sz w:val="17"/>
                <w:szCs w:val="17"/>
              </w:rPr>
              <w:t xml:space="preserve">Repr. 2 H361fd,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3 H412</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skonsultować się z lekarzem i pokazać mu niniejszą kartę charakterystyki. W przypadku cięższych objawów wezwać natychmiastową pomoc medyczną.</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Natychmiast zdjąć zanieczyszczoną odzież. Zmyć natychmiast i dokładnie dużą ilością bieżącej wody (oraz w miarę możliwości mydłem). Zasięgnąć porady lekarza. Unikać dalszego kontaktu z zanieczyszczoną odzieżą.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Płukać natychmiast dużą ilością wody przez co najmniej 15 minut, całkowicie otwierając powieki. Zasięgnąć porady/zgłosić się pod opiekę lekarza (skonsultować się z lekarzem okulistą).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 dala od miejsca zdarzenia, zapewnić ciepło i spokój. Zasięgnąć porady/zgłosić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jest, aby ratownicy udzielający pomocy osobie narażonej na działanie substancji lub mieszaniny chemicznej stosowali środki ochrony indywidualnej. Rodzaj ochrony zależy od stopnia zagrożenia stwarzanego przez substancję lub mieszaninę, rodzaju narażenia i stopnia skażenia. W przypadku braku innych, bardziej szczegółowych wskazań, w razie możliwości kontaktu z płynami ustrojowymi zaleca się stosowanie rękawic jednorazowych. Informacje na temat odpowiednich środków ochrony indywidualnej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Działa drażniąco na oczy. Może powodować zaczerwienienie spojówek, pieczenie, łzawienie i ból.</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U osób szczególnie wrażliwych może wywołać reakcję alergiczną skóry (zawiera kumarynę (2H-chromen-2-on)). Przy długotrwałym kontakcie może powodować wysuszenie lub pękanie skóry.</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Wdychanie wysokich stężeń par może wywoływać podrażnienie błon śluzowych dróg oddechowych, bóle i zawroty głowy oraz uczucie senności.</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Może wywołać podrażnienie układu pokarmowego, nudności, wymioty oraz objawy intoksykacji alkoholowej.</w:t>
      </w:r>
    </w:p>
    <w:p>
      <w:pPr>
        <w:spacing w:after="80"/>
      </w:pPr>
      <w:r>
        <w:rPr>
          <w:rFonts w:ascii="Arial" w:cs="Arial" w:eastAsia="Arial" w:hAnsi="Arial"/>
          <w:sz w:val="20"/>
          <w:szCs w:val="20"/>
        </w:rPr>
        <w:t xml:space="preserve">SKUTKI OPÓŹNIONE: W oparciu o dostępne dane, w warunkach prawidłowego stosowania nie są znane przypadki wystąpienia opóźnionych powikłań zdrowotnych.</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(ostrych lub opóźnionych) skonsultować się z lekarzem.</w:t>
      </w:r>
    </w:p>
    <w:p>
      <w:pPr>
        <w:spacing w:after="80"/>
      </w:pPr>
      <w:r>
        <w:rPr>
          <w:rFonts w:ascii="Arial" w:cs="Arial" w:eastAsia="Arial" w:hAnsi="Arial"/>
          <w:sz w:val="20"/>
          <w:szCs w:val="20"/>
        </w:rPr>
        <w:t xml:space="preserve">Środki, które powinny być dostępne w miejscu pracy w celu zapewnienia natychmiastowego i specyficznego leczenia: Bieżąca woda do przemywania oczu i zmywania skóry.</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before="80"/>
      </w:pPr>
      <w:r>
        <w:rPr>
          <w:rFonts w:ascii="Arial" w:cs="Arial" w:eastAsia="Arial" w:hAnsi="Arial"/>
          <w:b/>
          <w:bCs/>
          <w:sz w:val="20"/>
          <w:szCs w:val="20"/>
        </w:rPr>
        <w:t xml:space="preserve">Odpowiednie środki gaśnicze:</w:t>
      </w:r>
      <w:r>
        <w:rPr>
          <w:rFonts w:ascii="Arial" w:cs="Arial" w:eastAsia="Arial" w:hAnsi="Arial"/>
          <w:sz w:val="20"/>
          <w:szCs w:val="20"/>
        </w:rPr>
        <w:t xml:space="preserve"> piana gaśnicza, proszek gaśniczy, dwutlenek węgla.</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usunąć wszelkie źródła zapłonu.</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 unikać kontaktu z oczami i skórą.</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1900 mg/m³</w:t>
      </w:r>
    </w:p>
    <w:p>
      <w:pPr>
        <w:spacing w:after="80"/>
      </w:pPr>
      <w:r>
        <w:rPr>
          <w:rFonts w:ascii="Arial" w:cs="Arial" w:eastAsia="Arial" w:hAnsi="Arial"/>
          <w:sz w:val="20"/>
          <w:szCs w:val="20"/>
        </w:rPr>
        <w:t xml:space="preserve">2,6-di-tert-butylo-4-metylofenol (BHT) [CAS: 128-37-0]:</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 mg/m³ (frakcja wdychalna)</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nie ustalono</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200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87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114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skutki przewlekłe układowe: 950 mg/m³; skutki ostre miejscowe: 1900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206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343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0,96mg/l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0,79mg/l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3,6mg/kg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2,9mg/kg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2,75mg/l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580mg/l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0,38mg/kg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0,63mg/kg</w:t>
      </w:r>
    </w:p>
    <w:p>
      <w:pPr>
        <w:spacing w:after="80"/>
      </w:pPr>
      <w:r>
        <w:rPr>
          <w:rFonts w:ascii="Arial" w:cs="Arial" w:eastAsia="Arial" w:hAnsi="Arial"/>
          <w:sz w:val="20"/>
          <w:szCs w:val="20"/>
        </w:rPr>
        <w:t xml:space="preserve">Substancja: aldehyd anyżowy (4-metoksybenzaldehyd) [CAS: 123-11-5]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4,35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14,7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4,2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0,081mg/l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0,008111mg/l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0,409mg/kg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0,0409mg/kg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0,8111mg/l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4,5mg/l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0,0967mg/kg</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0,39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1,69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6,78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0,39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0,79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0,019mg/l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0,0019mg/l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0,15mg/kg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0,015mg/kg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0,0142mg/l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6,4mg/l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30,7mg/kg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0,018mg/kg</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0,86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3,5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0,25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0,5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0,000199mg/l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0,02 μg/l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0,0996mg/kg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0,00996mg/kg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0,00199mg/l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0,17mg/l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8,33mg/kg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0,04769mg/kg</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8,13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226 mg/m³, ostre układowe: 226 mg/m³, przewlekłe miejscowe: 56,5 mg/m³, przewlekłe układowe: 56,5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384 mg/m³, ostre układowe: 384 mg/m³, przewlekłe miejscowe: 192 mg/m³, przewlekłe układowe: 192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226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384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13,61mg/l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2,89mg/kg soil dw</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(temperatura: 20 °C)</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różowy (temperatura: 20 °C)</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 (metoda wewnętrzna)</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ciecz łatwopalna (metoda: ISO 3679:2015)</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granica wybuchowości (DGW): 3,3 % (v/v); Górna granica wybuchowości (GGW): 19 % (v/v)</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18,7 °C (metoda: ISO 3679:2015)</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nie określono (substancje mogą ulegać rozkładowi)</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5 - 8</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1,5 mm²/s (w temp. 20 °C)</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0,855 g/cm³ (metoda wewnętrzna)</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(metoda: HSDB, 2015; INRS, 2011)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płynny)</w:t>
      </w:r>
    </w:p>
    <w:p>
      <w:pPr>
        <w:spacing w:after="100" w:before="200"/>
      </w:pPr>
      <w:r>
        <w:rPr>
          <w:rFonts w:ascii="Arial" w:cs="Arial" w:eastAsia="Arial" w:hAnsi="Arial"/>
          <w:b/>
          <w:bCs/>
          <w:sz w:val="20"/>
          <w:szCs w:val="20"/>
        </w:rPr>
        <w:t xml:space="preserve">9.2. Inne informacje</w:t>
      </w:r>
    </w:p>
    <w:p>
      <w:pPr>
        <w:spacing w:after="80" w:before="80"/>
      </w:pPr>
      <w:r>
        <w:rPr>
          <w:rFonts w:ascii="Arial" w:cs="Arial" w:eastAsia="Arial" w:hAnsi="Arial"/>
          <w:b/>
          <w:bCs/>
          <w:sz w:val="20"/>
          <w:szCs w:val="20"/>
        </w:rPr>
        <w:t xml:space="preserve">Lotne Związki Organiczne (LZO / VOC):</w:t>
      </w:r>
      <w:r>
        <w:rPr>
          <w:rFonts w:ascii="Arial" w:cs="Arial" w:eastAsia="Arial" w:hAnsi="Arial"/>
          <w:sz w:val="20"/>
          <w:szCs w:val="20"/>
        </w:rPr>
        <w:t xml:space="preserve"> ok. 76–78% (ok. 663 g/l)</w:t>
      </w:r>
    </w:p>
    <w:p>
      <w:pPr>
        <w:spacing w:after="100" w:before="200"/>
      </w:pPr>
      <w:r>
        <w:rPr>
          <w:rFonts w:ascii="Arial" w:cs="Arial" w:eastAsia="Arial" w:hAnsi="Arial"/>
          <w:b/>
          <w:bCs/>
          <w:sz w:val="20"/>
          <w:szCs w:val="20"/>
        </w:rPr>
        <w:t xml:space="preserve">9.2.1. Informacje dotyczące klas zagrożenia fizycznego: Brak dodatkowych danych badawczych.</w:t>
      </w:r>
    </w:p>
    <w:p>
      <w:pPr>
        <w:spacing w:after="100" w:before="200"/>
      </w:pPr>
      <w:r>
        <w:rPr>
          <w:rFonts w:ascii="Arial" w:cs="Arial" w:eastAsia="Arial" w:hAnsi="Arial"/>
          <w:b/>
          <w:bCs/>
          <w:sz w:val="20"/>
          <w:szCs w:val="20"/>
        </w:rPr>
        <w:t xml:space="preserve">9.2.2. Inne właściwości bezpieczeństwa: Zawartość LZO (VOC): ok. 76–78% (ok. 663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brak szczególnych zagrożeń.</w:t>
      </w:r>
    </w:p>
    <w:p>
      <w:pPr>
        <w:pBdr>
          <w:bottom w:color="00A651" w:sz="12" w:space="1"/>
        </w:pBdr>
        <w:spacing w:after="150" w:before="300"/>
      </w:pPr>
      <w:r>
        <w:rPr>
          <w:b/>
          <w:bCs/>
          <w:sz w:val="22"/>
          <w:szCs w:val="22"/>
        </w:rPr>
        <w:t xml:space="preserve">SEKCJA 11: INFORMACJE TOKSYKOLOGICZNE</w:t>
      </w:r>
    </w:p>
    <w:p>
      <w:pPr>
        <w:spacing w:after="80"/>
      </w:pPr>
      <w:r>
        <w:rPr>
          <w:rFonts w:ascii="Arial" w:cs="Arial" w:eastAsia="Arial" w:hAnsi="Arial"/>
          <w:sz w:val="20"/>
          <w:szCs w:val="20"/>
        </w:rPr>
        <w:t xml:space="preserve">Wobec braku danych doświadczalnych dla samego produktu, zagrożenia dla zdrowia oceniono na podstawie właściwości substancji w nim zawartych, zgodnie z kryteriami określonymi w odpowiednich przepisach dotyczących klasyfikacji.</w:t>
      </w:r>
    </w:p>
    <w:p>
      <w:pPr>
        <w:spacing w:after="80"/>
      </w:pPr>
      <w:r>
        <w:rPr>
          <w:rFonts w:ascii="Arial" w:cs="Arial" w:eastAsia="Arial" w:hAnsi="Arial"/>
          <w:sz w:val="20"/>
          <w:szCs w:val="20"/>
        </w:rPr>
        <w:t xml:space="preserve">W związku z tym, w celu oceny skutków toksykologicznych narażenia na produkt, konieczne jest uwzględnienie stężenia poszczególnych substancji niebezpiecznych wskazanych w sekcji 3.</w:t>
      </w:r>
    </w:p>
    <w:p>
      <w:pPr>
        <w:spacing w:after="100" w:before="200"/>
      </w:pPr>
      <w:r>
        <w:rPr>
          <w:rFonts w:ascii="Arial" w:cs="Arial" w:eastAsia="Arial" w:hAnsi="Arial"/>
          <w:b/>
          <w:bCs/>
          <w:sz w:val="20"/>
          <w:szCs w:val="20"/>
        </w:rPr>
        <w:t xml:space="preserve">11.1. Informacje na temat klas zagrożenia zdefiniowanych w rozporządzeniu (WE) nr 1272/2008</w:t>
      </w:r>
    </w:p>
    <w:p>
      <w:pPr>
        <w:spacing w:after="80"/>
      </w:pPr>
      <w:r>
        <w:rPr>
          <w:rFonts w:ascii="Arial" w:cs="Arial" w:eastAsia="Arial" w:hAnsi="Arial"/>
          <w:sz w:val="20"/>
          <w:szCs w:val="20"/>
        </w:rPr>
        <w:t xml:space="preserve">Metabolizm, toksykokinetyka, mechanizm działania i inne informacje:</w:t>
      </w:r>
    </w:p>
    <w:p>
      <w:pPr>
        <w:spacing w:after="80"/>
      </w:pPr>
      <w:r>
        <w:rPr>
          <w:rFonts w:ascii="Arial" w:cs="Arial" w:eastAsia="Arial" w:hAnsi="Arial"/>
          <w:sz w:val="20"/>
          <w:szCs w:val="20"/>
        </w:rPr>
        <w:t xml:space="preserve">Brak dostępnych informacji.</w:t>
      </w:r>
    </w:p>
    <w:p>
      <w:pPr>
        <w:spacing w:after="80"/>
      </w:pPr>
      <w:r>
        <w:rPr>
          <w:rFonts w:ascii="Arial" w:cs="Arial" w:eastAsia="Arial" w:hAnsi="Arial"/>
          <w:sz w:val="20"/>
          <w:szCs w:val="20"/>
        </w:rPr>
        <w:t xml:space="preserve">Informacje dotyczące prawdopodobnych dróg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PRACOWNICY: inhalacyjnie (przez drogi oddechowe); kontakt ze skórą.</w:t>
      </w:r>
    </w:p>
    <w:p>
      <w:pPr>
        <w:spacing w:after="80"/>
      </w:pPr>
      <w:r>
        <w:rPr>
          <w:rFonts w:ascii="Arial" w:cs="Arial" w:eastAsia="Arial" w:hAnsi="Arial"/>
          <w:sz w:val="20"/>
          <w:szCs w:val="20"/>
        </w:rPr>
        <w:t xml:space="preserve">KONSUMENCI: spożycie zanieczyszczonej żywności lub wody; inhalacyjnie (wdychanie powietrza z otoczenia); kontakt ze skórą z produktami zawierającymi substancję.</w:t>
      </w:r>
    </w:p>
    <w:p>
      <w:pPr>
        <w:spacing w:after="80"/>
      </w:pPr>
      <w:r>
        <w:rPr>
          <w:rFonts w:ascii="Arial" w:cs="Arial" w:eastAsia="Arial" w:hAnsi="Arial"/>
          <w:sz w:val="20"/>
          <w:szCs w:val="20"/>
        </w:rPr>
        <w:t xml:space="preserve">Opóźnione, bezpośrednie oraz przewlekłe skutki krótko- i długotrwałego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Działanie toksyczne na ośrodkowy i obwodowy układ nerwowy z encefalopatią i zapaleniem wielonerwowym; działa drażniąco na skórę, spojówki, rogówkę i układ oddechowy.</w:t>
      </w:r>
    </w:p>
    <w:p>
      <w:pPr>
        <w:spacing w:after="80"/>
      </w:pPr>
      <w:r>
        <w:rPr>
          <w:rFonts w:ascii="Arial" w:cs="Arial" w:eastAsia="Arial" w:hAnsi="Arial"/>
          <w:sz w:val="20"/>
          <w:szCs w:val="20"/>
        </w:rPr>
        <w:t xml:space="preserve">Skutki wzajemnego oddziaływania: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Niektóre leki oraz inne chemikalia przemysłowe mogą zakłócać metabolizm toluenu.</w:t>
      </w:r>
    </w:p>
    <w:p>
      <w:pPr>
        <w:spacing w:after="80"/>
      </w:pPr>
      <w:r>
        <w:rPr>
          <w:rFonts w:ascii="Arial" w:cs="Arial" w:eastAsia="Arial" w:hAnsi="Arial"/>
          <w:sz w:val="20"/>
          <w:szCs w:val="20"/>
        </w:rPr>
        <w:t xml:space="preserve">Toksyczność ostra:</w:t>
      </w:r>
    </w:p>
    <w:p>
      <w:pPr>
        <w:spacing w:after="80"/>
      </w:pPr>
      <w:r>
        <w:rPr>
          <w:rFonts w:ascii="Arial" w:cs="Arial" w:eastAsia="Arial" w:hAnsi="Arial"/>
          <w:sz w:val="20"/>
          <w:szCs w:val="20"/>
        </w:rPr>
        <w:t xml:space="preserve">ATE (drogi oddechowe / inhalacyjnie) mieszaniny: Nie sklasyfikowano (brak istotnego składnika)</w:t>
      </w:r>
    </w:p>
    <w:p>
      <w:pPr>
        <w:spacing w:after="80"/>
      </w:pPr>
      <w:r>
        <w:rPr>
          <w:rFonts w:ascii="Arial" w:cs="Arial" w:eastAsia="Arial" w:hAnsi="Arial"/>
          <w:sz w:val="20"/>
          <w:szCs w:val="20"/>
        </w:rPr>
        <w:t xml:space="preserve">ATE (droga pokarmowa / doustnie) mieszaniny: Nie sklasyfikowano (brak istotnego składnika)</w:t>
      </w:r>
    </w:p>
    <w:p>
      <w:pPr>
        <w:spacing w:after="80"/>
      </w:pPr>
      <w:r>
        <w:rPr>
          <w:rFonts w:ascii="Arial" w:cs="Arial" w:eastAsia="Arial" w:hAnsi="Arial"/>
          <w:sz w:val="20"/>
          <w:szCs w:val="20"/>
        </w:rPr>
        <w:t xml:space="preserve">ATE (na skórę) mieszaniny: Nie sklasyfikowano (brak istotnego składnika)</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LD50 (droga pokarmowa / doustnie):</w:t>
      </w:r>
      <w:r>
        <w:rPr>
          <w:rFonts w:ascii="Arial" w:cs="Arial" w:eastAsia="Arial" w:hAnsi="Arial"/>
          <w:sz w:val="20"/>
          <w:szCs w:val="20"/>
        </w:rPr>
        <w:t xml:space="preserve"> &gt; 5000 mg/kg (szczur)</w:t>
      </w:r>
    </w:p>
    <w:p>
      <w:pPr>
        <w:spacing w:after="60" w:before="60"/>
      </w:pPr>
      <w:r>
        <w:rPr>
          <w:rFonts w:ascii="Arial" w:cs="Arial" w:eastAsia="Arial" w:hAnsi="Arial"/>
          <w:b/>
          <w:bCs/>
          <w:sz w:val="20"/>
          <w:szCs w:val="20"/>
        </w:rPr>
        <w:t xml:space="preserve">- LC50 (drogi oddechowe, pary):</w:t>
      </w:r>
      <w:r>
        <w:rPr>
          <w:rFonts w:ascii="Arial" w:cs="Arial" w:eastAsia="Arial" w:hAnsi="Arial"/>
          <w:sz w:val="20"/>
          <w:szCs w:val="20"/>
        </w:rPr>
        <w:t xml:space="preserve"> &gt; 50 mg/l/4h (szczur)</w:t>
      </w:r>
    </w:p>
    <w:p>
      <w:pPr>
        <w:spacing w:after="80" w:before="150"/>
      </w:pPr>
      <w:r>
        <w:rPr>
          <w:rFonts w:ascii="Arial" w:cs="Arial" w:eastAsia="Arial" w:hAnsi="Arial"/>
          <w:b/>
          <w:bCs/>
          <w:sz w:val="20"/>
          <w:szCs w:val="20"/>
        </w:rPr>
        <w:t xml:space="preserve">aldehyd anyżowy (4-metoksybenzaldehyd) (CAS: 123-11-5):</w:t>
      </w:r>
    </w:p>
    <w:p>
      <w:pPr>
        <w:spacing w:after="60" w:before="60"/>
      </w:pPr>
      <w:r>
        <w:rPr>
          <w:rFonts w:ascii="Arial" w:cs="Arial" w:eastAsia="Arial" w:hAnsi="Arial"/>
          <w:b/>
          <w:bCs/>
          <w:sz w:val="20"/>
          <w:szCs w:val="20"/>
        </w:rPr>
        <w:t xml:space="preserve">- LD50 (na skórę):</w:t>
      </w:r>
      <w:r>
        <w:rPr>
          <w:rFonts w:ascii="Arial" w:cs="Arial" w:eastAsia="Arial" w:hAnsi="Arial"/>
          <w:sz w:val="20"/>
          <w:szCs w:val="20"/>
        </w:rPr>
        <w:t xml:space="preserve"> &gt; 5000 mg/kg (królik)</w:t>
      </w:r>
    </w:p>
    <w:p>
      <w:pPr>
        <w:spacing w:after="60" w:before="60"/>
      </w:pPr>
      <w:r>
        <w:rPr>
          <w:rFonts w:ascii="Arial" w:cs="Arial" w:eastAsia="Arial" w:hAnsi="Arial"/>
          <w:b/>
          <w:bCs/>
          <w:sz w:val="20"/>
          <w:szCs w:val="20"/>
        </w:rPr>
        <w:t xml:space="preserve">- LD50 (droga pokarmowa / doustnie):</w:t>
      </w:r>
      <w:r>
        <w:rPr>
          <w:rFonts w:ascii="Arial" w:cs="Arial" w:eastAsia="Arial" w:hAnsi="Arial"/>
          <w:sz w:val="20"/>
          <w:szCs w:val="20"/>
        </w:rPr>
        <w:t xml:space="preserve"> 3210 mg/kg (szczur)</w:t>
      </w:r>
    </w:p>
    <w:p>
      <w:pPr>
        <w:spacing w:after="60" w:before="60"/>
      </w:pPr>
      <w:r>
        <w:rPr>
          <w:rFonts w:ascii="Arial" w:cs="Arial" w:eastAsia="Arial" w:hAnsi="Arial"/>
          <w:b/>
          <w:bCs/>
          <w:sz w:val="20"/>
          <w:szCs w:val="20"/>
        </w:rPr>
        <w:t xml:space="preserve">- LC50 (drogi oddechowe, pary):</w:t>
      </w:r>
      <w:r>
        <w:rPr>
          <w:rFonts w:ascii="Arial" w:cs="Arial" w:eastAsia="Arial" w:hAnsi="Arial"/>
          <w:sz w:val="20"/>
          <w:szCs w:val="20"/>
        </w:rPr>
        <w:t xml:space="preserve"> 0,32 mg/l/7h (szczur)</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LD50 (na skórę):</w:t>
      </w:r>
      <w:r>
        <w:rPr>
          <w:rFonts w:ascii="Arial" w:cs="Arial" w:eastAsia="Arial" w:hAnsi="Arial"/>
          <w:sz w:val="20"/>
          <w:szCs w:val="20"/>
        </w:rPr>
        <w:t xml:space="preserve"> 293 mg/kg mc (szczur)</w:t>
      </w:r>
    </w:p>
    <w:p>
      <w:pPr>
        <w:spacing w:after="60" w:before="60"/>
      </w:pPr>
      <w:r>
        <w:rPr>
          <w:rFonts w:ascii="Arial" w:cs="Arial" w:eastAsia="Arial" w:hAnsi="Arial"/>
          <w:b/>
          <w:bCs/>
          <w:sz w:val="20"/>
          <w:szCs w:val="20"/>
        </w:rPr>
        <w:t xml:space="preserve">- LD50 (droga pokarmowa / doustnie):</w:t>
      </w:r>
      <w:r>
        <w:rPr>
          <w:rFonts w:ascii="Arial" w:cs="Arial" w:eastAsia="Arial" w:hAnsi="Arial"/>
          <w:sz w:val="20"/>
          <w:szCs w:val="20"/>
        </w:rPr>
        <w:t xml:space="preserve"> 290 mg/kg mc (szczur)</w:t>
      </w:r>
    </w:p>
    <w:p>
      <w:pPr>
        <w:spacing w:after="60" w:before="60"/>
      </w:pPr>
      <w:r>
        <w:rPr>
          <w:rFonts w:ascii="Arial" w:cs="Arial" w:eastAsia="Arial" w:hAnsi="Arial"/>
          <w:b/>
          <w:bCs/>
          <w:sz w:val="20"/>
          <w:szCs w:val="20"/>
        </w:rPr>
        <w:t xml:space="preserve">- LC50 (drogi oddechowe, pyły/mgły):</w:t>
      </w:r>
      <w:r>
        <w:rPr>
          <w:rFonts w:ascii="Arial" w:cs="Arial" w:eastAsia="Arial" w:hAnsi="Arial"/>
          <w:sz w:val="20"/>
          <w:szCs w:val="20"/>
        </w:rPr>
        <w:t xml:space="preserve"> 293 mg/kg (szczur)</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LD50 (na skórę):</w:t>
      </w:r>
      <w:r>
        <w:rPr>
          <w:rFonts w:ascii="Arial" w:cs="Arial" w:eastAsia="Arial" w:hAnsi="Arial"/>
          <w:sz w:val="20"/>
          <w:szCs w:val="20"/>
        </w:rPr>
        <w:t xml:space="preserve"> &gt; 2000 mg/kg (szczur)</w:t>
      </w:r>
    </w:p>
    <w:p>
      <w:pPr>
        <w:spacing w:after="60" w:before="60"/>
      </w:pPr>
      <w:r>
        <w:rPr>
          <w:rFonts w:ascii="Arial" w:cs="Arial" w:eastAsia="Arial" w:hAnsi="Arial"/>
          <w:b/>
          <w:bCs/>
          <w:sz w:val="20"/>
          <w:szCs w:val="20"/>
        </w:rPr>
        <w:t xml:space="preserve">- LD50 (droga pokarmowa / doustnie):</w:t>
      </w:r>
      <w:r>
        <w:rPr>
          <w:rFonts w:ascii="Arial" w:cs="Arial" w:eastAsia="Arial" w:hAnsi="Arial"/>
          <w:sz w:val="20"/>
          <w:szCs w:val="20"/>
        </w:rPr>
        <w:t xml:space="preserve"> 2930 mg/kg (szczur)</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LD50 (na skórę):</w:t>
      </w:r>
      <w:r>
        <w:rPr>
          <w:rFonts w:ascii="Arial" w:cs="Arial" w:eastAsia="Arial" w:hAnsi="Arial"/>
          <w:sz w:val="20"/>
          <w:szCs w:val="20"/>
        </w:rPr>
        <w:t xml:space="preserve"> &gt; 5000 mg/kg mc (królik)</w:t>
      </w:r>
    </w:p>
    <w:p>
      <w:pPr>
        <w:spacing w:after="60" w:before="60"/>
      </w:pPr>
      <w:r>
        <w:rPr>
          <w:rFonts w:ascii="Arial" w:cs="Arial" w:eastAsia="Arial" w:hAnsi="Arial"/>
          <w:b/>
          <w:bCs/>
          <w:sz w:val="20"/>
          <w:szCs w:val="20"/>
        </w:rPr>
        <w:t xml:space="preserve">- LD50 (droga pokarmowa / doustnie):</w:t>
      </w:r>
      <w:r>
        <w:rPr>
          <w:rFonts w:ascii="Arial" w:cs="Arial" w:eastAsia="Arial" w:hAnsi="Arial"/>
          <w:sz w:val="20"/>
          <w:szCs w:val="20"/>
        </w:rPr>
        <w:t xml:space="preserve"> &gt; 5000 mg/kg mc (szczur)</w:t>
      </w:r>
    </w:p>
    <w:p>
      <w:pPr>
        <w:spacing w:after="60" w:before="60"/>
      </w:pPr>
      <w:r>
        <w:rPr>
          <w:rFonts w:ascii="Arial" w:cs="Arial" w:eastAsia="Arial" w:hAnsi="Arial"/>
          <w:b/>
          <w:bCs/>
          <w:sz w:val="20"/>
          <w:szCs w:val="20"/>
        </w:rPr>
        <w:t xml:space="preserve">- LC50 (drogi oddechowe, pary):</w:t>
      </w:r>
      <w:r>
        <w:rPr>
          <w:rFonts w:ascii="Arial" w:cs="Arial" w:eastAsia="Arial" w:hAnsi="Arial"/>
          <w:sz w:val="20"/>
          <w:szCs w:val="20"/>
        </w:rPr>
        <w:t xml:space="preserve"> 100 ppm (człowiek)</w:t>
      </w:r>
    </w:p>
    <w:p>
      <w:pPr>
        <w:spacing w:after="80"/>
      </w:pPr>
      <w:r>
        <w:rPr>
          <w:rFonts w:ascii="Arial" w:cs="Arial" w:eastAsia="Arial" w:hAnsi="Arial"/>
          <w:sz w:val="20"/>
          <w:szCs w:val="20"/>
        </w:rPr>
        <w:t xml:space="preserve">Działanie żrące/drażniące na skórę:</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Poważne uszkodzenie oczu/działanie drażniące na oczy:</w:t>
      </w:r>
    </w:p>
    <w:p>
      <w:pPr>
        <w:spacing w:after="80"/>
      </w:pPr>
      <w:r>
        <w:rPr>
          <w:rFonts w:ascii="Arial" w:cs="Arial" w:eastAsia="Arial" w:hAnsi="Arial"/>
          <w:sz w:val="20"/>
          <w:szCs w:val="20"/>
        </w:rPr>
        <w:t xml:space="preserve">Działa drażniąco na oczy.</w:t>
      </w:r>
    </w:p>
    <w:p>
      <w:pPr>
        <w:spacing w:after="80"/>
      </w:pPr>
      <w:r>
        <w:rPr>
          <w:rFonts w:ascii="Arial" w:cs="Arial" w:eastAsia="Arial" w:hAnsi="Arial"/>
          <w:sz w:val="20"/>
          <w:szCs w:val="20"/>
        </w:rPr>
        <w:t xml:space="preserve">Działanie uczulające na drogi oddechowe lub skórę:</w:t>
      </w:r>
    </w:p>
    <w:p>
      <w:pPr>
        <w:spacing w:after="80"/>
      </w:pPr>
      <w:r>
        <w:rPr>
          <w:rFonts w:ascii="Arial" w:cs="Arial" w:eastAsia="Arial" w:hAnsi="Arial"/>
          <w:sz w:val="20"/>
          <w:szCs w:val="20"/>
        </w:rPr>
        <w:t xml:space="preserve">Może powodować wystąpienie reakcji alergicznej skóry.</w:t>
      </w:r>
    </w:p>
    <w:p>
      <w:pPr>
        <w:spacing w:after="80"/>
      </w:pPr>
      <w:r>
        <w:rPr>
          <w:rFonts w:ascii="Arial" w:cs="Arial" w:eastAsia="Arial" w:hAnsi="Arial"/>
          <w:sz w:val="20"/>
          <w:szCs w:val="20"/>
        </w:rPr>
        <w:t xml:space="preserve">Zawiera: kumarynę (2H-chromen-2-on).</w:t>
      </w:r>
    </w:p>
    <w:p>
      <w:pPr>
        <w:spacing w:after="80"/>
      </w:pPr>
      <w:r>
        <w:rPr>
          <w:rFonts w:ascii="Arial" w:cs="Arial" w:eastAsia="Arial" w:hAnsi="Arial"/>
          <w:sz w:val="20"/>
          <w:szCs w:val="20"/>
        </w:rPr>
        <w:t xml:space="preserve">Działanie mutagenne na komórki rozrodcze: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Rakotwórczość: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Toluen: Zaklasyfikowany do Grupy 3 (nie można zaklasyfikować jako rakotwórczy dla ludzi) przez Międzynarodową Agencję Badań nad Rakiem (IARC) - (IARC, 1999). Agencja Ochrony Środowiska USA (EPA) stwierdza, że „dane są niewystarczające do oceny potencjału rakotwórczego”.</w:t>
      </w:r>
    </w:p>
    <w:p>
      <w:pPr>
        <w:spacing w:after="80"/>
      </w:pPr>
      <w:r>
        <w:rPr>
          <w:rFonts w:ascii="Arial" w:cs="Arial" w:eastAsia="Arial" w:hAnsi="Arial"/>
          <w:sz w:val="20"/>
          <w:szCs w:val="20"/>
        </w:rPr>
        <w:t xml:space="preserve">Szkodliwe działanie na rozrodczość: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jednorazowe: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powtarzane: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Zagrożenie spowodowane aspiracją:</w:t>
      </w:r>
    </w:p>
    <w:p>
      <w:pPr>
        <w:spacing w:after="80"/>
      </w:pPr>
      <w:r>
        <w:rPr>
          <w:rFonts w:ascii="Arial" w:cs="Arial" w:eastAsia="Arial" w:hAnsi="Arial"/>
          <w:sz w:val="20"/>
          <w:szCs w:val="20"/>
        </w:rPr>
        <w:t xml:space="preserve">W oparciu o dostępne dane, kryteria klasyfikacji nie są spełnione.</w:t>
      </w:r>
    </w:p>
    <w:p>
      <w:pPr>
        <w:spacing w:after="100" w:before="200"/>
      </w:pPr>
      <w:r>
        <w:rPr>
          <w:rFonts w:ascii="Arial" w:cs="Arial" w:eastAsia="Arial" w:hAnsi="Arial"/>
          <w:b/>
          <w:bCs/>
          <w:sz w:val="20"/>
          <w:szCs w:val="20"/>
        </w:rPr>
        <w:t xml:space="preserve">11.2. Informacje o innych zagrożeniach</w:t>
      </w:r>
    </w:p>
    <w:p>
      <w:pPr>
        <w:spacing w:after="80"/>
      </w:pPr>
      <w:r>
        <w:rPr>
          <w:rFonts w:ascii="Arial" w:cs="Arial" w:eastAsia="Arial" w:hAnsi="Arial"/>
          <w:sz w:val="20"/>
          <w:szCs w:val="20"/>
        </w:rPr>
        <w:t xml:space="preserve">Właściwości zaburzające funkcjonowanie układu hormonalnego:</w:t>
      </w:r>
    </w:p>
    <w:p>
      <w:pPr>
        <w:spacing w:after="80"/>
      </w:pPr>
      <w:r>
        <w:rPr>
          <w:rFonts w:ascii="Arial" w:cs="Arial" w:eastAsia="Arial" w:hAnsi="Arial"/>
          <w:sz w:val="20"/>
          <w:szCs w:val="20"/>
        </w:rPr>
        <w:t xml:space="preserve">W oparciu o dostępne dane produkt nie zawiera substancji wymienionych w głównych europejskich wykazach potencjalnych lub podejrzewanych substancji zaburzających funkcjonowanie układu hormonalnego mających wpływ na zdrowie człowieka podlegających ocenie.</w:t>
      </w:r>
    </w:p>
    <w:p>
      <w:pPr>
        <w:spacing w:after="80"/>
      </w:pPr>
      <w:r>
        <w:rPr>
          <w:rFonts w:ascii="Arial" w:cs="Arial" w:eastAsia="Arial" w:hAnsi="Arial"/>
          <w:sz w:val="20"/>
          <w:szCs w:val="20"/>
        </w:rPr>
        <w:t xml:space="preserve">Inne informacje: Brak.</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nie została zaklasyfikowana jako stwarzająca zagrożenie dla środowiska.</w:t>
      </w:r>
    </w:p>
    <w:p>
      <w:pPr>
        <w:spacing w:after="80"/>
      </w:pPr>
      <w:r>
        <w:rPr>
          <w:rFonts w:ascii="Arial" w:cs="Arial" w:eastAsia="Arial" w:hAnsi="Arial"/>
          <w:sz w:val="20"/>
          <w:szCs w:val="20"/>
        </w:rPr>
        <w:t xml:space="preserve">Brak danych doświadczalnych dla mieszaniny.</w:t>
      </w:r>
    </w:p>
    <w:p>
      <w:pPr>
        <w:spacing w:after="80" w:before="150"/>
      </w:pPr>
      <w:r>
        <w:rPr>
          <w:rFonts w:ascii="Arial" w:cs="Arial" w:eastAsia="Arial" w:hAnsi="Arial"/>
          <w:b/>
          <w:bCs/>
          <w:sz w:val="20"/>
          <w:szCs w:val="20"/>
        </w:rPr>
        <w:t xml:space="preserve">Informacje ekotoksykologiczne o składnikach:</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14200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454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275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250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96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11,5 mg/l</w:t>
      </w:r>
    </w:p>
    <w:p>
      <w:pPr>
        <w:spacing w:after="80" w:before="150"/>
      </w:pPr>
      <w:r>
        <w:rPr>
          <w:rFonts w:ascii="Arial" w:cs="Arial" w:eastAsia="Arial" w:hAnsi="Arial"/>
          <w:b/>
          <w:bCs/>
          <w:sz w:val="20"/>
          <w:szCs w:val="20"/>
        </w:rPr>
        <w:t xml:space="preserve">aldehyd anyżowy (4-metoksybenzaldehyd) (CAS: 123-11-5):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148,32 mg/l/(96 h) Leuciscus idus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82,8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81,11 mg/l/(72 h) Desmodesmus subspicatus</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100 mg/l/(96 h) Leuciscus idus</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1,324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8,012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1,452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0,119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0,448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0,408 mg/l</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0,199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0,48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&gt; 0,4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0,053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0,15 mg/l</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5,5 mg/l/(96 h) Oncorhynchus kisutch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3,78 mg/l</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134 mg/l/(3 h) Chlorella vulgaris and Chlamydomonas angulosa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10 mg/l/(72 h) Skeletonema costatum</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Szybko ulega degradacji (substancja łatwo biodegradowalna). Rozpuszczalność w wodzie: 1000 - 10000 mg/l.</w:t>
      </w:r>
    </w:p>
    <w:p>
      <w:pPr>
        <w:spacing w:after="80"/>
      </w:pPr>
      <w:r>
        <w:rPr>
          <w:rFonts w:ascii="Arial" w:cs="Arial" w:eastAsia="Arial" w:hAnsi="Arial"/>
          <w:sz w:val="20"/>
          <w:szCs w:val="20"/>
        </w:rPr>
        <w:t xml:space="preserve">aldehyd anyżowy (4-metoksybenzaldehyd) (CAS: 123-11-5): Szybko ulega degradacji (substancja łatwo biodegradowalna).</w:t>
      </w:r>
    </w:p>
    <w:p>
      <w:pPr>
        <w:spacing w:after="80"/>
      </w:pPr>
      <w:r>
        <w:rPr>
          <w:rFonts w:ascii="Arial" w:cs="Arial" w:eastAsia="Arial" w:hAnsi="Arial"/>
          <w:sz w:val="20"/>
          <w:szCs w:val="20"/>
        </w:rPr>
        <w:t xml:space="preserve">kumaryna (2H-chromen-2-on) (CAS: 91-64-5): Szybko ulega degradacji (substancja łatwo biodegradowalna).</w:t>
      </w:r>
    </w:p>
    <w:p>
      <w:pPr>
        <w:spacing w:after="80"/>
      </w:pPr>
      <w:r>
        <w:rPr>
          <w:rFonts w:ascii="Arial" w:cs="Arial" w:eastAsia="Arial" w:hAnsi="Arial"/>
          <w:sz w:val="20"/>
          <w:szCs w:val="20"/>
        </w:rPr>
        <w:t xml:space="preserve">2,6-di-tert-butylo-4-metylofenol (BHT) (CAS: 128-37-0): Szybko ulega degradacji (substancja łatwo biodegradowalna).</w:t>
      </w:r>
    </w:p>
    <w:p>
      <w:pPr>
        <w:spacing w:after="80"/>
      </w:pPr>
      <w:r>
        <w:rPr>
          <w:rFonts w:ascii="Arial" w:cs="Arial" w:eastAsia="Arial" w:hAnsi="Arial"/>
          <w:sz w:val="20"/>
          <w:szCs w:val="20"/>
        </w:rPr>
        <w:t xml:space="preserve">toluen (CAS: 108-88-3): Szybko ulega degradacji (substancja łatwo biodegradowalna). Rozpuszczalność w wodzie: 100 - 1000 mg/l.</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współczynnik podziału n-oktanol/woda (log Kow): -0,35.</w:t>
      </w:r>
    </w:p>
    <w:p>
      <w:pPr>
        <w:spacing w:after="80"/>
      </w:pPr>
      <w:r>
        <w:rPr>
          <w:rFonts w:ascii="Arial" w:cs="Arial" w:eastAsia="Arial" w:hAnsi="Arial"/>
          <w:sz w:val="20"/>
          <w:szCs w:val="20"/>
        </w:rPr>
        <w:t xml:space="preserve">2,6-di-tert-butylo-4-metylofenol (BHT) (CAS: 128-37-0): współczynnik podziału n-oktanol/woda (log Kow): 5,1, współczynnik biokoncentracji BCF = 598,4.</w:t>
      </w:r>
    </w:p>
    <w:p>
      <w:pPr>
        <w:spacing w:after="80"/>
      </w:pPr>
      <w:r>
        <w:rPr>
          <w:rFonts w:ascii="Arial" w:cs="Arial" w:eastAsia="Arial" w:hAnsi="Arial"/>
          <w:sz w:val="20"/>
          <w:szCs w:val="20"/>
        </w:rPr>
        <w:t xml:space="preserve">toluen (CAS: 108-88-3): współczynnik podziału n-oktanol/woda (log Kow): 2,73, współczynnik biokoncentracji BCF = 90.</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aldehyd anyżowy (4-metoksybenzaldehyd) (CAS: 123-11-5): współczynnik podziału gleba/woda (Koc): 1.</w:t>
      </w:r>
    </w:p>
    <w:p>
      <w:pPr>
        <w:spacing w:after="80"/>
      </w:pPr>
      <w:r>
        <w:rPr>
          <w:rFonts w:ascii="Arial" w:cs="Arial" w:eastAsia="Arial" w:hAnsi="Arial"/>
          <w:sz w:val="20"/>
          <w:szCs w:val="20"/>
        </w:rPr>
        <w:t xml:space="preserve">2,6-di-tert-butylo-4-metylofenol (BHT) (CAS: 128-37-0): współczynnik podziału gleba/woda (Koc): 4,2.</w:t>
      </w:r>
    </w:p>
    <w:p>
      <w:pPr>
        <w:spacing w:after="80"/>
      </w:pPr>
      <w:r>
        <w:rPr>
          <w:rFonts w:ascii="Arial" w:cs="Arial" w:eastAsia="Arial" w:hAnsi="Arial"/>
          <w:sz w:val="20"/>
          <w:szCs w:val="20"/>
        </w:rPr>
        <w:t xml:space="preserve">toluen (CAS: 108-88-3): współczynnik podziału gleba/woda (Koc): 2,31.</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60" w:before="60"/>
      </w:pPr>
      <w:r>
        <w:rPr>
          <w:rFonts w:ascii="Arial" w:cs="Arial" w:eastAsia="Arial" w:hAnsi="Arial"/>
          <w:b/>
          <w:bCs/>
          <w:sz w:val="20"/>
          <w:szCs w:val="20"/>
        </w:rPr>
        <w:t xml:space="preserve">- Odpady z produktu (dla zastosowań profesjonalnych / przemysłowych):</w:t>
      </w:r>
      <w:r>
        <w:rPr>
          <w:rFonts w:ascii="Arial" w:cs="Arial" w:eastAsia="Arial" w:hAnsi="Arial"/>
          <w:sz w:val="20"/>
          <w:szCs w:val="20"/>
        </w:rPr>
        <w:t xml:space="preserve"> 16 03 05* (Organiczne odpady zawierające substancje niebezpieczne) lub 16 05 08* (Zużyte chemikalia zawierające substancje niebezpieczne).</w:t>
      </w:r>
    </w:p>
    <w:p>
      <w:pPr>
        <w:spacing w:after="60" w:before="60"/>
      </w:pPr>
      <w:r>
        <w:rPr>
          <w:rFonts w:ascii="Arial" w:cs="Arial" w:eastAsia="Arial" w:hAnsi="Arial"/>
          <w:b/>
          <w:bCs/>
          <w:sz w:val="20"/>
          <w:szCs w:val="20"/>
        </w:rPr>
        <w:t xml:space="preserve">- Odpady z produktu (dla konsumentów / odpady komunalne):</w:t>
      </w:r>
      <w:r>
        <w:rPr>
          <w:rFonts w:ascii="Arial" w:cs="Arial" w:eastAsia="Arial" w:hAnsi="Arial"/>
          <w:sz w:val="20"/>
          <w:szCs w:val="20"/>
        </w:rPr>
        <w:t xml:space="preserve"> 20 01 29* (Detergenty zawierające substancje niebezpieczne) lub 20 01 27*.</w:t>
      </w:r>
    </w:p>
    <w:p>
      <w:pPr>
        <w:spacing w:after="60" w:before="60"/>
      </w:pPr>
      <w:r>
        <w:rPr>
          <w:rFonts w:ascii="Arial" w:cs="Arial" w:eastAsia="Arial" w:hAnsi="Arial"/>
          <w:b/>
          <w:bCs/>
          <w:sz w:val="20"/>
          <w:szCs w:val="20"/>
        </w:rPr>
        <w:t xml:space="preserve">- Odpady opakowaniowe:</w:t>
      </w:r>
      <w:r>
        <w:rPr>
          <w:rFonts w:ascii="Arial" w:cs="Arial" w:eastAsia="Arial" w:hAnsi="Arial"/>
          <w:sz w:val="20"/>
          <w:szCs w:val="20"/>
        </w:rPr>
        <w:t xml:space="preserv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80" w:before="200"/>
      </w:pPr>
      <w:r>
        <w:rPr>
          <w:rFonts w:ascii="Arial" w:cs="Arial" w:eastAsia="Arial" w:hAnsi="Arial"/>
          <w:b/>
          <w:bCs/>
          <w:sz w:val="20"/>
          <w:szCs w:val="20"/>
        </w:rPr>
        <w:t xml:space="preserve">14.3. Klasa(-y) zagrożenia w transporcie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ADR / RID, IMDG, IATA: Klasa 3 (Materiały ciekłe zapalne)</w:t>
      </w:r>
    </w:p>
    <w:p>
      <w:pPr>
        <w:spacing w:after="80" w:before="80"/>
      </w:pPr>
      <w:r>
        <w:rPr>
          <w:rFonts w:ascii="Arial" w:cs="Arial" w:eastAsia="Arial" w:hAnsi="Arial"/>
          <w:b/>
          <w:bCs/>
          <w:sz w:val="20"/>
          <w:szCs w:val="20"/>
        </w:rPr>
        <w:t xml:space="preserve">Nalepka ostrzegawcza:</w:t>
      </w:r>
      <w:r>
        <w:rPr>
          <w:rFonts w:ascii="Arial" w:cs="Arial" w:eastAsia="Arial" w:hAnsi="Arial"/>
          <w:sz w:val="20"/>
          <w:szCs w:val="20"/>
        </w:rPr>
        <w:t xml:space="preserve"> Nr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60" w:before="80"/>
      </w:pPr>
      <w:r>
        <w:rPr>
          <w:rFonts w:ascii="Arial" w:cs="Arial" w:eastAsia="Arial" w:hAnsi="Arial"/>
          <w:b/>
          <w:bCs/>
          <w:sz w:val="20"/>
          <w:szCs w:val="20"/>
        </w:rPr>
        <w:t xml:space="preserve">Ilości ograniczone (LQ): </w:t>
      </w:r>
      <w:r>
        <w:rPr>
          <w:rFonts w:ascii="Arial" w:cs="Arial" w:eastAsia="Arial" w:hAnsi="Arial"/>
          <w:sz w:val="20"/>
          <w:szCs w:val="20"/>
        </w:rPr>
        <w:t xml:space="preserve">1 l</w:t>
      </w:r>
    </w:p>
    <w:p>
      <w:pPr>
        <w:spacing w:after="80" w:before="40"/>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r>
        <w:rPr>
          <w:rFonts w:ascii="Arial" w:cs="Arial" w:eastAsia="Arial" w:hAnsi="Arial"/>
          <w:i/>
          <w:iCs/>
          <w:sz w:val="16"/>
          <w:szCs w:val="16"/>
        </w:rPr>
        <w:t xml:space="preserve">  Znak dla towarów pakowanych w ilościach ograniczonych (LQ) zgodnie z działem 3.4 Umowy ADR</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60" w:before="60"/>
      </w:pPr>
      <w:r>
        <w:rPr>
          <w:rFonts w:ascii="Arial" w:cs="Arial" w:eastAsia="Arial" w:hAnsi="Arial"/>
          <w:b/>
          <w:bCs/>
          <w:sz w:val="20"/>
          <w:szCs w:val="20"/>
        </w:rPr>
        <w:t xml:space="preserve">- Substancje wzbudzające szczególnie duże obawy (SVHC – REACH załącznik XIV):</w:t>
      </w:r>
      <w:r>
        <w:rPr>
          <w:rFonts w:ascii="Arial" w:cs="Arial" w:eastAsia="Arial" w:hAnsi="Arial"/>
          <w:sz w:val="20"/>
          <w:szCs w:val="20"/>
        </w:rPr>
        <w:t xml:space="preserve"> Mieszanina nie zawiera substancji z listy kandydackiej SVHC podlegających procedurze udzielania zezwoleń (REACH załącznik XIV) w stężeniu ≥ 0,1% wag.</w:t>
      </w:r>
    </w:p>
    <w:p>
      <w:pPr>
        <w:spacing w:after="60" w:before="60"/>
      </w:pPr>
      <w:r>
        <w:rPr>
          <w:rFonts w:ascii="Arial" w:cs="Arial" w:eastAsia="Arial" w:hAnsi="Arial"/>
          <w:b/>
          <w:bCs/>
          <w:sz w:val="20"/>
          <w:szCs w:val="20"/>
        </w:rPr>
        <w:t xml:space="preserve">- Ograniczenia dotyczące produkcji, wprowadzania do obrotu i stosowania niektórych niebezpiecznych substancji (REACH załącznik XVII):</w:t>
      </w:r>
      <w:r>
        <w:rPr>
          <w:rFonts w:ascii="Arial" w:cs="Arial" w:eastAsia="Arial" w:hAnsi="Arial"/>
          <w:sz w:val="20"/>
          <w:szCs w:val="20"/>
        </w:rPr>
        <w:t xml:space="preserve"/>
      </w:r>
    </w:p>
    <w:p>
      <w:pPr>
        <w:spacing w:after="80"/>
      </w:pPr>
      <w:r>
        <w:rPr>
          <w:rFonts w:ascii="Arial" w:cs="Arial" w:eastAsia="Arial" w:hAnsi="Arial"/>
          <w:sz w:val="20"/>
          <w:szCs w:val="20"/>
        </w:rPr>
        <w:t xml:space="preserve">* Produkt podlega ograniczeniom wynikającym z pozycji 3 (Ciekłe substancje lub mieszaniny stwarzające zagrożenie w rozumieniu rozporządzenia CLP) oraz pozycji 40 (Substancje zaklasyfikowane jako ciecze łatwopalne kategorii 1, 2 lub 3).</w:t>
      </w:r>
    </w:p>
    <w:p>
      <w:pPr>
        <w:spacing w:after="80"/>
      </w:pPr>
      <w:r>
        <w:rPr>
          <w:rFonts w:ascii="Arial" w:cs="Arial" w:eastAsia="Arial" w:hAnsi="Arial"/>
          <w:sz w:val="20"/>
          <w:szCs w:val="20"/>
        </w:rPr>
        <w:t xml:space="preserve">* Substancje zawarte w mieszaninie podlegają ograniczeniom wynikającym z pozycji 75 (Substancje w tuszach do tatuażu i makijażu permanentnego).</w:t>
      </w:r>
    </w:p>
    <w:p>
      <w:pPr>
        <w:spacing w:after="60" w:before="60"/>
      </w:pPr>
      <w:r>
        <w:rPr>
          <w:rFonts w:ascii="Arial" w:cs="Arial" w:eastAsia="Arial" w:hAnsi="Arial"/>
          <w:b/>
          <w:bCs/>
          <w:sz w:val="20"/>
          <w:szCs w:val="20"/>
        </w:rPr>
        <w:t xml:space="preserve">- Dyrektywa Seveso III (2012/18/UE) / Rozporządzenie Ministra Rozwoju z dnia 29 stycznia 2016 r. (Dz.U. 2016 poz. 138):</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Kategoria zagrożenia:</w:t>
      </w:r>
      <w:r>
        <w:rPr>
          <w:rFonts w:ascii="Arial" w:cs="Arial" w:eastAsia="Arial" w:hAnsi="Arial"/>
          <w:sz w:val="20"/>
          <w:szCs w:val="20"/>
        </w:rPr>
        <w:t xml:space="preserve"> P5c CIECZE ŁATWOPALNE.</w:t>
      </w:r>
    </w:p>
    <w:p>
      <w:pPr>
        <w:spacing w:after="60" w:before="60"/>
      </w:pPr>
      <w:r>
        <w:rPr>
          <w:rFonts w:ascii="Arial" w:cs="Arial" w:eastAsia="Arial" w:hAnsi="Arial"/>
          <w:b/>
          <w:bCs/>
          <w:sz w:val="20"/>
          <w:szCs w:val="20"/>
        </w:rPr>
        <w:t xml:space="preserve">* Ilości progowe substancji niebezpiecznych decydujące o zaliczeniu zakładu:</w:t>
      </w:r>
      <w:r>
        <w:rPr>
          <w:rFonts w:ascii="Arial" w:cs="Arial" w:eastAsia="Arial" w:hAnsi="Arial"/>
          <w:sz w:val="20"/>
          <w:szCs w:val="20"/>
        </w:rPr>
        <w:t xml:space="preserve"> Zakład o Zwiększonym Ryzyku (ZZR) – 5 000 t; Zakład o Dużym Ryzyku (ZDR) – 50 000 t.</w:t>
      </w:r>
    </w:p>
    <w:p>
      <w:pPr>
        <w:spacing w:after="60" w:before="60"/>
      </w:pPr>
      <w:r>
        <w:rPr>
          <w:rFonts w:ascii="Arial" w:cs="Arial" w:eastAsia="Arial" w:hAnsi="Arial"/>
          <w:b/>
          <w:bCs/>
          <w:sz w:val="20"/>
          <w:szCs w:val="20"/>
        </w:rPr>
        <w:t xml:space="preserve">- Rozporządzenie Parlamentu Europejskiego i Rady (UE) nr 649/2012 z dnia 4 lipca 2012 r. dotyczące wywozu i przywozu niebezpiecznych chemikaliów (PIC):</w:t>
      </w:r>
      <w:r>
        <w:rPr>
          <w:rFonts w:ascii="Arial" w:cs="Arial" w:eastAsia="Arial" w:hAnsi="Arial"/>
          <w:sz w:val="20"/>
          <w:szCs w:val="20"/>
        </w:rPr>
        <w:t xml:space="preserve">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kumarynę (2H-chromen-2-on).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60" w:before="60"/>
      </w:pPr>
      <w:r>
        <w:rPr>
          <w:rFonts w:ascii="Arial" w:cs="Arial" w:eastAsia="Arial" w:hAnsi="Arial"/>
          <w:b/>
          <w:bCs/>
          <w:sz w:val="20"/>
          <w:szCs w:val="20"/>
        </w:rPr>
        <w:t xml:space="preserve">- Baza danych Europejskiej Agencji Chemikaliów (ECHA):</w:t>
      </w:r>
      <w:r>
        <w:rPr>
          <w:rFonts w:ascii="Arial" w:cs="Arial" w:eastAsia="Arial" w:hAnsi="Arial"/>
          <w:sz w:val="20"/>
          <w:szCs w:val="20"/>
        </w:rPr>
        <w:t xml:space="preserve"> https://echa.europa.eu/</w:t>
      </w:r>
    </w:p>
    <w:p>
      <w:pPr>
        <w:spacing w:after="60" w:before="60"/>
      </w:pPr>
      <w:r>
        <w:rPr>
          <w:rFonts w:ascii="Arial" w:cs="Arial" w:eastAsia="Arial" w:hAnsi="Arial"/>
          <w:b/>
          <w:bCs/>
          <w:sz w:val="20"/>
          <w:szCs w:val="20"/>
        </w:rPr>
        <w:t xml:space="preserve">- Baza danych PubChem National Library of Medicine:</w:t>
      </w:r>
      <w:r>
        <w:rPr>
          <w:rFonts w:ascii="Arial" w:cs="Arial" w:eastAsia="Arial" w:hAnsi="Arial"/>
          <w:sz w:val="20"/>
          <w:szCs w:val="20"/>
        </w:rPr>
        <w:t xml:space="preserv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(wersja 1.0 PL) stanowi wydanie pierwsze w języku polskim, opracowane na podstawie karty charakterystyki SDS producenta z dnia 14.02.2025 r.</w:t>
      </w:r>
    </w:p>
    <w:p>
      <w:pPr>
        <w:spacing w:after="80"/>
      </w:pPr>
      <w:r>
        <w:rPr>
          <w:rFonts w:ascii="Arial" w:cs="Arial" w:eastAsia="Arial" w:hAnsi="Arial"/>
          <w:sz w:val="20"/>
          <w:szCs w:val="20"/>
        </w:rPr>
        <w:t xml:space="preserve">Aktualizacja została sporządzona i dostosowana zgodnie z wymogami Rozporządzenia Komisji (UE) 2020/878 z dnia 18 czerwca 2020 r. zmieniającego załącznik II do rozporządzenia (WE) nr 1907/2006 (REACH) oraz przepisami prawa Rzeczypospolitej Polskiej.</w:t>
      </w:r>
    </w:p>
    <w:p>
      <w:pPr>
        <w:spacing w:after="80"/>
      </w:pPr>
      <w:r>
        <w:rPr>
          <w:rFonts w:ascii="Arial" w:cs="Arial" w:eastAsia="Arial" w:hAnsi="Arial"/>
          <w:sz w:val="20"/>
          <w:szCs w:val="20"/>
        </w:rPr>
        <w:t xml:space="preserve">Główne zmiany wprowadzone w bieżącej wersji obejmują:</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danych dostawcy karty w Rzeczypospolitej Polskiej na ITALLUX Sp. z o.o. (ul. Wesoła 16, 63-600 Kępno, www.prostozwloch.pl).</w:t>
      </w:r>
    </w:p>
    <w:p>
      <w:pPr>
        <w:spacing w:after="60" w:before="60"/>
      </w:pPr>
      <w:r>
        <w:rPr>
          <w:rFonts w:ascii="Arial" w:cs="Arial" w:eastAsia="Arial" w:hAnsi="Arial"/>
          <w:b/>
          <w:bCs/>
          <w:sz w:val="20"/>
          <w:szCs w:val="20"/>
        </w:rPr>
        <w:t xml:space="preserve">- Sekcja 8.1:</w:t>
      </w:r>
      <w:r>
        <w:rPr>
          <w:rFonts w:ascii="Arial" w:cs="Arial" w:eastAsia="Arial" w:hAnsi="Arial"/>
          <w:sz w:val="20"/>
          <w:szCs w:val="20"/>
        </w:rPr>
        <w:t xml:space="preserve"> Weryfikacja i implementacja krajowych norm higienicznych w środowisku pracy (NDS, NDSCh) na podstawie Rozporządzenia MRPiPS (Dz.U. 2018 poz. 1286 z późn. zm.).</w:t>
      </w:r>
    </w:p>
    <w:p>
      <w:pPr>
        <w:spacing w:after="60" w:before="60"/>
      </w:pPr>
      <w:r>
        <w:rPr>
          <w:rFonts w:ascii="Arial" w:cs="Arial" w:eastAsia="Arial" w:hAnsi="Arial"/>
          <w:b/>
          <w:bCs/>
          <w:sz w:val="20"/>
          <w:szCs w:val="20"/>
        </w:rPr>
        <w:t xml:space="preserve">- Sekcja 11.2 i 12.6:</w:t>
      </w:r>
      <w:r>
        <w:rPr>
          <w:rFonts w:ascii="Arial" w:cs="Arial" w:eastAsia="Arial" w:hAnsi="Arial"/>
          <w:sz w:val="20"/>
          <w:szCs w:val="20"/>
        </w:rPr>
        <w:t xml:space="preserve"> Wdrożenie obligatoryjnych podsekcji dotyczących właściwości zaburzających funkcjonowanie układu hormonalnego.</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klasyfikacji i 6-cyfrowych kodów odpadów zgodnie z ustawą o odpadach i Dz.U. 2020 poz. 10.</w:t>
      </w:r>
    </w:p>
    <w:p>
      <w:pPr>
        <w:spacing w:after="60" w:before="60"/>
      </w:pPr>
      <w:r>
        <w:rPr>
          <w:rFonts w:ascii="Arial" w:cs="Arial" w:eastAsia="Arial" w:hAnsi="Arial"/>
          <w:b/>
          <w:bCs/>
          <w:sz w:val="20"/>
          <w:szCs w:val="20"/>
        </w:rPr>
        <w:t xml:space="preserve">- Sekcja 14:</w:t>
      </w:r>
      <w:r>
        <w:rPr>
          <w:rFonts w:ascii="Arial" w:cs="Arial" w:eastAsia="Arial" w:hAnsi="Arial"/>
          <w:sz w:val="20"/>
          <w:szCs w:val="20"/>
        </w:rPr>
        <w:t xml:space="preserve"> Weryfikacja i zharmonizowanie warunków przewozu zgodnie z Umową ADR.</w:t>
      </w:r>
    </w:p>
    <w:p>
      <w:pPr>
        <w:spacing w:after="80" w:before="150"/>
      </w:pPr>
      <w:r>
        <w:rPr>
          <w:rFonts w:ascii="Arial" w:cs="Arial" w:eastAsia="Arial" w:hAnsi="Arial"/>
          <w:b/>
          <w:bCs/>
          <w:sz w:val="20"/>
          <w:szCs w:val="20"/>
        </w:rPr>
        <w:t xml:space="preserve">Klauzula prawna i ochrona praw autorskich:</w:t>
      </w:r>
    </w:p>
    <w:p>
      <w:pPr>
        <w:spacing w:after="80"/>
      </w:pPr>
      <w:r>
        <w:rPr>
          <w:rFonts w:ascii="Arial" w:cs="Arial" w:eastAsia="Arial" w:hAnsi="Arial"/>
          <w:sz w:val="20"/>
          <w:szCs w:val="20"/>
        </w:rPr>
        <w:t xml:space="preserve">Niniejsze autorskie opracowanie tłumaczenia, formatowania oraz adaptacji regulacyjnej do prawa polskiego stanowi własność intelektualną firmy ITALLUX Sp. z o.o.. Kopiowanie i wykorzystywanie całości lub fragmentów w celach komercyjnych przez podmioty trzecie bez uprzedniej zgody właściciela jest zabronione. Dozwolone jest wykorzystanie dokumentu przez odbiorców w łańcuchu dostaw do celów bezpieczeństwa pracy i ochrony zdrowia.</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color="E5E7EB" w:sz="4" w:space="4"/>
      </w:pBdr>
      <w:spacing w:before="120"/>
      <w:jc w:val="right"/>
    </w:pPr>
    <w:r>
      <w:rPr>
        <w:rFonts w:ascii="Arial" w:cs="Arial" w:eastAsia="Arial" w:hAnsi="Arial"/>
        <w:color w:val="555555"/>
        <w:sz w:val="16"/>
        <w:szCs w:val="16"/>
      </w:rPr>
      <w:t xml:space="preserve">Dystrybutor: ITALLUX Sp. z o.o. | </w:t>
    </w:r>
    <w:r>
      <w:rPr>
        <w:rFonts w:ascii="Arial" w:cs="Arial" w:eastAsia="Arial" w:hAnsi="Arial"/>
        <w:color w:val="555555"/>
        <w:sz w:val="16"/>
        <w:szCs w:val="16"/>
      </w:rPr>
      <w:t xml:space="preserve">Strona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z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color="E5E7EB" w:sz="4" w:space="4"/>
      </w:pBdr>
      <w:spacing w:after="120"/>
      <w:jc w:val="right"/>
    </w:pPr>
    <w:r>
      <w:rPr>
        <w:rFonts w:ascii="Arial" w:cs="Arial" w:eastAsia="Arial" w:hAnsi="Arial"/>
        <w:color w:val="555555"/>
        <w:sz w:val="16"/>
        <w:szCs w:val="16"/>
      </w:rPr>
      <w:t xml:space="preserve">KARTA CHARAKTERYSTYKI | SWEET HOME - PROFUMATORE AMBIENTE ORCHIDEA E VANIGLIA V2 | Wersja: 1.0 PL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df4620fc619cfcec683facca7e88bc7fd37dd8.undefined"/><Relationship Id="rId10" Type="http://schemas.openxmlformats.org/officeDocument/2006/relationships/image" Target="media/ab3b38ff5aec5db8cf291d921b1836a765ff072f.undefined"/><Relationship Id="rId11" Type="http://schemas.openxmlformats.org/officeDocument/2006/relationships/image" Target="media/bb4e46ba2799965d0181b8cc93349251770e4a8c.undefined"/><Relationship Id="rId12" Type="http://schemas.openxmlformats.org/officeDocument/2006/relationships/image" Target="media/40ebfa5564939c27d85f5e4019dc884a31c847f6.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2026-09-16T07:16:26.257Z</dcterms:created>
  <dcterms:modified xsi:type="dcterms:W3CDTF">2026-09-16T07:16:26.257Z</dcterms:modified>
</cp:coreProperties>
</file>

<file path=docProps/custom.xml><?xml version="1.0" encoding="utf-8"?>
<Properties xmlns="http://schemas.openxmlformats.org/officeDocument/2006/custom-properties" xmlns:vt="http://schemas.openxmlformats.org/officeDocument/2006/docPropsVTypes"/>
</file>