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KARTA CHARAKTERYSTYKI</w:t>
      </w:r>
    </w:p>
    <w:p>
      <w:pPr>
        <w:spacing w:after="180"/>
      </w:pPr>
      <w:r>
        <w:rPr>
          <w:rFonts w:ascii="Arial" w:cs="Arial" w:eastAsia="Arial" w:hAnsi="Arial"/>
          <w:i/>
          <w:iCs/>
          <w:color w:val="444444"/>
          <w:sz w:val="16"/>
          <w:szCs w:val="16"/>
        </w:rPr>
        <w:t xml:space="preserve">[Sporządzona zgodnie z Rozporządzeniem (WE) nr 1907/2006 (REACH), zmienionym Rozporządzeniem Komisji (UE) 2020/878]</w:t>
      </w:r>
    </w:p>
    <w:tbl>
      <w:tblPr>
        <w:tblW w:type="dxa" w:w="9600"/>
        <w:tblBorders>
          <w:top w:color="00A651" w:sz="12" w:space="4"/>
          <w:left/>
          <w:bottom w:color="00A651" w:sz="12" w:space="4"/>
          <w:right/>
          <w:insideH/>
          <w:insideV/>
        </w:tblBorders>
      </w:tblPr>
      <w:tblGrid>
        <w:gridCol w:w="100"/>
        <w:gridCol w:w="100"/>
      </w:tblGrid>
      <w:tr>
        <w:tc>
          <w:tcPr>
            <w:tcW w:type="dxa" w:w="4800"/>
            <w:shd w:fill="F9FA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Data sporządzenia: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07.03.2026</w:t>
            </w:r>
          </w:p>
        </w:tc>
        <w:tc>
          <w:tcPr>
            <w:tcW w:type="dxa" w:w="4800"/>
            <w:shd w:fill="F9FA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Wersja: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1.0 PL</w:t>
            </w:r>
          </w:p>
        </w:tc>
      </w:tr>
      <w:tr>
        <w:tc>
          <w:tcPr>
            <w:tcW w:type="dxa" w:w="4800"/>
            <w:shd w:fill="F9FAFB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Aktualizacja: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Nie dotyczy</w:t>
            </w:r>
          </w:p>
        </w:tc>
        <w:tc>
          <w:tcPr>
            <w:tcW w:type="dxa" w:w="4800"/>
            <w:shd w:fill="F9FAFB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Zastępuje wersję: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Brak</w:t>
            </w:r>
          </w:p>
        </w:tc>
      </w:tr>
    </w:tbl>
    <w:p>
      <w:pPr>
        <w:spacing w:after="200"/>
      </w:pP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1: IDENTYFIKACJA SUBSTANCJI/MIESZANINY I IDENTYFIKACJA PRZEDSIĘBIORSTWA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1.1. Identyfikator produktu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Nazwa handlowa: </w:t>
      </w:r>
      <w:r>
        <w:rPr>
          <w:rFonts w:ascii="Arial" w:cs="Arial" w:eastAsia="Arial" w:hAnsi="Arial"/>
          <w:sz w:val="19"/>
          <w:szCs w:val="19"/>
        </w:rPr>
        <w:t xml:space="preserve">SWEET HOME LAYALI - PERFUMY DO TKANIN I POMIESZCZEŃ NAJMA (SWEET HOME LAYALI PROFUMA TESSUTI E AMBIENTE NAJMA)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Kod produktu: </w:t>
      </w:r>
      <w:r>
        <w:rPr>
          <w:rFonts w:ascii="Arial" w:cs="Arial" w:eastAsia="Arial" w:hAnsi="Arial"/>
          <w:sz w:val="19"/>
          <w:szCs w:val="19"/>
        </w:rPr>
        <w:t xml:space="preserve">BLK2084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UFI: </w:t>
      </w:r>
      <w:r>
        <w:rPr>
          <w:rFonts w:ascii="Arial" w:cs="Arial" w:eastAsia="Arial" w:hAnsi="Arial"/>
          <w:sz w:val="19"/>
          <w:szCs w:val="19"/>
        </w:rPr>
        <w:t xml:space="preserve">AJAD-RP52-PA98-ME4H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1.2. Istotne zidentyfikowane zastosowania substancji lub mieszaniny oraz zastosowania odradzane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Zastosowanie zidentyfikowane: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Produkt konsumencki. Płyn zapachowy / perfumy do prania, tkanin i pomieszczeń.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Zastosowania odradzane: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 stosować do celów innych niż wskazane.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1.3. Dane dotyczące dostawcy karty charakterystyki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Firma: </w:t>
      </w:r>
      <w:r>
        <w:rPr>
          <w:rFonts w:ascii="Arial" w:cs="Arial" w:eastAsia="Arial" w:hAnsi="Arial"/>
          <w:sz w:val="19"/>
          <w:szCs w:val="19"/>
        </w:rPr>
        <w:t xml:space="preserve">ITALLUX Sp. z o.o.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Adres: </w:t>
      </w:r>
      <w:r>
        <w:rPr>
          <w:rFonts w:ascii="Arial" w:cs="Arial" w:eastAsia="Arial" w:hAnsi="Arial"/>
          <w:sz w:val="19"/>
          <w:szCs w:val="19"/>
        </w:rPr>
        <w:t xml:space="preserve">ul. Wesoła 16, 63-600 Kępno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Strona www: </w:t>
      </w:r>
      <w:r>
        <w:rPr>
          <w:rFonts w:ascii="Arial" w:cs="Arial" w:eastAsia="Arial" w:hAnsi="Arial"/>
          <w:sz w:val="19"/>
          <w:szCs w:val="19"/>
        </w:rPr>
        <w:t xml:space="preserve">www.prostozwloch.com.pl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E-mail: </w:t>
      </w:r>
      <w:r>
        <w:rPr>
          <w:rFonts w:ascii="Arial" w:cs="Arial" w:eastAsia="Arial" w:hAnsi="Arial"/>
          <w:sz w:val="19"/>
          <w:szCs w:val="19"/>
        </w:rPr>
        <w:t xml:space="preserve">kontakt@prostozwloch.com.pl</w:t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Telefon: </w:t>
      </w:r>
      <w:r>
        <w:rPr>
          <w:rFonts w:ascii="Arial" w:cs="Arial" w:eastAsia="Arial" w:hAnsi="Arial"/>
          <w:sz w:val="19"/>
          <w:szCs w:val="19"/>
        </w:rPr>
        <w:t xml:space="preserve">+48 663116607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1.4. Numer telefonu alarmowego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Telefon alarmowy przedsiębiorstwa: </w:t>
      </w:r>
      <w:r>
        <w:rPr>
          <w:rFonts w:ascii="Arial" w:cs="Arial" w:eastAsia="Arial" w:hAnsi="Arial"/>
          <w:sz w:val="19"/>
          <w:szCs w:val="19"/>
        </w:rPr>
        <w:t xml:space="preserve">+48 663116607 (czynny od poniedziałku do piątku w godzinach 8:00 – 16:00, informacja udzielana w języku polskim)</w:t>
      </w:r>
    </w:p>
    <w:p>
      <w:pPr>
        <w:spacing w:after="5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Informacja toksykologiczna w Polsce (organ doradczy):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Krajowe Centrum Informacji Toksykologicznej (Instytut Medycyny Pracy im. prof. J. Nofera w Łodzi): </w:t>
      </w:r>
      <w:r>
        <w:rPr>
          <w:rFonts w:ascii="Arial" w:cs="Arial" w:eastAsia="Arial" w:hAnsi="Arial"/>
          <w:sz w:val="19"/>
          <w:szCs w:val="19"/>
        </w:rPr>
        <w:t xml:space="preserve">tel. +48 42 631 47 24, +48 42 631 47 25 (czynne w dni robocze w godz. 7:00 – 15:00)</w:t>
      </w:r>
    </w:p>
    <w:p>
      <w:p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Ośrodek Informacji Toksykologicznej w Warszawie (całodobowa informacja toksykologiczna 24/7): </w:t>
      </w:r>
      <w:r>
        <w:rPr>
          <w:rFonts w:ascii="Arial" w:cs="Arial" w:eastAsia="Arial" w:hAnsi="Arial"/>
          <w:sz w:val="19"/>
          <w:szCs w:val="19"/>
        </w:rPr>
        <w:t xml:space="preserve">tel. +48 22 619 66 54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Ogólne telefony ratunkowe w nagłych wypadkach: </w:t>
      </w:r>
      <w:r>
        <w:rPr>
          <w:rFonts w:ascii="Arial" w:cs="Arial" w:eastAsia="Arial" w:hAnsi="Arial"/>
          <w:sz w:val="19"/>
          <w:szCs w:val="19"/>
        </w:rPr>
        <w:t xml:space="preserve">112 (ogólnoeuropejski numer alarmowy), 998 (straż pożarna), 999 (pogotowie ratunkowe)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2: IDENTYFIKACJA ZAGROŻEŃ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2.1. Klasyfikacja substancji lub mieszaniny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Klasyfikacja zgodnie z rozporządzeniem (WE) nr 1272/2008 (CLP):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Produkt nie został sklasyfikowany jako stwarzający zagrożenie zgodnie z rozporządzeniem (WE) nr 1272/2008 (CLP).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Niekorzystne skutki dla zdrowia człowieka, właściwości fizykochemiczne i środowiskowe: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Brak innych zagrożeń.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2.2. Elementy oznakowania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Piktogramy określające rodzaj zagrożenia i hasło ostrzegawcze: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Brak.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Nazwy niebezpiecznych substancji wymienione na etykiecie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octan 4-tert-butylocykloheksylu; masę poreakcyjną 5-chloro-2-metylo-2H-izotiazol-3-onu i 2-metylo-2H-izotiazol-3-onu (3:1); aldehyd cynamonowy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Zwroty wskazujące rodzaj zagrożenia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Brak.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Zwroty wskazujące środki ostrożności</w:t>
      </w:r>
    </w:p>
    <w:p>
      <w:pPr>
        <w:spacing w:after="50"/>
      </w:pPr>
      <w:r>
        <w:rPr>
          <w:rFonts w:ascii="Arial" w:cs="Arial" w:eastAsia="Arial" w:hAnsi="Arial"/>
          <w:sz w:val="19"/>
          <w:szCs w:val="19"/>
        </w:rPr>
        <w:t xml:space="preserve">P101 W razie konieczności zasięgnięcia porady lekarza należy pokazać pojemnik lub etykietę.</w:t>
      </w:r>
    </w:p>
    <w:p>
      <w:pPr>
        <w:spacing w:after="50"/>
      </w:pPr>
      <w:r>
        <w:rPr>
          <w:rFonts w:ascii="Arial" w:cs="Arial" w:eastAsia="Arial" w:hAnsi="Arial"/>
          <w:sz w:val="19"/>
          <w:szCs w:val="19"/>
        </w:rPr>
        <w:t xml:space="preserve">P102 Chronić przed dziećmi.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Informacje uzupełniające</w:t>
      </w:r>
    </w:p>
    <w:p>
      <w:pPr>
        <w:spacing w:after="50"/>
      </w:pPr>
      <w:r>
        <w:rPr>
          <w:rFonts w:ascii="Arial" w:cs="Arial" w:eastAsia="Arial" w:hAnsi="Arial"/>
          <w:sz w:val="19"/>
          <w:szCs w:val="19"/>
        </w:rPr>
        <w:t xml:space="preserve">EUH208 Zawiera octan 4-tert-butylocykloheksylu; masę poreakcyjną 5-chloro-2-metylo-2H-izotiazol-3-onu i 2-metylo-2H-izotiazol-3-onu (3:1); aldehyd cynamonowy.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2.3. Inne zagrożenia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Mieszanina nie zawiera substancji spełniających kryteria dla substancji PBT lub vPvB zgodnie z załącznikiem XIII do rozporządzenia REACH w stężeniu ≥ 0,1 %.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Mieszanina nie zawiera substancji o właściwościach zaburzających funkcjonowanie układu hormonalnego w stężeniu ≥ 0,1 %.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Brak innych zagrożeń.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3: SKŁAD / INFORMACJA O SKŁADNIKACH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3.1. Substancje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Nie dotyczy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3.2. Mieszaniny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Opis chemiczny: Mieszanina substancji stwarzających zagrożenie wraz z dodatkami niesklasyfikowanymi.</w:t>
      </w:r>
    </w:p>
    <w:tbl>
      <w:tblPr>
        <w:tblW w:type="dxa" w:w="9600"/>
        <w:tblBorders>
          <w:top w:color="D1D5DB" w:sz="4" w:space="4"/>
          <w:left w:color="D1D5DB" w:sz="4" w:space="4"/>
          <w:bottom w:color="D1D5DB" w:sz="4" w:space="4"/>
          <w:right w:color="D1D5DB" w:sz="4" w:space="4"/>
          <w:insideH w:color="E5E7EB" w:sz="4" w:space="4"/>
          <w:insideV w:color="E5E7EB" w:sz="4" w:space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Nazwa substancji</w:t>
            </w:r>
          </w:p>
        </w:tc>
        <w:tc>
          <w:tcPr>
            <w:tcW w:type="dxa" w:w="25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Identyfikatory</w:t>
            </w:r>
          </w:p>
        </w:tc>
        <w:tc>
          <w:tcPr>
            <w:tcW w:type="dxa" w:w="27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Klasyfikacja CLP</w:t>
            </w:r>
          </w:p>
        </w:tc>
        <w:tc>
          <w:tcPr>
            <w:tcW w:type="dxa" w:w="14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Stężenie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octan 4-tert-butylocykloheksylu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6"/>
                <w:szCs w:val="16"/>
              </w:rPr>
              <w:t xml:space="preserve">(ang. 4-tert-butylcyclohexyl acetate)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CAS: 32210-23-4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WE: 250-954-9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rejestracji REACH: 01-2119976286-24-XXXX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Skin Sens. 1B H317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0,1 - &lt; 0,25 %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aldehyd cynamonowy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6"/>
                <w:szCs w:val="16"/>
              </w:rPr>
              <w:t xml:space="preserve">(ang. cinnamaldehyde)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CAS: 104-55-2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WE: 203-213-9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indeksowy: 606-155-00-6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rejestracji REACH: 01-2119935242-45-XXXX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Skin Sens. 1A H317 (Specyficzne stężenia graniczne: C ≥ 0,01 %: Skin Sens. 1A H317)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0,001 - &lt; 0,01 %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masa poreakcyjna 5-chloro-2-metylo-2H-izotiazol-3-onu i 2-metylo-2H-izotiazol-3-onu (3:1)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B5563"/>
                <w:sz w:val="16"/>
                <w:szCs w:val="16"/>
              </w:rPr>
              <w:t xml:space="preserve">(ang. reaction mass of 5-chloro-2-methyl-2H-isothiazol-3-one and 2-methyl-2H-isothiazol-3-one (3:1))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CAS: 55965-84-9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WE: 911-418-6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indeksowy: 613-167-00-5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 rejestracji REACH: 01-2120764691-48-XXXX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Acute Tox. 2 H330, Acute Tox. 2 H310, Acute Tox. 3 H301, Skin Corr. 1C H314, Eye Dam. 1 H318, Skin Sens. 1A H317, Aquatic Acute 1 H400, Aquatic Chronic 1 H410, EUH071 (M-ostra = 100, M-przewlekła = 100; Specyficzne stężenia graniczne: C ≥ 0,6 %: Skin Corr. 1C H314; 0,06 % ≤ C &lt; 0,6 %: Skin Irrit. 2 H315; C ≥ 0,6 %: Eye Dam. 1 H318; 0,06 % ≤ C &lt; 0,6 %: Eye Irrit. 2 H319; C ≥ 0,0015 %: Skin Sens. 1A H317)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0,00093 %</w:t>
            </w:r>
          </w:p>
        </w:tc>
      </w:tr>
    </w:tbl>
    <w:p>
      <w:pPr>
        <w:spacing w:after="180" w:before="14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Pełne brzmienie zwrotów H i EUH znajduje się w sekcji 16 karty charakterystyki.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4: ŚRODKI PIERWSZEJ POMOCY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4.1. Opis środków pierwszej pomocy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W razie wątpliwości lub w przypadku wystąpienia objawów skonsultować się z lekarzem i pokazać mu niniejszą kartę charakterystyki. W przypadku cięższych objawów wezwać natychmiast pomoc medyczną.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 kontakcie ze skórą: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Po kontakcie ze skórą natychmiast przemyć dużą ilością wody z mydłem. W przypadku wystąpienia podrażnienia lub reakcji alergicznej skonsultować się z lekarzem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 kontakcie z oczami: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Po kontakcie z oczami płukać dużą ilością wody przy otwartych powiekach przez wystarczająco długi czas, a następnie natychmiast skonsultować się z okulistą. Wyjąć soczewki kontaktowe, jeżeli są i można je łatwo usunąć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 przypadku spożycia: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Nie wywoływać wymiotów. Zasięgnąć porady lekarskiej, pokazując kartę charakterystyki i etykietę ostrzegawczą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 narażeniu drogą oddechową:</w:t>
      </w:r>
    </w:p>
    <w:p>
      <w:pPr>
        <w:spacing w:after="70"/>
      </w:pPr>
      <w:r>
        <w:rPr>
          <w:rFonts w:ascii="Arial" w:cs="Arial" w:eastAsia="Arial" w:hAnsi="Arial"/>
          <w:sz w:val="19"/>
          <w:szCs w:val="19"/>
        </w:rPr>
        <w:t xml:space="preserve">W przypadku wdychania natychmiast skonsultować się z lekarzem i pokazać mu opakowanie lub etykietę. Wyprowadzić poszkodowanego na świeże powietrze, zapewnić ciepło i warunki do odpoczynku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4.2. Najważniejsze ostre i opóźnione objawy oraz skutki narażenia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Brak dostępnych szczegółowych informacji na temat objawów i skutków wywoływanych przez produkt.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4.3. Wskazania dotyczące wszelkiej natychmiastowej pomocy lekarskiej i szczególnego postępowania z poszkodowanym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Zalecenia dotyczące natychmiastowej pomocy lekarskiej i szczególnego postępowania z poszkodowanym: Brak danych. Leczenie objawowe.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5: POSTĘPOWANIE W PRZYPADKU POŻARU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5.1. Środki gaśnicze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Odpowiednie środki gaśnicze: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Gaśnice śniegowe (CO2) lub proszkowe, piana gaśnicza, woda rozpylona.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Niewłaściwe środki gaśnicze: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szczególnych.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5.2. Szczególne zagrożenia związane z substancją lub mieszaniną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Zagrożenia wynikające z narażenia na działanie pożaru: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Unikać wdychania gazów spalinowych i produktów rozkładu termicznego (np. tlenków węgla).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5.3. Informacje dla straży pożarnej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Sprzęt ochronny strażaków: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Zbierać oddzielnie zanieczyszczoną wodę gaśniczą. Nie dopuszczać do przedostania się wody gaśniczej do kanalizacji. Stosować odzież ochronną dla strażaków zgodną z normą europejską EN 469. Używać niezależnego aparatu oddechowego (SCBA) wraz z rękawicami odpornymi chemicznie.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6: POSTĘPOWANIE W PRZYPADKU NIEZAMIERZONEGO UWOLNIENIA DO ŚRODOWISKA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6.1. Indywidualne środki ostrożności, wyposażenie ochronne i procedury w sytuacjach awaryjnych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Dla osób nienależących do personelu udzielającego pomocy: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Stosować środki ochrony indywidualnej. Wyprowadzić ludzi w bezpieczne miejsce. Patrz środki ostrożności w sekcjach 7 i 8.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Dla osób udzielających pomocy: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Stosować odpowiednie środki ochrony indywidualnej (patrz sekcja 8).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6.2. Środki ostrożności w zakresie ochrony środowiska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Nie dopuścić do przedostania się produktu do gleby/podglebia. Nie dopuścić do przedostania się do wód powierzchniowych lub kanalizacji. Zatrzymać skażoną wodę do mycia i usunąć ją zgodnie z przepisami. W przypadku uwolnienia gazu lub przedostania się do dróg wodnych, gleby lub kanalizacji powiadomić właściwe władze.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6.3. Metody i materiały zapobiegające rozprzestrzenianiu się skażenia i służące do usuwania skażenia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Odpowiedni materiał do zbierania: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materiał pochłaniający ciecze, materiał organiczny, piasek.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Metody oczyszczania: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Zneutralizować/zebrać mechanicznie z użyciem materiału absorbującego. Przemyć zanieczyszczone miejsce dużą ilością wody.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6.4. Odniesienia do innych sekcji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Patrz również sekcja 8 i 13.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7: POSTĘPOWANIE Z SUBSTANCJAMI I MIESZANINAMI ORAZ ICH MAGAZYNOWANIE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7.1. Środki ostrożności dotyczące bezpiecznego postępowania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Środki ostrożności: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Unikać kontaktu ze skórą i oczami, wdychania par i mgieł. Patrz również sekcja 8 w zakresie zalecanego sprzętu ochronnego.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Zalecenia dotyczące ogólnej higieny pracy: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 jeść i nie pić podczas pracy z produktem. Umyć ręce przed przerwami i po zakończeniu pracy.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7.2. Warunki bezpiecznego magazynowania, w tym informacje dotyczące wszelkich wzajemnych niezgodności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Materiały niezgodne: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szczególnych.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Wskazówki dotyczące pomieszczeń magazynowych: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Pomieszczenia odpowiednio wentylowane. Przechowywać w szczelnie zamkniętych oryginalnych opakowaniach, w suchym i chłodnym miejscu, z dala od dzieci.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7.3. Szczególne zastosowania końcowe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Zastosowanie zidentyfikowane: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Płyn perfumowany do tkanin i wnętrz.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Rozwiązania specyficzne dla sektora przemysłowego: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szczególnych.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8: KONTROLA NARAŻENIA/ŚRODKI OCHRONY INDYWIDUALNEJ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8.1. Parametry dotyczące kontroli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Krajowe wartości najwyższych dopuszczalnych stężeń w środowisku pracy (Polska – Dz.U. 2018 poz. 1286 z późn. zm., w tym Dz.U. 2024 poz. 1017):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masa poreakcyjna 5-chloro-2-metylo-2H-izotiazol-3-onu i 2-metylo-2H-izotiazol-3-onu (3:1) [CAS: 55965-84-9]: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- NDS: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0,2 mg/m³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- NDSCh: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0,4 mg/m³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- Uwagi: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skóra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Dopuszczalne wartości narażenia zawodowego: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masa poreakcyjna 5-chloro-2-metylo-2H-izotiazol-3-onu i 2-metylo-2H-izotiazol-3-onu (3:1) (CAS: 55965-84-9):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Krajowa norma (Austria):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/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NDS (wartość długoterminowa, 8h):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0,05 mg/m³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Uwagi: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MAK, Sh (działanie uczulające)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Źródło: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GKV, BGBI. II Nr. 156/2021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Wartości DNEL/PNEC dla produktu: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danych.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8.2. Kontrola narażenia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Ochrona oczu lub twarzy: </w:t>
      </w:r>
      <w:r>
        <w:rPr>
          <w:rFonts w:ascii="Arial" w:cs="Arial" w:eastAsia="Arial" w:hAnsi="Arial"/>
          <w:sz w:val="19"/>
          <w:szCs w:val="19"/>
        </w:rPr>
        <w:t xml:space="preserve">Brak szczególnych wymagań w normalnych warunkach użytkowania. Należy jednak postępować zgodnie z dobrymi praktykami higieny pracy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Ochrona rąk: </w:t>
      </w:r>
      <w:r>
        <w:rPr>
          <w:rFonts w:ascii="Arial" w:cs="Arial" w:eastAsia="Arial" w:hAnsi="Arial"/>
          <w:sz w:val="19"/>
          <w:szCs w:val="19"/>
        </w:rPr>
        <w:t xml:space="preserve">Nie jest wymagana przy normalnym stosowaniu. W przypadku długotrwałego kontaktu zaleca się stosowanie rękawic ochronnych odpornych na chemikalia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Ochrona skóry: </w:t>
      </w:r>
      <w:r>
        <w:rPr>
          <w:rFonts w:ascii="Arial" w:cs="Arial" w:eastAsia="Arial" w:hAnsi="Arial"/>
          <w:sz w:val="19"/>
          <w:szCs w:val="19"/>
        </w:rPr>
        <w:t xml:space="preserve">Brak konieczności stosowania specjalnych środków ostrożności przy normalnym użytkowaniu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Ochrona dróg oddechowych: </w:t>
      </w:r>
      <w:r>
        <w:rPr>
          <w:rFonts w:ascii="Arial" w:cs="Arial" w:eastAsia="Arial" w:hAnsi="Arial"/>
          <w:sz w:val="19"/>
          <w:szCs w:val="19"/>
        </w:rPr>
        <w:t xml:space="preserve">Nie jest wymagana w normalnych warunkach stosowania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Zagrożenia termiczne: </w:t>
      </w:r>
      <w:r>
        <w:rPr>
          <w:rFonts w:ascii="Arial" w:cs="Arial" w:eastAsia="Arial" w:hAnsi="Arial"/>
          <w:sz w:val="19"/>
          <w:szCs w:val="19"/>
        </w:rPr>
        <w:t xml:space="preserve">Nie dotyczy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Kontrola narażenia środowiska: </w:t>
      </w:r>
      <w:r>
        <w:rPr>
          <w:rFonts w:ascii="Arial" w:cs="Arial" w:eastAsia="Arial" w:hAnsi="Arial"/>
          <w:sz w:val="19"/>
          <w:szCs w:val="19"/>
        </w:rPr>
        <w:t xml:space="preserve">Nie dopuszczać do niekontrolowanego przedostania się produktu do środowiska i kanalizacji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9: WŁAŚCIWOŚCI FIZYCZNE I CHEMICZNE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9.1. Informacje na temat podstawowych właściwości fizycznych i chemicznych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a) Stan skupienia: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ciecz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b) Kolor: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biały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c) Zapach: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charakterystyczny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d) Temperatura topnienia/krzepnięcia: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danych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e) Temperatura wrzenia lub początkowa temperatura wrzenia i zakres temperatur wrzenia: 100 °C (212 °F) (woda)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f) Palność materiałów: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 dotyczy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g) Dolna i górna granica wybuchowości: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danych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h) Temperatura zapłonu: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&gt; 60 °C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i) Temperatura samozapłonu: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danych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j) Temperatura rozkładu: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danych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k) pH: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2,00 - 3,00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l) Lepkość kinematyczna: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&gt; 20,5 mm²/s (w temp. 40 °C)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m) Rozpuszczalność w wodzie: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rozpuszczalny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n) Rozpuszczalność w oleju: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danych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o) Współczynnik podziału n-oktanol/woda (wartość współczynnika log):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danych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p) Prężność pary: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danych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q) Gęstość lub gęstość względna: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1,00 g/ml ± 0,05 (w temp. 20 °C)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r) Względna gęstość pary: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danych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s) Charakterystyka cząsteczek: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 dotyczy (ciecz)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9.2. Inne informacje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Brak innych istotnych informacji fizykochemicznych. Lotne związki organiczne (LZO/VOC): Brak danych.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10: STABILNOŚĆ I REAKTYWNOŚĆ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10.1. Reaktywność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Produkt stabilny w normalnych warunkach stosowania i przechowywania.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10.2. Stabilność chemiczna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Brak danych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produkt stabilny w zalecanych warunkach magazynowania.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10.3. Możliwość występowania niebezpiecznych reakcji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Brak znanych niebezpiecznych reakcji w normalnych warunkach użytkowania.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10.4. Warunki, których należy unikać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Produkt stabilny w normalnych warunkach. Unikać przegrzania, bezpośredniego nasłonecznienia oraz mrozu.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10.5. Materiały niezgodne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Brak szczególnych.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10.6. Niebezpieczne produkty rozkładu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Brak w normalnych warunkach stosowania.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11: INFORMACJE TOKSYKOLOGICZNE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11.1. Informacje na temat klas zagrożenia zdefiniowanych w rozporządzeniu (WE) nr 1272/2008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W przypadku braku danych doświadczalnych dla samego produktu, zagrożenia dla zdrowia ocenia się na podstawie właściwości substancji w nim zawartych, stosując kryteria określone w odpowiednich przepisach dotyczących klasyfikacji.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TOKSYCZNOŚĆ OSTRA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Brak danych toksykologicznych bezpośrednio dla preparatu.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Dane toksykologiczne dla składników: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masa poreakcyjna 5-chloro-2-metylo-2H-izotiazol-3-onu i 2-metylo-2H-izotiazol-3-onu (3:1) (CAS: 55965-84-9):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ATE (droga pokarmowa):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100 mg/kg mc.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ATE (skóra):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50 mg/kg mc.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ATE (wdychanie pyłów/mgieł):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0,05 mg/l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a) Toksyczność ostra: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 oparciu o dostępne dane, kryteria klasyfikacji nie są spełnione.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b) Działanie żrące/drażniące na skórę: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 oparciu o dostępne dane, kryteria klasyfikacji nie są spełnione.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c) Poważne uszkodzenie oczu/działanie drażniące na oczy: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 oparciu o dostępne dane, kryteria klasyfikacji nie są spełnione.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d) Działanie uczulające na drogi oddechowe lub skórę: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 oparciu o dostępne dane, kryteria klasyfikacji nie są spełnione. Zawiera składniki uczulające (octan 4-tert-butylocykloheksylu, aldehyd cynamonowy, C(M)IT/MIT), może powodować reakcję alergiczną u osób wrażliwych (EUH208).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e) Działanie mutagenne na komórki rozrodcze: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 oparciu o dostępne dane, kryteria klasyfikacji nie są spełnione.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f) Rakotwórczość: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 oparciu o dostępne dane, kryteria klasyfikacji nie są spełnione.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g) Szkodliwe działanie na rozrodczość: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 oparciu o dostępne dane, kryteria klasyfikacji nie są spełnione.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h) Działanie toksyczne na narządy docelowe – narażenie jednorazowe: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 oparciu o dostępne dane, kryteria klasyfikacji nie są spełnione.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i) Działanie toksyczne na narządy docelowe – narażenie powtarzane: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 oparciu o dostępne dane, kryteria klasyfikacji nie są spełnione.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j) Zagrożenie spowodowane aspiracją: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 oparciu o dostępne dane, kryteria klasyfikacji nie są spełnione.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11.2. Informacje o innych zagrożeniach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Właściwości zaburzające funkcjonowanie układu hormonalnego: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/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Produkt zawiera galaksolid (CAS: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1222-05-5) - Lista II: Substancje poddawane ocenie pod kątem zaburzania funkcjonowania układu hormonalnego na mocy przepisów UE. Mieszanina jako całość nie zawiera substancji zaburzających funkcjonowanie układu hormonalnego w stężeniach nakazujących klasyfikację (≥ 0,1 %).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12: INFORMACJE EKOLOGICZNE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12.1. Toksyczność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Stosować zgodnie z dobrą praktyką przemysłową, unikając zrzutów produktu do środowiska naturalnego.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Informacje ekotoksykologiczne dotyczące produktu: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Produkt nie został sklasyfikowany pod kątem zagrożeń dla środowiska. Brak danych badawczych dla produktu jako całości.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Informacje ekotoksykologiczne dotyczące składników: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/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- octan 4-tert-butylocykloheksylu (CAS: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32210-23-4):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a) Toksyczność ostra dla środowiska wodnego: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EC50 (Daphnia magna) = 5,3 mg/l (48 h)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a) Toksyczność ostra dla środowiska wodnego: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EC50 (glony Desmodesmus subspicatus) = 22 mg/l (72 h)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a) Toksyczność ostra dla środowiska wodnego: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LC50 (ryby Cyprinus carpio) = 8,6 mg/l (96 h)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b) Toksyczność przewlekła dla środowiska wodnego: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NOEC (glony Desmodesmus subspicatus) = 6,8 mg/l (72 h)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masa poreakcyjna 5-chloro-2-metylo-2H-izotiazol-3-onu i 2-metylo-2H-izotiazol-3-onu (3:1) (CAS: 55965-84-9):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a) Toksyczność ostra dla środowiska wodnego: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LC50 (ryby Oncorhynchus mykiss) = 0,22 mg/l (96 h, OECD 203)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a) Toksyczność ostra dla środowiska wodnego: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EC50 (glony Skeletonema costatum) = 0,0052 mg/l (48 h, ISO 10253)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b) Toksyczność przewlekła dla środowiska wodnego: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NOEC (glony Skeletonema costatum) = 0,00064 mg/l (48 h, ISO 10253)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b) Toksyczność przewlekła dla środowiska wodnego: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NOEC (glony Pseudokirchneriella subcapitata) = 0,0012 mg/l (72 h, OECD 201)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b) Toksyczność przewlekła dla środowiska wodnego: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NOEC (rozwielitki Daphnia magna) = 0,004 mg/l (21 dni, OECD 211)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b) Toksyczność przewlekła dla środowiska wodnego: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NOEC (ryby Oncorhynchus mykiss) = 0,098 mg/l (28 dni, OECD 215)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12.2. Trwałość i zdolność do rozkładu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- octan 4-tert-butylocykloheksylu (CAS: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32210-23-4): substancja nieulegająca łatwej biodegradacji.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masa poreakcyjna 5-chloro-2-metylo-2H-izotiazol-3-onu i 2-metylo-2H-izotiazol-3-onu (3:1) (CAS: 55965-84-9): substancja łatwo biodegradowalna, stopień rozkładu: &gt; 60 % (OECD 301 D Closed-Bottle-Test).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12.3. Zdolność do bioakumulacji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- octan 4-tert-butylocykloheksylu (CAS: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32210-23-4): nie ulega bioakumulacji, BCF (współczynnik biokoncentracji) = 334,6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masa poreakcyjna 5-chloro-2-metylo-2H-izotiazol-3-onu i 2-metylo-2H-izotiazol-3-onu (3:1) (CAS: 55965-84-9): BCF (współczynnik biokoncentracji) = 3,16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współczynnik podziału log Kow ≤ 0,71.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12.4. Mobilność w glebie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Brak danych.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12.5. Wyniki oceny właściwości PBT i vPvB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Mieszanina nie zawiera substancji spełniających kryteria dla substancji PBT lub vPvB w stężeniu ≥ 0,1 %.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12.6. Właściwości zaburzające funkcjonowanie układu hormonalnego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Produkt zawiera galaksolid (CAS: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1222-05-5) - Lista II: Substancje oceniane pod kątem zaburzania funkcjonowania układu hormonalnego zgodnie z przepisami UE.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12.7. Inne szkodliwe skutki działania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Brak danych.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13: POSTĘPOWANIE Z ODPADAMI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13.1. Metody unieszkodliwiania odpadów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Zalecenia dotyczące usuwania odpadów: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Odzyskać w miarę możliwości. Usuwać zgodnie z obowiązującymi przepisami lokalnymi i krajowymi (Ustawa o odpadach). Pozostałości produktu i zanieczyszczone opakowania przekazać uprawnionej firmie utylizacyjnej. Nie wprowadzać do kanalizacji ani cieków wodnych.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14: INFORMACJE DOTYCZĄCE TRANSPORTU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14.1. Numer UN lub numer identyfikacyjny ID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Nie dotyczy (produkt nie jest klasyfikowany jako niebezpieczny w transporcie)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14.2. Prawidłowa nazwa przewozowa UN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Nie dotyczy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14.3. Klasa(-y) zagrożenia w transporcie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Nie dotyczy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14.4. Grupa pakowania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Nie dotyczy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14.5. Zagrożenia dla środowiska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Nie dotyczy (Ilość składników toksycznych: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0,00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Ilość składników bardzo toksycznych: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0,00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Substancja zanieczyszczająca morza - Marine pollutant: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Nie)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14.6. Szczególne środki ostrożności dla użytkowników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Brak szczególnych zaleceń transportowych.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14.7. Transport morski luzem zgodnie z instrumentami IMO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Nie dotyczy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15: INFORMACJE DOTYCZĄCE PRZEPISÓW PRAWNYCH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15.1. Przepisy prawne dotyczące bezpieczeństwa, zdrowia i ochrony środowiska specyficzne dla substancji lub mieszaniny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Rozporządzenie (WE) nr 1907/2006 (REACH) wraz z późniejszymi zmianami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Rozporządzenie Komisji (UE) 2020/878 zmieniające załącznik II do REACH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Rozporządzenie Parlamentu Europejskiego i Rady (WE) nr 1272/2008 (CLP) wraz ze wszystkimi adaptacjami do postępu technicznego (ATP 1-22)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Dyrektywa 98/24/WE w sprawie ochrony zdrowia i bezpieczeństwa pracowników przed ryzykiem związanym ze środkami chemicznymi w miejscu pracy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Dyrektywa 2000/39/WE ustanawiająca pierwszą listę indykatywnych wartości dopuszczalnych narażenia zawodowego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- Rozporządzenie (UE) nr 649/2012 (PIC):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substancji na liście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- Dyrektywa Seveso III (2012/18/UE):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Brak zastosowania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- Niemiecka klasa zagrożenia wód (WGK):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Klasa 1 (lekko niebezpieczny dla wód)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- Niemiecka klasa magazynowania TRGS 510: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LGK 10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Ograniczenia dotyczące produktu lub substancji zawartych zgodnie z załącznikiem XVII do rozporządzenia REACH: Ograniczenie 75 (dla substancji zawartych)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- Substancje SVHC: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Mieszanina nie zawiera substancji wzbudzających szczególnie duże obawy (SVHC) w stężeniu ≥ 0,1 %.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Prawodawstwo Unii Europejskiej: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Rozporządzenie (WE) nr 1907/2006 Parlamentu Europejskiego i Rady z dnia 18 grudnia 2006 r. w sprawie rejestracji, oceny, udzielania zezwoleń i stosowanych ograniczeń w zakresie chemikaliów (REACH) z późniejszymi zmianami.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Rozporządzenie Komisji (UE) 2020/878 z dnia 18 czerwca 2020 r. zmieniające załącznik II do rozporządzenia (WE) nr 1907/2006 (wymogi dotyczące sporządzania kart charakterystyki).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Rozporządzenie Parlamentu Europejskiego i Rady (WE) nr 1272/2008 z dnia 16 grudnia 2008 r. w sprawie klasyfikacji, oznakowania i pakowania substancji i mieszanin (CLP) z późniejszymi zmianami.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- Substancje wzbudzające szczególnie duże obawy (SVHC – REACH załącznik XIV):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Mieszanina nie zawiera substancji z listy kandydackiej SVHC w stężeniu ≥ 0,1% wag.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Ograniczenia dotyczące produkcji, wprowadzania do obrotu i stosowania (REACH załącznik XVII): Zastosowanie mają odpowiednie pozycje załącznika XVII (w zależności od przeznaczenia).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Prawodawstwo Rzeczypospolitej Polskiej: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Ustawa z dnia 25 lutego 2011 r. o substancjach chemicznych i ich mieszaninach (t.j. Dz.U. 2022 poz. 1816 z późn. zm.).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Rozporządzenie Ministra Rodziny, Pracy i Polityki Społecznej z dnia 12 czerwca 2018 r. w sprawie najwyższych dopuszczalnych stężeń i natężeń czynników szkodliwych dla zdrowia w środowisku pracy (Dz.U. 2018 poz. 1286 z późn. zm., w tym Dz.U. 2024 poz. 1017).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Ustawa z dnia 14 grudnia 2012 r. o odpadach (t.j. Dz.U. 2023 poz. 1587 z późn. zm.).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Rozporządzenie Ministra Klimatu z dnia 2 stycznia 2020 r. w sprawie katalogu odpadów (Dz.U. 2020 poz. 10).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Ustawa z dnia 13 czerwca 2013 r. o gospodarce opakowaniami i odpadami opakowaniowymi (t.j. Dz.U. 2023 poz. 1658 z późn. zm.).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- </w:t>
      </w:r>
      <w:r>
        <w:rPr>
          <w:rFonts w:ascii="Arial" w:cs="Arial" w:eastAsia="Arial" w:hAnsi="Arial"/>
          <w:sz w:val="19"/>
          <w:szCs w:val="19"/>
        </w:rPr>
        <w:t xml:space="preserve">Ustawa z dnia 19 sierpnia 2011 r. o przewozie towarów niebezpiecznych (t.j. Dz.U. 2024 poz. 643 z późn. zm.) oraz Umowa europejska dotycząca międzynarodowego przewozu drogowego towarów niebezpiecznych (ADR).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15.2. Ocena bezpieczeństwa chemicznego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Dla mieszaniny nie przeprowadzono oceny bezpieczeństwa chemicznego.</w:t>
      </w:r>
    </w:p>
    <w:p>
      <w:pPr>
        <w:pBdr>
          <w:bottom w:color="00A651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SEKCJA 16: INNE INFORMACJE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Pełne brzmienie zwrotów H i EUH przytoczonych w sekcjach 2 i 3 karty charakterystyki: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EUH071: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Działa żrąco na drogi oddechowe.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EUH208: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Zawiera [nazwa substancji]. Może powodować wystąpienie reakcji alergicznej.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H301: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Działa toksycznie po połknięciu.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H310: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Grozi śmiercią w kontakcie ze skórą.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H314: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Powoduje poważne oparzenia skóry oraz uszkodzenia oczu.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H315: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Działa drażniąco na skórę.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H317: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Może powodować reakcję alergiczną skóry.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H318: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Powoduje poważne uszkodzenie oczu.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H319: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Działa drażniąco na oczy.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H330: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Wdychanie grozi śmiercią.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H400: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Działa bardzo toksycznie na organizmy wodne.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H410: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Działa bardzo toksycznie na organizmy wodne, powodując długotrwałe skutki.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Wykaz klas i kategorii zagrożenia przytoczonych w karcie charakterystyki: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/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Acute Tox. 2: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Toksyczność ostra (po naniesieniu na skórę), kategoria 2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Acute Tox. 2: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Toksyczność ostra (w następstwie wdychania), kategoria 2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Acute Tox. 3: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Toksyczność ostra (droga pokarmowa), kategoria 3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Skin Corr. 1C: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Działanie żrące na skórę, kategoria 1C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Skin Irrit. 2: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Działanie drażniące na skórę, kategoria 2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Eye Dam. 1: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Poważne uszkodzenie oczu, kategoria 1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Eye Irrit. 2: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Działanie drażniące na oczy, kategoria 2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Skin Sens. 1A: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Działanie uczulające na skórę, kategoria 1A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Skin Sens. 1B: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Działanie uczulające na skórę, kategoria 1B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Aquatic Acute 1: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Stwarzające ostre zagrożenie dla środowiska wodnego, kategoria 1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Aquatic Chronic 1: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Stwarzające przewlekłe zagrożenie dla środowiska wodnego, kategoria 1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Objaśnienie skrótów i akronimów: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/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ACGIH: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American Conference of Governmental Industrial Hygienists (Amerykańska Konferencja Rządowych Higienistów Przemysłowych)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ADR: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Umowa europejska dotycząca międzynarodowego przewozu drogowego towarów niebezpiecznych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ADN: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Europejskie porozumienie w sprawie międzynarodowych przewozów materiałów niebezpiecznych śródlądowymi drogami wodnymi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ATE: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Oszacowana toksyczność ostra (Acute Toxicity Estimate)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ATEmix: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Oszacowana toksyczność ostra mieszaniny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BCF: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Współczynnik biokoncentracji (Bioconcentration Factor)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CAS: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Chemical Abstracts Service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CLP: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Rozporządzenie w sprawie klasyfikacji, oznakowania i pakowania (WE nr 1272/2008)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DNEL: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Pochodny poziom niepowodujący zmian (Derived No Effect Level)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EC50: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Stężenie skuteczne dla 50% badanej populacji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EINECS: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Europejski Wykaz Istniejących Substancji o Znaczeniu Komercyjnym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IATA: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Międzynarodowe Zrzeszenie Przewoźników Powietrznych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IMDG: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Międzynarodowy morski kodeks towarów niebezpiecznych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LC50: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Stężenie śmiertelne dla 50% badanej populacji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LD50: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Dawka śmiertelna dla 50% badanej populacji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NOEC: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Najwyższe stężenie, przy którym nie obserwuje się efektu (No Observed Effect Concentration)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PBT: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Substancja trwała, wykazująca zdolność do bioakumulacji i toksyczna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PNEC: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Przewidywane stężenie niepowodujące zmian w środowisku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REACH: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Rozporządzenie w sprawie rejestracji, oceny, udzielania zezwoleń i stosowanych ograniczeń w zakresie chemikaliów (WE nr 1907/2006)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RID: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Regulamin międzynarodowego przewozu kolejami towarów niebezpiecznych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STOT: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Działanie toksyczne na narządy docelowe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vPvB: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Substancja bardzo trwała i wykazująca bardzo dużą zdolność do bioakumulacji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Główne źródła literatury i danych: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ECDIN - Environmental Chemicals Data and Information Network, Joint Research Centre, Commission of the European Communities.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SAX's DANGEROUS PROPERTIES OF INDUSTRIAL MATERIALS - Eight Edition, Van Nostrand Reinhold.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Baza danych ECHA.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Wskazówki szkoleniowe: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Przed przystąpieniem do pracy z produktem należy zapoznać się z treścią niniejszej karty charakterystyki oraz przestrzegać zasad BHP.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1D5DB" w:sz="4" w:space="4"/>
      </w:pBdr>
      <w:spacing w:before="12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Dystrybutor: ITALLUX Sp. z o.o. | </w:t>
    </w:r>
    <w:r>
      <w:rPr>
        <w:rFonts w:ascii="Arial" w:cs="Arial" w:eastAsia="Arial" w:hAnsi="Arial"/>
        <w:color w:val="555555"/>
        <w:sz w:val="16"/>
        <w:szCs w:val="16"/>
      </w:rPr>
      <w:t xml:space="preserve">Strona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z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D1D5DB" w:sz="4" w:space="4"/>
      </w:pBdr>
      <w:spacing w:after="12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KARTA CHARAKTERYSTYKI | SWEET HOME LAYALI - PERFUMY DO TKANIN I POMIESZCZEŃ NAJMA | Wersja: 1.0 PL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2026-09-18T04:32:27.672Z</dcterms:created>
  <dcterms:modified xsi:type="dcterms:W3CDTF">2026-09-18T04:32:27.673Z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