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KARTA CHARAKTERYSTYKI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44444"/>
          <w:sz w:val="16"/>
          <w:szCs w:val="16"/>
        </w:rPr>
        <w:t xml:space="preserve">[Sporządzona zgodnie z Rozporządzeniem (WE) nr 1907/2006 (REACH), zmienionym Rozporządzeniem Komisji (UE) 2020/878]</w:t>
      </w:r>
    </w:p>
    <w:tbl>
      <w:tblPr>
        <w:tblW w:type="pct" w:w="100%"/>
        <w:tblBorders>
          <w:top w:val="single" w:color="00A651" w:sz="6"/>
          <w:left w:val="single" w:color="D0D5DD" w:sz="4"/>
          <w:bottom w:val="single" w:color="00A651" w:sz="6"/>
          <w:right w:val="single" w:color="D0D5DD" w:sz="4"/>
          <w:insideH w:val="none"/>
          <w:insideV w:val="single" w:color="E5E7EB" w:sz="4"/>
        </w:tblBorders>
      </w:tblPr>
      <w:tblGrid>
        <w:gridCol w:w="100"/>
        <w:gridCol w:w="100"/>
      </w:tblGrid>
      <w:tr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sporządzenia: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Aktualizacja: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</w:tc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Wersja: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2.0 / PL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Zastępuje wersję: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</w:tr>
    </w:tbl>
    <w:p>
      <w:pPr>
        <w:spacing w:after="200"/>
      </w:pP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Zastosowanie: Odświeżacz powietrza (dyfuzor zapachowy).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Brak.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ITALLUX Sp. z o.o.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Strona www:</w:t>
      </w:r>
      <w:r>
        <w:rPr>
          <w:rFonts w:ascii="Arial" w:cs="Arial" w:eastAsia="Arial" w:hAnsi="Arial"/>
          <w:sz w:val="20"/>
          <w:szCs w:val="20"/>
        </w:rPr>
        <w:t xml:space="preserve"> www.prostozwloch.pl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zagrożenia: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GHS02, GHS07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Hasło ostrzegawcze: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Nazwy niebezpiecznych substancji wymienione na etykiecie: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rodzaj zagrożenia: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środki ostrożności: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uzupełniające: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 kumarynę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wdychania: wyprowadzić poszkodowanego na świeże powietrze.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dwutlenek węgla.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usunąć wszelkie źródła zapłonu.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unikać kontaktu z oczami i skórą.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NDSCh: 200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Uwagi: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87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114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950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206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343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słodka:0,96mg/l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morska:0,79mg/l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słodkowodne:3,6mg/kg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morskie:2,9mg/kg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okresowe):2,75mg/l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(STP):580mg/l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wtórne):0,38mg/kg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2,5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4,35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14,7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4,2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słodka:0,081mg/l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(STP):4,5mg/l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1,69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6,78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0,79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okresowe):0,0142mg/l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(STP):6,4mg/l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wtórne):30,7mg/kg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0,86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morska:0,02 μg/l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(STP):0,17mg/l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wtórne):8,33mg/kg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8,13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Konsumenci: ostre miejscowe: 226 mg/m³, ostre układowe: 226 mg/m³, przewlekłe miejscowe: 56,5 mg/m³, przewlekłe układowe: 56,5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Pracownicy: ostre miejscowe: 384 mg/m³, ostre układowe: 384 mg/m³, przewlekłe miejscowe: 192 mg/m³, przewlekłe układowe: 192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226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384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(STP):13,61mg/l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ciecz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różowy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charakterystyczny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ciecz łatwopalna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nie określono (substancje mogą ulegać rozkładowi)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rozpuszczalny w wodzie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 (metoda: HSDB, 2015; INRS, 2011)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Wobec braku danych doświadczalnych dla samego produktu, zagrożenia dla zdrowia oceniono na podstawie właściwości zawartych w nim substancji, zgodnie z kryteriami określonymi w odpowiednich przepisach dotyczących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związku z tym w celu oceny skutków toksykologicznych narażenia na produkt należy uwzględnić stężenia poszczególnych substancji niebezpiecznych wymienionych w sekcji 3.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 zdefiniowanych w rozporządzeniu (WE) nr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Metabolizm, toksykokinetyka, mechanizm działania i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informacji.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prawdopodobnych dróg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PRACOWNICY: przez drogi oddechowe (inhalacyjnie); kontakt ze skórą.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LUDNOŚĆ: spożycie skażonej żywności lub wody; wdychanie powietrza atmosferycznego; kontakt ze skórą z produktami zawierającymi substancję.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Opóźnione, bezpośrednie oraz przewlekłe skutki krótko- i długotrwałego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ośrodkowy i obwodowy układ nerwowy z encefalopatią i zapaleniem wielonerwowym; działanie drażniące na skórę, spojówki, rogówkę i układ oddechowy.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wzajemnego oddziaływania: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Niektóre leki i inne substancje chemiczne mogą wpływać na metabolizm toluenu.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Toksyczność ostra: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(przez drogi oddechowe)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(droga pokarmowa)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(na skórę)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szczur): &gt; 50 mg/l/4h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3210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szczur): 0,32 mg/l/7h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293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290 mg/kg m.c. (ATE = 500 mg/kg)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pyły/mgły, szczur): 293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&gt; 2000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2930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człowiek): 100 ppm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żrące/drażniące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Poważne uszkodzenie oczu/działanie drażniące na oczy: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 drażniąco na oczy (Eye Irrit. 2, H319).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uczulające na drogi oddechowe lub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Może wywołać reakcję alergiczną (zawiera: kumarynę).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został sklasyfikowany w grupie 3 (nie można zaklasyfikować jako rakotwórczy dla ludzi) przez Międzynarodową Agencję Badań nad Rakiem (IARC) – (IARC, 1999).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Agencja Ochrony Środowiska USA (EPA) wskazuje, że dane są niewystarczające do oceny potencjału rakotwórczego.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jednorazowe: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powtarzane: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spełnia kryteriów klasyfikacji dla tej klasy zagrożenia.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Informacje o innych zagrożeniach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 podstawie dostępnych danych produkt nie zawiera substancji wymienionych w głównych europejskich wykazach potencjalnych lub podejrzewanych substancji zaburzających funkcjonowanie układu hormonalnego pod kątem wpływu na zdrowie człowieka w stężeniu ≥ 0,1%.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(ryby):14200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(skorupiaki):454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wodne):275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ryby):250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skorupiaki):96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(ryby):148,32 mg/l/(96 h) Leuciscus idus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(skorupiaki):82,8 mg/l/(48 h) Daphnia magna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wodne):81,11 mg/l/(72 h) Desmodesmus subspicatus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(ryby):1,324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(skorupiaki):8,012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wodne):1,452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ryby):0,119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skorupiaki):0,448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glony):0,408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(ryby):0,199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(skorupiaki):0,48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wodne):&gt; 0,4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ryby):0,053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(ryby):5,5 mg/l/(96 h) Oncorhynchus kisutch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(skorupiaki):3,78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wodne):134 mg/l/(3 h) Chlorella vulgaris and Chlamydomonas angulosa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(2H-chromen-2-on) (CAS: 91-64-5):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współczynnik podziału n-oktanol/woda (log Kow): -0,35.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gleba/woda (Koc): 4,2.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zastosowań profesjonalnych / przemysłowych): 16 03 05* (Organiczne odpady zawierające substancje niebezpieczne) lub 16 05 08* (Zużyte chemikalia zawierające substancje niebezpieczne).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konsumentów / odpady komunalne): 20 01 29* (Detergenty zawierające substancje niebezpieczne) lub 20 01 27*.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opakowaniowe: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 / RID, IMDG, IATA: Klasa 3 (Materiały ciekłe zapalne)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Nalepka ostrzegawcza:</w:t>
      </w:r>
      <w:r>
        <w:rPr>
          <w:rFonts w:ascii="Arial" w:cs="Arial" w:eastAsia="Arial" w:hAnsi="Arial"/>
          <w:sz w:val="20"/>
          <w:szCs w:val="20"/>
        </w:rPr>
        <w:t xml:space="preserve"> Nr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Ilości ograniczone (LQ):</w:t>
      </w:r>
      <w:r>
        <w:rPr>
          <w:rFonts w:ascii="Arial" w:cs="Arial" w:eastAsia="Arial" w:hAnsi="Arial"/>
          <w:sz w:val="20"/>
          <w:szCs w:val="20"/>
        </w:rPr>
        <w:t xml:space="preserve"> 1 L</w:t>
      </w:r>
    </w:p>
    <w:p>
      <w:pPr>
        <w:spacing w:after="80" w:before="40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i/>
          <w:iCs/>
          <w:sz w:val="16"/>
          <w:szCs w:val="16"/>
        </w:rPr>
        <w:t xml:space="preserve">  Znak dla towarów pakowanych w ilościach ograniczonych (LQ) zgodnie z działem 3.4 Umowy ADR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Substancje wzbudzające szczególnie duże obawy (SVHC – REACH załącznik XIV): Mieszanina nie zawiera substancji z listy kandydackiej SVHC podlegających procedurze udzielania zezwoleń (REACH załącznik XIV) w stężeniu ≥ 0,1% wag.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Ograniczenia dotyczące produkcji, wprowadzania do obrotu i stosowania niektórych niebezpiecznych substancji (REACH załącznik XVII): Mieszanina nie podlega ograniczeniom na mocy załącznika XVII do rozporządzenia REACH.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2012/18/UE (Seveso III): Z uwagi na właściwości cieczy łatwopalnych produkt może kwalifikować się do przepisów dyrektywy po przekroczeniu ilości progowych [Kategoria P5a/P5b/P5c: 10 t / 50 t lub 5 000 t / 50 000 t w zależności od warunków magazynowania]. Kwalifikacja zakładu (ZZR/ZDR) należy do prowadzącego zakład.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(UE) nr 649/2012 z dnia 4 lipca 2012 r. dotyczące wywozu i przywozu niebezpiecznych chemikaliów (PIC):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kumarynę (2H-chromen-2-on).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Europejskiej Agencji Chemikaliów (ECHA): https://echa.europa.eu/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PubChem National Library of Medicine: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(wersja 2.0 PL) zastępuje wersję Wersja 1 (z dnia 01.09.2023).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Aktualizacja została sporządzona i dostosowana zgodnie z wymogami Rozporządzenia Komisji (UE) 2020/878 z dnia 18 czerwca 2020 r. zmieniającego załącznik II do rozporządzenia (WE) nr 1907/2006 (REACH) oraz przepisami prawa Rzeczypospolitej Polskiej.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Główne zmiany wprowadzone w bieżącej wersji obejmują: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Sekcja 1.3: Aktualizacja danych dostawcy karty w Rzeczypospolitej Polskiej na ITALLUX Sp. z o.o. (ul. Wesoła 16, 63-600 Kępno, www.prostozwloch.pl).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Sekcja 8.1: Weryfikacja i implementacja krajowych norm higienicznych w środowisku pracy (NDS, NDSCh) na podstawie Rozporządzenia MRPiPS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Sekcja 11.2 i 12.6: Wdrożenie obligatoryjnych podsekcji dotyczących właściwości zaburzających funkcjonowanie układu hormonalnego.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Sekcja 13: Aktualizacja klasyfikacji i 6-cyfrowych kodów odpadów zgodnie z ustawą o odpadach i Dz.U. 2020 poz. 10.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Sekcja 14: Weryfikacja i zharmonizowanie warunków przewozu zgodnie z Umową ADR.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Klauzula prawna i ochrona praw autorskich: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Niniejsze autorskie opracowanie tłumaczenia, formatowania oraz adaptacji regulacyjnej do prawa polskiego stanowi własność intelektualną firmy ITALLUX Sp. z o.o. Kopiowanie i wykorzystywanie całości lub fragmentów w celach komercyjnych przez podmioty trzecie bez uprzedniej zgody właściciela jest zabronione. Dozwolone jest wykorzystanie dokumentu przez odbiorców w łańcuchu dostaw do celów bezpieczeństwa pracy i ochrony zdrowia.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E5E7EB" w:sz="4" w:space="4"/>
      </w:pBdr>
      <w:spacing w:before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Dystrybutor: ITALLUX Sp. z o.o. (www.prostozwloch.pl) | </w:t>
    </w:r>
    <w:r>
      <w:rPr>
        <w:rFonts w:ascii="Arial" w:cs="Arial" w:eastAsia="Arial" w:hAnsi="Arial"/>
        <w:color w:val="555555"/>
        <w:sz w:val="16"/>
        <w:szCs w:val="16"/>
      </w:rPr>
      <w:t xml:space="preserve">Strona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z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E5E7EB" w:sz="4" w:space="4"/>
      </w:pBdr>
      <w:spacing w:after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KARTA CHARAKTERYSTYKI | SWEET HOME - PROFUMATORE AMBIENTE ORCHIDEA E VANIGLIA V2 | Wersja: 2.0 /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df4620fc619cfcec683facca7e88bc7fd37dd8.undefined"/><Relationship Id="rId10" Type="http://schemas.openxmlformats.org/officeDocument/2006/relationships/image" Target="media/ab3b38ff5aec5db8cf291d921b1836a765ff072f.undefined"/><Relationship Id="rId11" Type="http://schemas.openxmlformats.org/officeDocument/2006/relationships/image" Target="media/bb4e46ba2799965d0181b8cc93349251770e4a8c.undefined"/><Relationship Id="rId12" Type="http://schemas.openxmlformats.org/officeDocument/2006/relationships/image" Target="media/40ebfa5564939c27d85f5e4019dc884a31c847f6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2026-09-15T06:25:10.254Z</dcterms:created>
  <dcterms:modified xsi:type="dcterms:W3CDTF">2026-09-15T06:25:10.255Z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