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01.09.2023</w:t>
            </w:r>
          </w:p>
          <w:p>
            <w:r>
              <w:rPr>
                <w:rFonts w:ascii="Arial" w:cs="Arial" w:eastAsia="Arial" w:hAnsi="Arial"/>
                <w:b/>
                <w:bCs/>
                <w:sz w:val="18"/>
                <w:szCs w:val="18"/>
              </w:rPr>
              <w:t xml:space="preserve">Aktualizacja: </w:t>
            </w:r>
            <w:r>
              <w:rPr>
                <w:rFonts w:ascii="Arial" w:cs="Arial" w:eastAsia="Arial" w:hAnsi="Arial"/>
                <w:sz w:val="18"/>
                <w:szCs w:val="18"/>
              </w:rPr>
              <w:t xml:space="preserve">14.02.2025</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950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80"/>
      </w:pPr>
      <w:r>
        <w:rPr>
          <w:rFonts w:ascii="Arial" w:cs="Arial" w:eastAsia="Arial" w:hAnsi="Arial"/>
          <w:sz w:val="20"/>
          <w:szCs w:val="20"/>
        </w:rPr>
        <w:t xml:space="preserve">Wobec braku danych doświadczalnych dla samego produktu, zagrożenia dla zdrowia oceniono na podstawie właściwości substancji w nim zawartych, stosując kryteria określone w odpowiednich przepisach dotyczących klasyfikacji.</w:t>
      </w:r>
    </w:p>
    <w:p>
      <w:pPr>
        <w:spacing w:after="80"/>
      </w:pPr>
      <w:r>
        <w:rPr>
          <w:rFonts w:ascii="Arial" w:cs="Arial" w:eastAsia="Arial" w:hAnsi="Arial"/>
          <w:sz w:val="20"/>
          <w:szCs w:val="20"/>
        </w:rPr>
        <w:t xml:space="preserve">Należy zatem wziąć pod uwagę stężenia poszczególnych substancji niebezpiecznych wymienionych w sekcji 3, aby ocenić skutki toksykologiczne narażenia na produkt.</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przez drogi oddechowe (inhalacyjnie); kontakt ze skórą.</w:t>
      </w:r>
    </w:p>
    <w:p>
      <w:pPr>
        <w:spacing w:after="80"/>
      </w:pPr>
      <w:r>
        <w:rPr>
          <w:rFonts w:ascii="Arial" w:cs="Arial" w:eastAsia="Arial" w:hAnsi="Arial"/>
          <w:sz w:val="20"/>
          <w:szCs w:val="20"/>
        </w:rPr>
        <w:t xml:space="preserve">KONSUMENCI: spożycie skażonej żywności lub wody; przez drogi oddechowe (inhalacyjnie) z otaczającego powietrza; kontakt ze skórą z produktami zawierającymi substancję.</w:t>
      </w:r>
    </w:p>
    <w:p>
      <w:pPr>
        <w:spacing w:after="80"/>
      </w:pPr>
      <w:r>
        <w:rPr>
          <w:rFonts w:ascii="Arial" w:cs="Arial" w:eastAsia="Arial" w:hAnsi="Arial"/>
          <w:sz w:val="20"/>
          <w:szCs w:val="20"/>
        </w:rPr>
        <w:t xml:space="preserve">Skutki opóźnione i bezpośrednie oraz skutki przewlekłe spowodowane krótko- i długotrwałym narażeniem:</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zapaleniem wielonerwowym; działa drażniąco na skórę, spojówki, rogówkę i układ oddechowy.</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oraz inne produkty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(przez drogi oddechowe (inhalacyjnie)) mieszaniny: Nie sklasyfikowano (brak istotnych składników)</w:t>
      </w:r>
    </w:p>
    <w:p>
      <w:pPr>
        <w:spacing w:after="80"/>
      </w:pPr>
      <w:r>
        <w:rPr>
          <w:rFonts w:ascii="Arial" w:cs="Arial" w:eastAsia="Arial" w:hAnsi="Arial"/>
          <w:sz w:val="20"/>
          <w:szCs w:val="20"/>
        </w:rPr>
        <w:t xml:space="preserve">ATE (droga pokarmowa (doustnie)) mieszaniny: Nie sklasyfikowano (brak istotnych składników)</w:t>
      </w:r>
    </w:p>
    <w:p>
      <w:pPr>
        <w:spacing w:after="80"/>
      </w:pPr>
      <w:r>
        <w:rPr>
          <w:rFonts w:ascii="Arial" w:cs="Arial" w:eastAsia="Arial" w:hAnsi="Arial"/>
          <w:sz w:val="20"/>
          <w:szCs w:val="20"/>
        </w:rPr>
        <w:t xml:space="preserve">ATE (na skórę) mieszaniny: Nie sklasyfikowano (brak istotnych składników)</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LD50 (droga pokarmowa): &gt; 5000 mg/kg (szczur)</w:t>
      </w:r>
    </w:p>
    <w:p>
      <w:pPr>
        <w:spacing w:after="80"/>
      </w:pPr>
      <w:r>
        <w:rPr>
          <w:rFonts w:ascii="Arial" w:cs="Arial" w:eastAsia="Arial" w:hAnsi="Arial"/>
          <w:sz w:val="20"/>
          <w:szCs w:val="20"/>
        </w:rPr>
        <w:t xml:space="preserve">LC50 (drogi oddechowe, pary): &gt; 50 mg/l/4h (szczur)</w:t>
      </w:r>
    </w:p>
    <w:p>
      <w:pPr>
        <w:spacing w:after="80"/>
      </w:pPr>
      <w:r>
        <w:rPr>
          <w:rFonts w:ascii="Arial" w:cs="Arial" w:eastAsia="Arial" w:hAnsi="Arial"/>
          <w:sz w:val="20"/>
          <w:szCs w:val="20"/>
        </w:rPr>
        <w:t xml:space="preserve">aldehyd anyżowy (4-metoksybenzaldehyd):</w:t>
      </w:r>
    </w:p>
    <w:p>
      <w:pPr>
        <w:spacing w:after="80"/>
      </w:pPr>
      <w:r>
        <w:rPr>
          <w:rFonts w:ascii="Arial" w:cs="Arial" w:eastAsia="Arial" w:hAnsi="Arial"/>
          <w:sz w:val="20"/>
          <w:szCs w:val="20"/>
        </w:rPr>
        <w:t xml:space="preserve">LD50 (na skórę): &gt; 5000 mg/kg (królik)</w:t>
      </w:r>
    </w:p>
    <w:p>
      <w:pPr>
        <w:spacing w:after="80"/>
      </w:pPr>
      <w:r>
        <w:rPr>
          <w:rFonts w:ascii="Arial" w:cs="Arial" w:eastAsia="Arial" w:hAnsi="Arial"/>
          <w:sz w:val="20"/>
          <w:szCs w:val="20"/>
        </w:rPr>
        <w:t xml:space="preserve">LD50 (droga pokarmowa): 3210 mg/kg (szczur)</w:t>
      </w:r>
    </w:p>
    <w:p>
      <w:pPr>
        <w:spacing w:after="80"/>
      </w:pPr>
      <w:r>
        <w:rPr>
          <w:rFonts w:ascii="Arial" w:cs="Arial" w:eastAsia="Arial" w:hAnsi="Arial"/>
          <w:sz w:val="20"/>
          <w:szCs w:val="20"/>
        </w:rPr>
        <w:t xml:space="preserve">LC50 (przez drogi oddechowe, pary): 0,32 mg/l/7h (szczur)</w:t>
      </w:r>
    </w:p>
    <w:p>
      <w:pPr>
        <w:spacing w:after="80"/>
      </w:pPr>
      <w:r>
        <w:rPr>
          <w:rFonts w:ascii="Arial" w:cs="Arial" w:eastAsia="Arial" w:hAnsi="Arial"/>
          <w:sz w:val="20"/>
          <w:szCs w:val="20"/>
        </w:rPr>
        <w:t xml:space="preserve">kumaryna (2H-chromen-2-on):</w:t>
      </w:r>
    </w:p>
    <w:p>
      <w:pPr>
        <w:spacing w:after="80"/>
      </w:pPr>
      <w:r>
        <w:rPr>
          <w:rFonts w:ascii="Arial" w:cs="Arial" w:eastAsia="Arial" w:hAnsi="Arial"/>
          <w:sz w:val="20"/>
          <w:szCs w:val="20"/>
        </w:rPr>
        <w:t xml:space="preserve">LD50 (na skórę): 293 mg/kg mc. (szczur)</w:t>
      </w:r>
    </w:p>
    <w:p>
      <w:pPr>
        <w:spacing w:after="80"/>
      </w:pPr>
      <w:r>
        <w:rPr>
          <w:rFonts w:ascii="Arial" w:cs="Arial" w:eastAsia="Arial" w:hAnsi="Arial"/>
          <w:sz w:val="20"/>
          <w:szCs w:val="20"/>
        </w:rPr>
        <w:t xml:space="preserve">LD50 (droga pokarmowa): 290 mg/kg mc. (szczur)</w:t>
      </w:r>
    </w:p>
    <w:p>
      <w:pPr>
        <w:spacing w:after="80"/>
      </w:pPr>
      <w:r>
        <w:rPr>
          <w:rFonts w:ascii="Arial" w:cs="Arial" w:eastAsia="Arial" w:hAnsi="Arial"/>
          <w:sz w:val="20"/>
          <w:szCs w:val="20"/>
        </w:rPr>
        <w:t xml:space="preserve">LC50 (przez drogi oddechowe, pyły/mgły): 293 mg/kg (szczur)</w:t>
      </w:r>
    </w:p>
    <w:p>
      <w:pPr>
        <w:spacing w:after="80"/>
      </w:pPr>
      <w:r>
        <w:rPr>
          <w:rFonts w:ascii="Arial" w:cs="Arial" w:eastAsia="Arial" w:hAnsi="Arial"/>
          <w:sz w:val="20"/>
          <w:szCs w:val="20"/>
        </w:rPr>
        <w:t xml:space="preserve">2,6-di-tert-butylo-4-metylofenol (BHT):</w:t>
      </w:r>
    </w:p>
    <w:p>
      <w:pPr>
        <w:spacing w:after="80"/>
      </w:pPr>
      <w:r>
        <w:rPr>
          <w:rFonts w:ascii="Arial" w:cs="Arial" w:eastAsia="Arial" w:hAnsi="Arial"/>
          <w:sz w:val="20"/>
          <w:szCs w:val="20"/>
        </w:rPr>
        <w:t xml:space="preserve">LD50 (na skórę): &gt; 2000 mg/kg (szczur)</w:t>
      </w:r>
    </w:p>
    <w:p>
      <w:pPr>
        <w:spacing w:after="80"/>
      </w:pPr>
      <w:r>
        <w:rPr>
          <w:rFonts w:ascii="Arial" w:cs="Arial" w:eastAsia="Arial" w:hAnsi="Arial"/>
          <w:sz w:val="20"/>
          <w:szCs w:val="20"/>
        </w:rPr>
        <w:t xml:space="preserve">LD50 (droga pokarmowa): 2930 mg/kg (szczur)</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LD50 (na skórę): &gt; 5000 mg/kg mc. (królik)</w:t>
      </w:r>
    </w:p>
    <w:p>
      <w:pPr>
        <w:spacing w:after="80"/>
      </w:pPr>
      <w:r>
        <w:rPr>
          <w:rFonts w:ascii="Arial" w:cs="Arial" w:eastAsia="Arial" w:hAnsi="Arial"/>
          <w:sz w:val="20"/>
          <w:szCs w:val="20"/>
        </w:rPr>
        <w:t xml:space="preserve">LD50 (droga pokarmowa): &gt; 5000 mg/kg mc. (szczur)</w:t>
      </w:r>
    </w:p>
    <w:p>
      <w:pPr>
        <w:spacing w:after="80"/>
      </w:pPr>
      <w:r>
        <w:rPr>
          <w:rFonts w:ascii="Arial" w:cs="Arial" w:eastAsia="Arial" w:hAnsi="Arial"/>
          <w:sz w:val="20"/>
          <w:szCs w:val="20"/>
        </w:rPr>
        <w:t xml:space="preserve">LC50 (przez drogi oddechowe, pary): 100 ppm (człowiek)</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 skóry.</w:t>
      </w:r>
    </w:p>
    <w:p>
      <w:pPr>
        <w:spacing w:after="80"/>
      </w:pPr>
      <w:r>
        <w:rPr>
          <w:rFonts w:ascii="Arial" w:cs="Arial" w:eastAsia="Arial" w:hAnsi="Arial"/>
          <w:sz w:val="20"/>
          <w:szCs w:val="20"/>
        </w:rPr>
        <w:t xml:space="preserve">Zawiera: kumarynę (2H-chromen-2-on).</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Sklasyfikowany w Grupie 3 (nie można zaklasyfikować jako rakotwórczy dla ludzi) przez Międzynarodową Agencję Badań nad Rakiem (IARC) - (IARC, 1999).</w:t>
      </w:r>
    </w:p>
    <w:p>
      <w:pPr>
        <w:spacing w:after="80"/>
      </w:pPr>
      <w:r>
        <w:rPr>
          <w:rFonts w:ascii="Arial" w:cs="Arial" w:eastAsia="Arial" w:hAnsi="Arial"/>
          <w:sz w:val="20"/>
          <w:szCs w:val="20"/>
        </w:rPr>
        <w:t xml:space="preserve">Amerykańska Agencja Ochrony Środowiska (EPA) stwierdza,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w:t>
      </w:r>
    </w:p>
    <w:p>
      <w:pPr>
        <w:spacing w:after="100" w:before="200"/>
      </w:pPr>
      <w:r>
        <w:rPr>
          <w:rFonts w:ascii="Arial" w:cs="Arial" w:eastAsia="Arial" w:hAnsi="Arial"/>
          <w:b/>
          <w:bCs/>
          <w:sz w:val="20"/>
          <w:szCs w:val="20"/>
        </w:rPr>
        <w:t xml:space="preserve">11.2. Informacje o innych zagrożeniach</w:t>
      </w:r>
    </w:p>
    <w:p>
      <w:pPr>
        <w:spacing w:after="80"/>
      </w:pPr>
      <w:r>
        <w:rPr>
          <w:rFonts w:ascii="Arial" w:cs="Arial" w:eastAsia="Arial" w:hAnsi="Arial"/>
          <w:sz w:val="20"/>
          <w:szCs w:val="20"/>
        </w:rPr>
        <w:t xml:space="preserve">Właściwości zaburzające funkcjonowanie układu hormonalnego:</w:t>
      </w:r>
    </w:p>
    <w:p>
      <w:pPr>
        <w:spacing w:after="80"/>
      </w:pPr>
      <w:r>
        <w:rPr>
          <w:rFonts w:ascii="Arial" w:cs="Arial" w:eastAsia="Arial" w:hAnsi="Arial"/>
          <w:sz w:val="20"/>
          <w:szCs w:val="20"/>
        </w:rPr>
        <w:t xml:space="preserve">W oparciu o dostępne dane produkt nie zawiera substancji wymienionych w głównych europejskich wykazach potencjalnych lub podejrzewanych substancji zaburzających funkcjonowanie układu hormonalnego o ocenianym wpływie na zdrowie człowieka w stężeniu ≥ 0,1%.</w:t>
      </w:r>
    </w:p>
    <w:p>
      <w:pPr>
        <w:spacing w:after="80"/>
      </w:pPr>
      <w:r>
        <w:rPr>
          <w:rFonts w:ascii="Arial" w:cs="Arial" w:eastAsia="Arial" w:hAnsi="Arial"/>
          <w:sz w:val="20"/>
          <w:szCs w:val="20"/>
        </w:rPr>
        <w:t xml:space="preserve">Inne informacje:</w:t>
      </w:r>
    </w:p>
    <w:p>
      <w:pPr>
        <w:spacing w:after="80"/>
      </w:pPr>
      <w:r>
        <w:rPr>
          <w:rFonts w:ascii="Arial" w:cs="Arial" w:eastAsia="Arial" w:hAnsi="Arial"/>
          <w:sz w:val="20"/>
          <w:szCs w:val="20"/>
        </w:rPr>
        <w:t xml:space="preserve">Brak danych.</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w:t>
      </w:r>
      <w:r>
        <w:rPr>
          <w:rFonts w:ascii="Arial" w:cs="Arial" w:eastAsia="Arial" w:hAnsi="Arial"/>
          <w:sz w:val="20"/>
          <w:szCs w:val="20"/>
        </w:rPr>
        <w:t xml:space="preserve"> 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14.02.2025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2026-09-15T11:37:04.777Z</dcterms:created>
  <dcterms:modified xsi:type="dcterms:W3CDTF">2026-09-15T11:37:04.777Z</dcterms:modified>
</cp:coreProperties>
</file>

<file path=docProps/custom.xml><?xml version="1.0" encoding="utf-8"?>
<Properties xmlns="http://schemas.openxmlformats.org/officeDocument/2006/custom-properties" xmlns:vt="http://schemas.openxmlformats.org/officeDocument/2006/docPropsVTypes"/>
</file>