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b/>
          <w:bCs/>
          <w:sz w:val="36"/>
          <w:szCs w:val="36"/>
        </w:rPr>
        <w:t xml:space="preserve">Karta Charakterystyki</w:t>
      </w:r>
    </w:p>
    <w:p>
      <w:pPr>
        <w:spacing w:after="300"/>
        <w:jc w:val="center"/>
      </w:pPr>
      <w:r>
        <w:rPr>
          <w:sz w:val="16"/>
          <w:szCs w:val="16"/>
        </w:rPr>
        <w:t xml:space="preserve">[Sporządzona zgodnie z rozporządzeniem WE 1907/2006(REACH) wraz z późn. zm.]</w:t>
      </w:r>
    </w:p>
    <w:p>
      <w:pPr>
        <w:spacing w:after="400"/>
        <w:jc w:val="right"/>
      </w:pPr>
      <w:r>
        <w:rPr>
          <w:sz w:val="16"/>
          <w:szCs w:val="16"/>
        </w:rPr>
        <w:t xml:space="preserve">Data wystawienia: 14.09.2026</w:t>
      </w:r>
      <w:r>
        <w:rPr>
          <w:sz w:val="16"/>
          <w:szCs w:val="16"/>
        </w:rPr>
        <w:t xml:space="preserve">
Wersja: 1.0 PL</w:t>
      </w:r>
    </w:p>
    <w:p>
      <w:pPr>
        <w:pBdr>
          <w:bottom w:color="00A651" w:sz="12" w:space="1"/>
        </w:pBdr>
        <w:spacing w:after="150" w:before="300"/>
      </w:pPr>
      <w:r>
        <w:rPr>
          <w:b/>
          <w:bCs/>
          <w:sz w:val="22"/>
          <w:szCs w:val="22"/>
        </w:rPr>
        <w:t xml:space="preserve">SEKCJA 1: IDENTYFIKACJA SUBSTANCJI/MIESZANINY I IDENTYFIKACJA PRZEDSIĘBIORSTWA</w:t>
      </w:r>
    </w:p>
    <w:p>
      <w:pPr>
        <w:spacing w:after="100" w:before="200"/>
      </w:pPr>
      <w:r>
        <w:rPr>
          <w:rFonts w:ascii="Arial" w:cs="Arial" w:eastAsia="Arial" w:hAnsi="Arial"/>
          <w:b/>
          <w:bCs/>
          <w:sz w:val="20"/>
          <w:szCs w:val="20"/>
        </w:rPr>
        <w:t xml:space="preserve">1.1. Identyfikator produktu</w:t>
      </w:r>
    </w:p>
    <w:p>
      <w:pPr>
        <w:spacing w:after="80" w:before="80"/>
      </w:pPr>
      <w:r>
        <w:rPr>
          <w:rFonts w:ascii="Arial" w:cs="Arial" w:eastAsia="Arial" w:hAnsi="Arial"/>
          <w:b/>
          <w:bCs/>
          <w:sz w:val="20"/>
          <w:szCs w:val="20"/>
        </w:rPr>
        <w:t xml:space="preserve">Nazwa handlowa:</w:t>
      </w:r>
      <w:r>
        <w:rPr>
          <w:rFonts w:ascii="Arial" w:cs="Arial" w:eastAsia="Arial" w:hAnsi="Arial"/>
          <w:sz w:val="20"/>
          <w:szCs w:val="20"/>
        </w:rPr>
        <w:t xml:space="preserve"> SWEET HOME - PROFUMATORE AMBIENTE ORCHIDEA E VANIGLIA V2</w:t>
      </w:r>
    </w:p>
    <w:p>
      <w:pPr>
        <w:spacing w:after="80" w:before="80"/>
      </w:pPr>
      <w:r>
        <w:rPr>
          <w:rFonts w:ascii="Arial" w:cs="Arial" w:eastAsia="Arial" w:hAnsi="Arial"/>
          <w:b/>
          <w:bCs/>
          <w:sz w:val="20"/>
          <w:szCs w:val="20"/>
        </w:rPr>
        <w:t xml:space="preserve">UFI:</w:t>
      </w:r>
      <w:r>
        <w:rPr>
          <w:rFonts w:ascii="Arial" w:cs="Arial" w:eastAsia="Arial" w:hAnsi="Arial"/>
          <w:sz w:val="20"/>
          <w:szCs w:val="20"/>
        </w:rPr>
        <w:t xml:space="preserve"> 1JUA-J3HY-KX04-SM29</w:t>
      </w:r>
    </w:p>
    <w:p>
      <w:pPr>
        <w:spacing w:after="100" w:before="200"/>
      </w:pPr>
      <w:r>
        <w:rPr>
          <w:rFonts w:ascii="Arial" w:cs="Arial" w:eastAsia="Arial" w:hAnsi="Arial"/>
          <w:b/>
          <w:bCs/>
          <w:sz w:val="20"/>
          <w:szCs w:val="20"/>
        </w:rPr>
        <w:t xml:space="preserve">1.2. Istotne zidentyfikowane zastosowania substancji lub mieszaniny oraz zastosowania odradzane</w:t>
      </w:r>
    </w:p>
    <w:p>
      <w:pPr>
        <w:spacing w:after="80" w:before="80"/>
      </w:pPr>
      <w:r>
        <w:rPr>
          <w:rFonts w:ascii="Arial" w:cs="Arial" w:eastAsia="Arial" w:hAnsi="Arial"/>
          <w:b/>
          <w:bCs/>
          <w:sz w:val="20"/>
          <w:szCs w:val="20"/>
        </w:rPr>
        <w:t xml:space="preserve">Zastosowanie zidentyfikowane:</w:t>
      </w:r>
      <w:r>
        <w:rPr>
          <w:rFonts w:ascii="Arial" w:cs="Arial" w:eastAsia="Arial" w:hAnsi="Arial"/>
          <w:sz w:val="20"/>
          <w:szCs w:val="20"/>
        </w:rPr>
        <w:t xml:space="preserve"> Zastosowanie konsumenckie, profesjonalne, przemysłowe: Industrial Professional Consumer.</w:t>
      </w:r>
    </w:p>
    <w:p>
      <w:pPr>
        <w:spacing w:after="80" w:before="80"/>
      </w:pPr>
      <w:r>
        <w:rPr>
          <w:rFonts w:ascii="Arial" w:cs="Arial" w:eastAsia="Arial" w:hAnsi="Arial"/>
          <w:b/>
          <w:bCs/>
          <w:sz w:val="20"/>
          <w:szCs w:val="20"/>
        </w:rPr>
        <w:t xml:space="preserve">Zastosowania odradzane:</w:t>
      </w:r>
      <w:r>
        <w:rPr>
          <w:rFonts w:ascii="Arial" w:cs="Arial" w:eastAsia="Arial" w:hAnsi="Arial"/>
          <w:sz w:val="20"/>
          <w:szCs w:val="20"/>
        </w:rPr>
        <w:t xml:space="preserve"> Do not use for uses other than those indicated</w:t>
      </w:r>
    </w:p>
    <w:p>
      <w:pPr>
        <w:spacing w:after="100" w:before="200"/>
      </w:pPr>
      <w:r>
        <w:rPr>
          <w:rFonts w:ascii="Arial" w:cs="Arial" w:eastAsia="Arial" w:hAnsi="Arial"/>
          <w:b/>
          <w:bCs/>
          <w:sz w:val="20"/>
          <w:szCs w:val="20"/>
        </w:rPr>
        <w:t xml:space="preserve">1.3. Dane dotyczące dostawcy karty charakterystyki</w:t>
      </w:r>
    </w:p>
    <w:p>
      <w:pPr>
        <w:spacing w:after="80" w:before="80"/>
      </w:pPr>
      <w:r>
        <w:rPr>
          <w:rFonts w:ascii="Arial" w:cs="Arial" w:eastAsia="Arial" w:hAnsi="Arial"/>
          <w:b/>
          <w:bCs/>
          <w:sz w:val="20"/>
          <w:szCs w:val="20"/>
        </w:rPr>
        <w:t xml:space="preserve">Firma:</w:t>
      </w:r>
      <w:r>
        <w:rPr>
          <w:rFonts w:ascii="Arial" w:cs="Arial" w:eastAsia="Arial" w:hAnsi="Arial"/>
          <w:sz w:val="20"/>
          <w:szCs w:val="20"/>
        </w:rPr>
        <w:t xml:space="preserve"> MITRANS Weronika Grzesiak</w:t>
      </w:r>
    </w:p>
    <w:p>
      <w:pPr>
        <w:spacing w:after="80" w:before="80"/>
      </w:pPr>
      <w:r>
        <w:rPr>
          <w:rFonts w:ascii="Arial" w:cs="Arial" w:eastAsia="Arial" w:hAnsi="Arial"/>
          <w:b/>
          <w:bCs/>
          <w:sz w:val="20"/>
          <w:szCs w:val="20"/>
        </w:rPr>
        <w:t xml:space="preserve">Adres:</w:t>
      </w:r>
      <w:r>
        <w:rPr>
          <w:rFonts w:ascii="Arial" w:cs="Arial" w:eastAsia="Arial" w:hAnsi="Arial"/>
          <w:sz w:val="20"/>
          <w:szCs w:val="20"/>
        </w:rPr>
        <w:t xml:space="preserve"> ul. Wesoła 16, 63-600 Kępno, woj. wielkopolskie</w:t>
      </w:r>
    </w:p>
    <w:p>
      <w:pPr>
        <w:spacing w:after="80" w:before="80"/>
      </w:pPr>
      <w:r>
        <w:rPr>
          <w:rFonts w:ascii="Arial" w:cs="Arial" w:eastAsia="Arial" w:hAnsi="Arial"/>
          <w:b/>
          <w:bCs/>
          <w:sz w:val="20"/>
          <w:szCs w:val="20"/>
        </w:rPr>
        <w:t xml:space="preserve">E-mail:</w:t>
      </w:r>
      <w:r>
        <w:rPr>
          <w:rFonts w:ascii="Arial" w:cs="Arial" w:eastAsia="Arial" w:hAnsi="Arial"/>
          <w:sz w:val="20"/>
          <w:szCs w:val="20"/>
        </w:rPr>
        <w:t xml:space="preserve"> kontakt@prostozwloch.com.pl</w:t>
      </w:r>
    </w:p>
    <w:p>
      <w:pPr>
        <w:spacing w:after="80" w:before="80"/>
      </w:pPr>
      <w:r>
        <w:rPr>
          <w:rFonts w:ascii="Arial" w:cs="Arial" w:eastAsia="Arial" w:hAnsi="Arial"/>
          <w:b/>
          <w:bCs/>
          <w:sz w:val="20"/>
          <w:szCs w:val="20"/>
        </w:rPr>
        <w:t xml:space="preserve">Telefon:</w:t>
      </w:r>
      <w:r>
        <w:rPr>
          <w:rFonts w:ascii="Arial" w:cs="Arial" w:eastAsia="Arial" w:hAnsi="Arial"/>
          <w:sz w:val="20"/>
          <w:szCs w:val="20"/>
        </w:rPr>
        <w:t xml:space="preserve"> +48 663116607</w:t>
      </w:r>
    </w:p>
    <w:p>
      <w:pPr>
        <w:spacing w:after="100" w:before="200"/>
      </w:pPr>
      <w:r>
        <w:rPr>
          <w:rFonts w:ascii="Arial" w:cs="Arial" w:eastAsia="Arial" w:hAnsi="Arial"/>
          <w:b/>
          <w:bCs/>
          <w:sz w:val="20"/>
          <w:szCs w:val="20"/>
        </w:rPr>
        <w:t xml:space="preserve">1.4. Numer telefonu alarmowego</w:t>
      </w:r>
    </w:p>
    <w:p>
      <w:pPr>
        <w:spacing w:after="80" w:before="80"/>
      </w:pPr>
      <w:r>
        <w:rPr>
          <w:rFonts w:ascii="Arial" w:cs="Arial" w:eastAsia="Arial" w:hAnsi="Arial"/>
          <w:b/>
          <w:bCs/>
          <w:sz w:val="20"/>
          <w:szCs w:val="20"/>
        </w:rPr>
        <w:t xml:space="preserve">Telefon alarmowy przedsiębiorstwa:</w:t>
      </w:r>
      <w:r>
        <w:rPr>
          <w:rFonts w:ascii="Arial" w:cs="Arial" w:eastAsia="Arial" w:hAnsi="Arial"/>
          <w:sz w:val="20"/>
          <w:szCs w:val="20"/>
        </w:rPr>
        <w:t xml:space="preserve"> +48 663116607 (czynny od poniedziałku do piątku w godzinach 8:00 – 16:00, informacja udzielana w języku polskim)</w:t>
      </w:r>
    </w:p>
    <w:p>
      <w:pPr>
        <w:spacing w:after="80" w:before="150"/>
      </w:pPr>
      <w:r>
        <w:rPr>
          <w:rFonts w:ascii="Arial" w:cs="Arial" w:eastAsia="Arial" w:hAnsi="Arial"/>
          <w:b/>
          <w:bCs/>
          <w:sz w:val="20"/>
          <w:szCs w:val="20"/>
        </w:rPr>
        <w:t xml:space="preserve">Informacja toksykologiczna w Polsce (organ doradczy):</w:t>
      </w:r>
    </w:p>
    <w:p>
      <w:pPr>
        <w:spacing w:after="80" w:before="80"/>
      </w:pPr>
      <w:r>
        <w:rPr>
          <w:rFonts w:ascii="Arial" w:cs="Arial" w:eastAsia="Arial" w:hAnsi="Arial"/>
          <w:b/>
          <w:bCs/>
          <w:sz w:val="20"/>
          <w:szCs w:val="20"/>
        </w:rPr>
        <w:t xml:space="preserve">Krajowe Centrum Informacji Toksykologicznej (Instytut Medycyny Pracy im. prof. J. Nofera w Łodzi):</w:t>
      </w:r>
      <w:r>
        <w:rPr>
          <w:rFonts w:ascii="Arial" w:cs="Arial" w:eastAsia="Arial" w:hAnsi="Arial"/>
          <w:sz w:val="20"/>
          <w:szCs w:val="20"/>
        </w:rPr>
        <w:t xml:space="preserve"> tel. +48 42 631 47 24, +48 42 631 47 25 (czynne w dni robocze w godz. 7:00 – 15:00)</w:t>
      </w:r>
    </w:p>
    <w:p>
      <w:pPr>
        <w:spacing w:after="80" w:before="80"/>
      </w:pPr>
      <w:r>
        <w:rPr>
          <w:rFonts w:ascii="Arial" w:cs="Arial" w:eastAsia="Arial" w:hAnsi="Arial"/>
          <w:b/>
          <w:bCs/>
          <w:sz w:val="20"/>
          <w:szCs w:val="20"/>
        </w:rPr>
        <w:t xml:space="preserve">Ośrodek Informacji Toksykologicznej w Warszawie (całodobowa informacja toksykologiczna 24/7):</w:t>
      </w:r>
      <w:r>
        <w:rPr>
          <w:rFonts w:ascii="Arial" w:cs="Arial" w:eastAsia="Arial" w:hAnsi="Arial"/>
          <w:sz w:val="20"/>
          <w:szCs w:val="20"/>
        </w:rPr>
        <w:t xml:space="preserve"> tel. +48 22 619 66 54</w:t>
      </w:r>
    </w:p>
    <w:p>
      <w:pPr>
        <w:spacing w:after="80" w:before="80"/>
      </w:pPr>
      <w:r>
        <w:rPr>
          <w:rFonts w:ascii="Arial" w:cs="Arial" w:eastAsia="Arial" w:hAnsi="Arial"/>
          <w:b/>
          <w:bCs/>
          <w:sz w:val="20"/>
          <w:szCs w:val="20"/>
        </w:rPr>
        <w:t xml:space="preserve">Ogólne telefony ratunkowe w nagłych wypadkach:</w:t>
      </w:r>
      <w:r>
        <w:rPr>
          <w:rFonts w:ascii="Arial" w:cs="Arial" w:eastAsia="Arial" w:hAnsi="Arial"/>
          <w:sz w:val="20"/>
          <w:szCs w:val="20"/>
        </w:rPr>
        <w:t xml:space="preserve"> 112 (ogólnoeuropejski numer alarmowy), 998 (straż pożarna), 999 (pogotowie ratunkowe)</w:t>
      </w:r>
    </w:p>
    <w:p>
      <w:pPr>
        <w:pBdr>
          <w:bottom w:color="00A651" w:sz="12" w:space="1"/>
        </w:pBdr>
        <w:spacing w:after="150" w:before="300"/>
      </w:pPr>
      <w:r>
        <w:rPr>
          <w:b/>
          <w:bCs/>
          <w:sz w:val="22"/>
          <w:szCs w:val="22"/>
        </w:rPr>
        <w:t xml:space="preserve">SEKCJA 2: IDENTYFIKACJA ZAGROŻEŃ</w:t>
      </w:r>
    </w:p>
    <w:p>
      <w:pPr>
        <w:spacing w:after="100" w:before="200"/>
      </w:pPr>
      <w:r>
        <w:rPr>
          <w:rFonts w:ascii="Arial" w:cs="Arial" w:eastAsia="Arial" w:hAnsi="Arial"/>
          <w:b/>
          <w:bCs/>
          <w:sz w:val="20"/>
          <w:szCs w:val="20"/>
        </w:rPr>
        <w:t xml:space="preserve">2.1. Klasyfikacja substancji lub mieszaniny</w:t>
      </w:r>
    </w:p>
    <w:p>
      <w:pPr>
        <w:spacing w:after="80"/>
      </w:pPr>
      <w:r>
        <w:rPr>
          <w:rFonts w:ascii="Arial" w:cs="Arial" w:eastAsia="Arial" w:hAnsi="Arial"/>
          <w:sz w:val="20"/>
          <w:szCs w:val="20"/>
        </w:rPr>
        <w:t xml:space="preserve">H225</w:t>
      </w:r>
    </w:p>
    <w:p>
      <w:pPr>
        <w:spacing w:after="80"/>
      </w:pPr>
      <w:r>
        <w:rPr>
          <w:rFonts w:ascii="Arial" w:cs="Arial" w:eastAsia="Arial" w:hAnsi="Arial"/>
          <w:sz w:val="20"/>
          <w:szCs w:val="20"/>
        </w:rPr>
        <w:t xml:space="preserve">Wysoce łatwopalna ciecz i pary.</w:t>
      </w:r>
    </w:p>
    <w:p>
      <w:pPr>
        <w:spacing w:after="80"/>
      </w:pPr>
      <w:r>
        <w:rPr>
          <w:rFonts w:ascii="Arial" w:cs="Arial" w:eastAsia="Arial" w:hAnsi="Arial"/>
          <w:sz w:val="20"/>
          <w:szCs w:val="20"/>
        </w:rPr>
        <w:t xml:space="preserve">H319</w:t>
      </w:r>
    </w:p>
    <w:p>
      <w:pPr>
        <w:spacing w:after="80"/>
      </w:pPr>
      <w:r>
        <w:rPr>
          <w:rFonts w:ascii="Arial" w:cs="Arial" w:eastAsia="Arial" w:hAnsi="Arial"/>
          <w:sz w:val="20"/>
          <w:szCs w:val="20"/>
        </w:rPr>
        <w:t xml:space="preserve">Działa drażniąco na oczy.</w:t>
      </w:r>
    </w:p>
    <w:p>
      <w:pPr>
        <w:spacing w:after="80"/>
      </w:pPr>
      <w:r>
        <w:rPr>
          <w:rFonts w:ascii="Arial" w:cs="Arial" w:eastAsia="Arial" w:hAnsi="Arial"/>
          <w:sz w:val="20"/>
          <w:szCs w:val="20"/>
        </w:rPr>
        <w:t xml:space="preserve">H361FD</w:t>
      </w:r>
    </w:p>
    <w:p>
      <w:pPr>
        <w:spacing w:after="80"/>
      </w:pPr>
      <w:r>
        <w:rPr>
          <w:rFonts w:ascii="Arial" w:cs="Arial" w:eastAsia="Arial" w:hAnsi="Arial"/>
          <w:sz w:val="20"/>
          <w:szCs w:val="20"/>
        </w:rPr>
        <w:t xml:space="preserve">Podejrzewa się, że działa szkodliwie na płodność. Podejrzewa się, że działa szkodliwie na dziecko w łonie matki.</w:t>
      </w:r>
    </w:p>
    <w:p>
      <w:pPr>
        <w:spacing w:after="80"/>
      </w:pPr>
      <w:r>
        <w:rPr>
          <w:rFonts w:ascii="Arial" w:cs="Arial" w:eastAsia="Arial" w:hAnsi="Arial"/>
          <w:sz w:val="20"/>
          <w:szCs w:val="20"/>
        </w:rPr>
        <w:t xml:space="preserve">H412</w:t>
      </w:r>
    </w:p>
    <w:p>
      <w:pPr>
        <w:spacing w:after="80"/>
      </w:pPr>
      <w:r>
        <w:rPr>
          <w:rFonts w:ascii="Arial" w:cs="Arial" w:eastAsia="Arial" w:hAnsi="Arial"/>
          <w:sz w:val="20"/>
          <w:szCs w:val="20"/>
        </w:rPr>
        <w:t xml:space="preserve">Działa szkodliwie na organizmy wodne, powodując długotrwałe skutki.</w:t>
      </w:r>
    </w:p>
    <w:p>
      <w:pPr>
        <w:spacing w:after="80"/>
      </w:pPr>
      <w:r>
        <w:rPr>
          <w:rFonts w:ascii="Arial" w:cs="Arial" w:eastAsia="Arial" w:hAnsi="Arial"/>
          <w:sz w:val="20"/>
          <w:szCs w:val="20"/>
        </w:rPr>
        <w:t xml:space="preserve">H302</w:t>
      </w:r>
    </w:p>
    <w:p>
      <w:pPr>
        <w:spacing w:after="80"/>
      </w:pPr>
      <w:r>
        <w:rPr>
          <w:rFonts w:ascii="Arial" w:cs="Arial" w:eastAsia="Arial" w:hAnsi="Arial"/>
          <w:sz w:val="20"/>
          <w:szCs w:val="20"/>
        </w:rPr>
        <w:t xml:space="preserve">Działa szkodliwie po połknięciu.</w:t>
      </w:r>
    </w:p>
    <w:p>
      <w:pPr>
        <w:spacing w:after="80"/>
      </w:pPr>
      <w:r>
        <w:rPr>
          <w:rFonts w:ascii="Arial" w:cs="Arial" w:eastAsia="Arial" w:hAnsi="Arial"/>
          <w:sz w:val="20"/>
          <w:szCs w:val="20"/>
        </w:rPr>
        <w:t xml:space="preserve">H317</w:t>
      </w:r>
    </w:p>
    <w:p>
      <w:pPr>
        <w:spacing w:after="80"/>
      </w:pPr>
      <w:r>
        <w:rPr>
          <w:rFonts w:ascii="Arial" w:cs="Arial" w:eastAsia="Arial" w:hAnsi="Arial"/>
          <w:sz w:val="20"/>
          <w:szCs w:val="20"/>
        </w:rPr>
        <w:t xml:space="preserve">Może powodować reakcję alergiczną skóry.</w:t>
      </w:r>
    </w:p>
    <w:p>
      <w:pPr>
        <w:spacing w:after="80"/>
      </w:pPr>
      <w:r>
        <w:rPr>
          <w:rFonts w:ascii="Arial" w:cs="Arial" w:eastAsia="Arial" w:hAnsi="Arial"/>
          <w:sz w:val="20"/>
          <w:szCs w:val="20"/>
        </w:rPr>
        <w:t xml:space="preserve">H410</w:t>
      </w:r>
    </w:p>
    <w:p>
      <w:pPr>
        <w:spacing w:after="80"/>
      </w:pPr>
      <w:r>
        <w:rPr>
          <w:rFonts w:ascii="Arial" w:cs="Arial" w:eastAsia="Arial" w:hAnsi="Arial"/>
          <w:sz w:val="20"/>
          <w:szCs w:val="20"/>
        </w:rPr>
        <w:t xml:space="preserve">Działa bardzo toksycznie na organizmy wodne, powodując długotrwałe skutki.</w:t>
      </w:r>
    </w:p>
    <w:p>
      <w:pPr>
        <w:spacing w:after="80"/>
      </w:pPr>
      <w:r>
        <w:rPr>
          <w:rFonts w:ascii="Arial" w:cs="Arial" w:eastAsia="Arial" w:hAnsi="Arial"/>
          <w:sz w:val="20"/>
          <w:szCs w:val="20"/>
        </w:rPr>
        <w:t xml:space="preserve">H361D</w:t>
      </w:r>
    </w:p>
    <w:p>
      <w:pPr>
        <w:spacing w:after="80"/>
      </w:pPr>
      <w:r>
        <w:rPr>
          <w:rFonts w:ascii="Arial" w:cs="Arial" w:eastAsia="Arial" w:hAnsi="Arial"/>
          <w:sz w:val="20"/>
          <w:szCs w:val="20"/>
        </w:rPr>
        <w:t xml:space="preserve">Podejrzewa się, że działa szkodliwie na dziecko w łonie matki.</w:t>
      </w:r>
    </w:p>
    <w:p>
      <w:pPr>
        <w:spacing w:after="80"/>
      </w:pPr>
      <w:r>
        <w:rPr>
          <w:rFonts w:ascii="Arial" w:cs="Arial" w:eastAsia="Arial" w:hAnsi="Arial"/>
          <w:sz w:val="20"/>
          <w:szCs w:val="20"/>
        </w:rPr>
        <w:t xml:space="preserve">H304</w:t>
      </w:r>
    </w:p>
    <w:p>
      <w:pPr>
        <w:spacing w:after="80"/>
      </w:pPr>
      <w:r>
        <w:rPr>
          <w:rFonts w:ascii="Arial" w:cs="Arial" w:eastAsia="Arial" w:hAnsi="Arial"/>
          <w:sz w:val="20"/>
          <w:szCs w:val="20"/>
        </w:rPr>
        <w:t xml:space="preserve">Połknięcie i dostanie się przez drogi oddechowe może grozić śmiercią.</w:t>
      </w:r>
    </w:p>
    <w:p>
      <w:pPr>
        <w:spacing w:after="80"/>
      </w:pPr>
      <w:r>
        <w:rPr>
          <w:rFonts w:ascii="Arial" w:cs="Arial" w:eastAsia="Arial" w:hAnsi="Arial"/>
          <w:sz w:val="20"/>
          <w:szCs w:val="20"/>
        </w:rPr>
        <w:t xml:space="preserve">H373</w:t>
      </w:r>
    </w:p>
    <w:p>
      <w:pPr>
        <w:spacing w:after="80"/>
      </w:pPr>
      <w:r>
        <w:rPr>
          <w:rFonts w:ascii="Arial" w:cs="Arial" w:eastAsia="Arial" w:hAnsi="Arial"/>
          <w:sz w:val="20"/>
          <w:szCs w:val="20"/>
        </w:rPr>
        <w:t xml:space="preserve">Może powodować uszkodzenie narządów poprzez długotrwałe lub narażenie powtarzane.</w:t>
      </w:r>
    </w:p>
    <w:p>
      <w:pPr>
        <w:spacing w:after="80"/>
      </w:pPr>
      <w:r>
        <w:rPr>
          <w:rFonts w:ascii="Arial" w:cs="Arial" w:eastAsia="Arial" w:hAnsi="Arial"/>
          <w:sz w:val="20"/>
          <w:szCs w:val="20"/>
        </w:rPr>
        <w:t xml:space="preserve">H315</w:t>
      </w:r>
    </w:p>
    <w:p>
      <w:pPr>
        <w:spacing w:after="80"/>
      </w:pPr>
      <w:r>
        <w:rPr>
          <w:rFonts w:ascii="Arial" w:cs="Arial" w:eastAsia="Arial" w:hAnsi="Arial"/>
          <w:sz w:val="20"/>
          <w:szCs w:val="20"/>
        </w:rPr>
        <w:t xml:space="preserve">Działa drażniąco na skórę.</w:t>
      </w:r>
    </w:p>
    <w:p>
      <w:pPr>
        <w:spacing w:after="80"/>
      </w:pPr>
      <w:r>
        <w:rPr>
          <w:rFonts w:ascii="Arial" w:cs="Arial" w:eastAsia="Arial" w:hAnsi="Arial"/>
          <w:sz w:val="20"/>
          <w:szCs w:val="20"/>
        </w:rPr>
        <w:t xml:space="preserve">H336</w:t>
      </w:r>
    </w:p>
    <w:p>
      <w:pPr>
        <w:spacing w:after="80"/>
      </w:pPr>
      <w:r>
        <w:rPr>
          <w:rFonts w:ascii="Arial" w:cs="Arial" w:eastAsia="Arial" w:hAnsi="Arial"/>
          <w:sz w:val="20"/>
          <w:szCs w:val="20"/>
        </w:rPr>
        <w:t xml:space="preserve">Może wywoływać uczucie senności lub zawroty głowy.</w:t>
      </w:r>
    </w:p>
    <w:p>
      <w:pPr>
        <w:spacing w:after="100" w:before="200"/>
      </w:pPr>
      <w:r>
        <w:rPr>
          <w:rFonts w:ascii="Arial" w:cs="Arial" w:eastAsia="Arial" w:hAnsi="Arial"/>
          <w:b/>
          <w:bCs/>
          <w:sz w:val="20"/>
          <w:szCs w:val="20"/>
        </w:rPr>
        <w:t xml:space="preserve">2.2. Elementy oznakowania</w:t>
      </w:r>
    </w:p>
    <w:p>
      <w:pPr>
        <w:spacing w:after="80" w:before="150"/>
      </w:pPr>
      <w:r>
        <w:rPr>
          <w:rFonts w:ascii="Arial" w:cs="Arial" w:eastAsia="Arial" w:hAnsi="Arial"/>
          <w:b/>
          <w:bCs/>
          <w:sz w:val="20"/>
          <w:szCs w:val="20"/>
        </w:rPr>
        <w:t xml:space="preserve">Piktogramy określające rodzaj zagrożenia i hasło ostrzegawcze</w:t>
      </w:r>
    </w:p>
    <w:p>
      <w:pPr>
        <w:spacing w:after="100" w:before="60"/>
      </w:pPr>
      <w:r>
        <w:drawing>
          <wp:inline distT="0" distB="0" distL="0" distR="0">
            <wp:extent cx="714375"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14375" cy="714375"/>
                    </a:xfrm>
                    <a:prstGeom prst="rect">
                      <a:avLst/>
                    </a:prstGeom>
                  </pic:spPr>
                </pic:pic>
              </a:graphicData>
            </a:graphic>
          </wp:inline>
        </w:drawing>
      </w:r>
      <w:r>
        <w:drawing>
          <wp:inline distT="0" distB="0" distL="0" distR="0">
            <wp:extent cx="714375"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714375" cy="714375"/>
                    </a:xfrm>
                    <a:prstGeom prst="rect">
                      <a:avLst/>
                    </a:prstGeom>
                  </pic:spPr>
                </pic:pic>
              </a:graphicData>
            </a:graphic>
          </wp:inline>
        </w:drawing>
      </w:r>
      <w:r>
        <w:drawing>
          <wp:inline distT="0" distB="0" distL="0" distR="0">
            <wp:extent cx="714375"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14375" cy="714375"/>
                    </a:xfrm>
                    <a:prstGeom prst="rect">
                      <a:avLst/>
                    </a:prstGeom>
                  </pic:spPr>
                </pic:pic>
              </a:graphicData>
            </a:graphic>
          </wp:inline>
        </w:drawing>
      </w:r>
      <w:r>
        <w:drawing>
          <wp:inline distT="0" distB="0" distL="0" distR="0">
            <wp:extent cx="714375"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14375" cy="714375"/>
                    </a:xfrm>
                    <a:prstGeom prst="rect">
                      <a:avLst/>
                    </a:prstGeom>
                  </pic:spPr>
                </pic:pic>
              </a:graphicData>
            </a:graphic>
          </wp:inline>
        </w:drawing>
      </w:r>
    </w:p>
    <w:p>
      <w:pPr>
        <w:spacing w:after="80"/>
      </w:pPr>
      <w:r>
        <w:rPr>
          <w:rFonts w:ascii="Arial" w:cs="Arial" w:eastAsia="Arial" w:hAnsi="Arial"/>
          <w:sz w:val="20"/>
          <w:szCs w:val="20"/>
        </w:rPr>
        <w:t xml:space="preserve">Niebezpieczeństwo</w:t>
      </w:r>
    </w:p>
    <w:p>
      <w:pPr>
        <w:spacing w:after="80" w:before="150"/>
      </w:pPr>
      <w:r>
        <w:rPr>
          <w:rFonts w:ascii="Arial" w:cs="Arial" w:eastAsia="Arial" w:hAnsi="Arial"/>
          <w:b/>
          <w:bCs/>
          <w:sz w:val="20"/>
          <w:szCs w:val="20"/>
        </w:rPr>
        <w:t xml:space="preserve">Nazwy niebezpiecznych substancji wymienione na etykiecie</w:t>
      </w:r>
    </w:p>
    <w:p>
      <w:pPr>
        <w:spacing w:after="80"/>
      </w:pPr>
      <w:r>
        <w:rPr>
          <w:rFonts w:ascii="Arial" w:cs="Arial" w:eastAsia="Arial" w:hAnsi="Arial"/>
          <w:sz w:val="20"/>
          <w:szCs w:val="20"/>
        </w:rPr>
        <w:t xml:space="preserve">Nie ma.</w:t>
      </w:r>
    </w:p>
    <w:p>
      <w:pPr>
        <w:spacing w:after="80" w:before="150"/>
      </w:pPr>
      <w:r>
        <w:rPr>
          <w:rFonts w:ascii="Arial" w:cs="Arial" w:eastAsia="Arial" w:hAnsi="Arial"/>
          <w:b/>
          <w:bCs/>
          <w:sz w:val="20"/>
          <w:szCs w:val="20"/>
        </w:rPr>
        <w:t xml:space="preserve">Zwroty wskazujące rodzaj zagrożenia</w:t>
      </w:r>
    </w:p>
    <w:p>
      <w:pPr>
        <w:spacing w:after="80"/>
      </w:pPr>
      <w:r>
        <w:rPr>
          <w:rFonts w:ascii="Arial" w:cs="Arial" w:eastAsia="Arial" w:hAnsi="Arial"/>
          <w:sz w:val="20"/>
          <w:szCs w:val="20"/>
        </w:rPr>
        <w:t xml:space="preserve">H225 Wysoce łatwopalna ciecz i pary.</w:t>
      </w:r>
    </w:p>
    <w:p>
      <w:pPr>
        <w:spacing w:after="80"/>
      </w:pPr>
      <w:r>
        <w:rPr>
          <w:rFonts w:ascii="Arial" w:cs="Arial" w:eastAsia="Arial" w:hAnsi="Arial"/>
          <w:sz w:val="20"/>
          <w:szCs w:val="20"/>
        </w:rPr>
        <w:t xml:space="preserve">H319 Działa drażniąco na oczy.</w:t>
      </w:r>
    </w:p>
    <w:p>
      <w:pPr>
        <w:spacing w:after="80"/>
      </w:pPr>
      <w:r>
        <w:rPr>
          <w:rFonts w:ascii="Arial" w:cs="Arial" w:eastAsia="Arial" w:hAnsi="Arial"/>
          <w:sz w:val="20"/>
          <w:szCs w:val="20"/>
        </w:rPr>
        <w:t xml:space="preserve">H361FD Podejrzewa się, że działa szkodliwie na płodność. Podejrzewa się, że działa szkodliwie na dziecko w łonie matki.</w:t>
      </w:r>
    </w:p>
    <w:p>
      <w:pPr>
        <w:spacing w:after="80"/>
      </w:pPr>
      <w:r>
        <w:rPr>
          <w:rFonts w:ascii="Arial" w:cs="Arial" w:eastAsia="Arial" w:hAnsi="Arial"/>
          <w:sz w:val="20"/>
          <w:szCs w:val="20"/>
        </w:rPr>
        <w:t xml:space="preserve">H412 Działa szkodliwie na organizmy wodne, powodując długotrwałe skutki.</w:t>
      </w:r>
    </w:p>
    <w:p>
      <w:pPr>
        <w:spacing w:after="80"/>
      </w:pPr>
      <w:r>
        <w:rPr>
          <w:rFonts w:ascii="Arial" w:cs="Arial" w:eastAsia="Arial" w:hAnsi="Arial"/>
          <w:sz w:val="20"/>
          <w:szCs w:val="20"/>
        </w:rPr>
        <w:t xml:space="preserve">H302 Działa szkodliwie po połknięciu.</w:t>
      </w:r>
    </w:p>
    <w:p>
      <w:pPr>
        <w:spacing w:after="80"/>
      </w:pPr>
      <w:r>
        <w:rPr>
          <w:rFonts w:ascii="Arial" w:cs="Arial" w:eastAsia="Arial" w:hAnsi="Arial"/>
          <w:sz w:val="20"/>
          <w:szCs w:val="20"/>
        </w:rPr>
        <w:t xml:space="preserve">H317 Może powodować reakcję alergiczną skóry.</w:t>
      </w:r>
    </w:p>
    <w:p>
      <w:pPr>
        <w:spacing w:after="80"/>
      </w:pPr>
      <w:r>
        <w:rPr>
          <w:rFonts w:ascii="Arial" w:cs="Arial" w:eastAsia="Arial" w:hAnsi="Arial"/>
          <w:sz w:val="20"/>
          <w:szCs w:val="20"/>
        </w:rPr>
        <w:t xml:space="preserve">H410 Działa bardzo toksycznie na organizmy wodne, powodując długotrwałe skutki.</w:t>
      </w:r>
    </w:p>
    <w:p>
      <w:pPr>
        <w:spacing w:after="80"/>
      </w:pPr>
      <w:r>
        <w:rPr>
          <w:rFonts w:ascii="Arial" w:cs="Arial" w:eastAsia="Arial" w:hAnsi="Arial"/>
          <w:sz w:val="20"/>
          <w:szCs w:val="20"/>
        </w:rPr>
        <w:t xml:space="preserve">H361D Podejrzewa się, że działa szkodliwie na dziecko w łonie matki.</w:t>
      </w:r>
    </w:p>
    <w:p>
      <w:pPr>
        <w:spacing w:after="80"/>
      </w:pPr>
      <w:r>
        <w:rPr>
          <w:rFonts w:ascii="Arial" w:cs="Arial" w:eastAsia="Arial" w:hAnsi="Arial"/>
          <w:sz w:val="20"/>
          <w:szCs w:val="20"/>
        </w:rPr>
        <w:t xml:space="preserve">H304 Połknięcie i dostanie się przez drogi oddechowe może grozić śmiercią.</w:t>
      </w:r>
    </w:p>
    <w:p>
      <w:pPr>
        <w:spacing w:after="80"/>
      </w:pPr>
      <w:r>
        <w:rPr>
          <w:rFonts w:ascii="Arial" w:cs="Arial" w:eastAsia="Arial" w:hAnsi="Arial"/>
          <w:sz w:val="20"/>
          <w:szCs w:val="20"/>
        </w:rPr>
        <w:t xml:space="preserve">H373 Może powodować uszkodzenie narządów poprzez długotrwałe lub narażenie powtarzane.</w:t>
      </w:r>
    </w:p>
    <w:p>
      <w:pPr>
        <w:spacing w:after="80"/>
      </w:pPr>
      <w:r>
        <w:rPr>
          <w:rFonts w:ascii="Arial" w:cs="Arial" w:eastAsia="Arial" w:hAnsi="Arial"/>
          <w:sz w:val="20"/>
          <w:szCs w:val="20"/>
        </w:rPr>
        <w:t xml:space="preserve">H315 Działa drażniąco na skórę.</w:t>
      </w:r>
    </w:p>
    <w:p>
      <w:pPr>
        <w:spacing w:after="80"/>
      </w:pPr>
      <w:r>
        <w:rPr>
          <w:rFonts w:ascii="Arial" w:cs="Arial" w:eastAsia="Arial" w:hAnsi="Arial"/>
          <w:sz w:val="20"/>
          <w:szCs w:val="20"/>
        </w:rPr>
        <w:t xml:space="preserve">H336 Może wywoływać uczucie senności lub zawroty głowy.</w:t>
      </w:r>
    </w:p>
    <w:p>
      <w:pPr>
        <w:spacing w:after="80" w:before="150"/>
      </w:pPr>
      <w:r>
        <w:rPr>
          <w:rFonts w:ascii="Arial" w:cs="Arial" w:eastAsia="Arial" w:hAnsi="Arial"/>
          <w:b/>
          <w:bCs/>
          <w:sz w:val="20"/>
          <w:szCs w:val="20"/>
        </w:rPr>
        <w:t xml:space="preserve">Zwroty wskazujące środki ostrożności</w:t>
      </w:r>
    </w:p>
    <w:p>
      <w:pPr>
        <w:spacing w:after="80"/>
      </w:pPr>
      <w:r>
        <w:rPr>
          <w:rFonts w:ascii="Arial" w:cs="Arial" w:eastAsia="Arial" w:hAnsi="Arial"/>
          <w:sz w:val="20"/>
          <w:szCs w:val="20"/>
        </w:rPr>
        <w:t xml:space="preserve">P101 W razie konieczności zasięgnięcia porady lekarza należy pokazać pojemnik lub etykietę.</w:t>
      </w:r>
    </w:p>
    <w:p>
      <w:pPr>
        <w:spacing w:after="80"/>
      </w:pPr>
      <w:r>
        <w:rPr>
          <w:rFonts w:ascii="Arial" w:cs="Arial" w:eastAsia="Arial" w:hAnsi="Arial"/>
          <w:sz w:val="20"/>
          <w:szCs w:val="20"/>
        </w:rPr>
        <w:t xml:space="preserve">P102 Chronić przed dziećmi.</w:t>
      </w:r>
    </w:p>
    <w:p>
      <w:pPr>
        <w:spacing w:after="80"/>
      </w:pPr>
      <w:r>
        <w:rPr>
          <w:rFonts w:ascii="Arial" w:cs="Arial" w:eastAsia="Arial" w:hAnsi="Arial"/>
          <w:sz w:val="20"/>
          <w:szCs w:val="20"/>
        </w:rPr>
        <w:t xml:space="preserve">P210 Przechowywać z dala od źródeł ciepła, gorących powierzchni, źródeł iskrzenia, otwartego ognia i innych źródeł zapłonu. Nie palić.</w:t>
      </w:r>
    </w:p>
    <w:p>
      <w:pPr>
        <w:spacing w:after="80"/>
      </w:pPr>
      <w:r>
        <w:rPr>
          <w:rFonts w:ascii="Arial" w:cs="Arial" w:eastAsia="Arial" w:hAnsi="Arial"/>
          <w:sz w:val="20"/>
          <w:szCs w:val="20"/>
        </w:rPr>
        <w:t xml:space="preserve">P305+P351+P338 W PRZYPADKU DOSTANIA SIĘ DO OCZU: Ostrożnie płukać wodą przez kilka minut. Wyjąć soczewki kontaktowe, jeżeli są i można je łatwo usunąć. Nadal płukać.</w:t>
      </w:r>
    </w:p>
    <w:p>
      <w:pPr>
        <w:spacing w:after="80"/>
      </w:pPr>
      <w:r>
        <w:rPr>
          <w:rFonts w:ascii="Arial" w:cs="Arial" w:eastAsia="Arial" w:hAnsi="Arial"/>
          <w:sz w:val="20"/>
          <w:szCs w:val="20"/>
        </w:rPr>
        <w:t xml:space="preserve">P337+P313 W przypadku utrzymywania się działania drażniącego na oczy: Zasięgnąć porady/zgłosić się pod opiekę lekarza.</w:t>
      </w:r>
    </w:p>
    <w:p>
      <w:pPr>
        <w:spacing w:after="80"/>
      </w:pPr>
      <w:r>
        <w:rPr>
          <w:rFonts w:ascii="Arial" w:cs="Arial" w:eastAsia="Arial" w:hAnsi="Arial"/>
          <w:sz w:val="20"/>
          <w:szCs w:val="20"/>
        </w:rPr>
        <w:t xml:space="preserve">P501 Zawartość/pojemnik usuwać do odpowiednio oznakowanych pojemników na odpady zgodnie z krajowymi przepisami.</w:t>
      </w:r>
    </w:p>
    <w:p>
      <w:pPr>
        <w:spacing w:after="80"/>
      </w:pPr>
      <w:r>
        <w:rPr>
          <w:rFonts w:ascii="Arial" w:cs="Arial" w:eastAsia="Arial" w:hAnsi="Arial"/>
          <w:sz w:val="20"/>
          <w:szCs w:val="20"/>
        </w:rPr>
        <w:t xml:space="preserve">P302+P352 W PRZYPADKU KONTAKTU ZE SKÓRĄ: Umyć dużą ilością wody z mydłem.</w:t>
      </w:r>
    </w:p>
    <w:p>
      <w:pPr>
        <w:spacing w:after="80" w:before="150"/>
      </w:pPr>
      <w:r>
        <w:rPr>
          <w:rFonts w:ascii="Arial" w:cs="Arial" w:eastAsia="Arial" w:hAnsi="Arial"/>
          <w:b/>
          <w:bCs/>
          <w:sz w:val="20"/>
          <w:szCs w:val="20"/>
        </w:rPr>
        <w:t xml:space="preserve">Informacje uzupełniające</w:t>
      </w:r>
    </w:p>
    <w:p>
      <w:pPr>
        <w:spacing w:after="80"/>
      </w:pPr>
      <w:r>
        <w:rPr>
          <w:rFonts w:ascii="Arial" w:cs="Arial" w:eastAsia="Arial" w:hAnsi="Arial"/>
          <w:sz w:val="20"/>
          <w:szCs w:val="20"/>
        </w:rPr>
        <w:t xml:space="preserve">Brak.</w:t>
      </w:r>
    </w:p>
    <w:p>
      <w:pPr>
        <w:spacing w:after="100" w:before="200"/>
      </w:pPr>
      <w:r>
        <w:rPr>
          <w:rFonts w:ascii="Arial" w:cs="Arial" w:eastAsia="Arial" w:hAnsi="Arial"/>
          <w:b/>
          <w:bCs/>
          <w:sz w:val="20"/>
          <w:szCs w:val="20"/>
        </w:rPr>
        <w:t xml:space="preserve">2.3. Inne zagrożenia</w:t>
      </w:r>
    </w:p>
    <w:p>
      <w:pPr>
        <w:spacing w:after="80"/>
      </w:pPr>
      <w:r>
        <w:rPr>
          <w:rFonts w:ascii="Arial" w:cs="Arial" w:eastAsia="Arial" w:hAnsi="Arial"/>
          <w:sz w:val="20"/>
          <w:szCs w:val="20"/>
        </w:rPr>
        <w:t xml:space="preserve">Produkt nie zawiera składników wpisanych do wykazu ustanowionego zgodnie z art. 59 ust. 1 jako posiadające właściwości zaburzające funkcjonowanie układu hormonalnego ani składników o właściwościach zaburzających funkcjonowanie układu hormonalnego zgodnie z kryteriami określonymi w rozporządzeniu 2017/2100/UE lub rozporządzeniu 2018/605/UE w stężeniu równym lub większym od 0,1 %.</w:t>
      </w:r>
    </w:p>
    <w:p>
      <w:pPr>
        <w:spacing w:after="80"/>
      </w:pPr>
      <w:r>
        <w:rPr>
          <w:rFonts w:ascii="Arial" w:cs="Arial" w:eastAsia="Arial" w:hAnsi="Arial"/>
          <w:sz w:val="20"/>
          <w:szCs w:val="20"/>
        </w:rPr>
        <w:t xml:space="preserve">Komponenty mieszaniny nie spełniają kryteriów PBT lub vPvB zgodnie z załącznikiem XIII rozporządzenia REACH.</w:t>
      </w:r>
    </w:p>
    <w:p>
      <w:pPr>
        <w:pBdr>
          <w:bottom w:color="00A651" w:sz="12" w:space="1"/>
        </w:pBdr>
        <w:spacing w:after="150" w:before="300"/>
      </w:pPr>
      <w:r>
        <w:rPr>
          <w:b/>
          <w:bCs/>
          <w:sz w:val="22"/>
          <w:szCs w:val="22"/>
        </w:rPr>
        <w:t xml:space="preserve">SEKCJA 3: SKŁAD / INFORMACJA O SKŁADNIKACH</w:t>
      </w:r>
    </w:p>
    <w:p>
      <w:pPr>
        <w:spacing w:after="100" w:before="200"/>
      </w:pPr>
      <w:r>
        <w:rPr>
          <w:rFonts w:ascii="Arial" w:cs="Arial" w:eastAsia="Arial" w:hAnsi="Arial"/>
          <w:b/>
          <w:bCs/>
          <w:sz w:val="20"/>
          <w:szCs w:val="20"/>
        </w:rPr>
        <w:t xml:space="preserve">3.1. Substancje: Nie dotyczy.</w:t>
      </w:r>
    </w:p>
    <w:p>
      <w:pPr>
        <w:spacing w:after="100" w:before="200"/>
      </w:pPr>
      <w:r>
        <w:rPr>
          <w:rFonts w:ascii="Arial" w:cs="Arial" w:eastAsia="Arial" w:hAnsi="Arial"/>
          <w:b/>
          <w:bCs/>
          <w:sz w:val="20"/>
          <w:szCs w:val="20"/>
        </w:rPr>
        <w:t xml:space="preserve">3.2. Mieszaniny</w:t>
      </w:r>
    </w:p>
    <w:p>
      <w:pPr>
        <w:spacing w:after="80"/>
      </w:pPr>
      <w:r>
        <w:rPr>
          <w:rFonts w:ascii="Arial" w:cs="Arial" w:eastAsia="Arial" w:hAnsi="Arial"/>
          <w:sz w:val="20"/>
          <w:szCs w:val="20"/>
        </w:rPr>
        <w:t xml:space="preserve">Opis chemiczny: Mieszanina substancji stwarzających zagrożenie wraz z dodatkami niesklasyfikowanymi.</w:t>
      </w:r>
    </w:p>
    <w:p>
      <w:pPr>
        <w:spacing w:after="80"/>
      </w:pPr>
      <w:r>
        <w:rPr>
          <w:rFonts w:ascii="Arial" w:cs="Arial" w:eastAsia="Arial" w:hAnsi="Arial"/>
          <w:sz w:val="20"/>
          <w:szCs w:val="20"/>
        </w:rPr>
        <w:t xml:space="preserve">Mieszanina nie zawiera składników stwarzających zagrożenie w ilościach przekraczających stężenia graniczne określone w rozporządzeniu CLP.</w:t>
      </w:r>
    </w:p>
    <w:p>
      <w:pPr>
        <w:spacing w:after="80"/>
      </w:pPr>
      <w:r>
        <w:rPr>
          <w:rFonts w:ascii="Arial" w:cs="Arial" w:eastAsia="Arial" w:hAnsi="Arial"/>
          <w:sz w:val="20"/>
          <w:szCs w:val="20"/>
        </w:rPr>
        <w:t xml:space="preserve">Pełne brzmienie zwrotów H i EUH znajduje się w sekcji 16 karty charakterystyki.</w:t>
      </w:r>
    </w:p>
    <w:p>
      <w:pPr>
        <w:pBdr>
          <w:bottom w:color="00A651" w:sz="12" w:space="1"/>
        </w:pBdr>
        <w:spacing w:after="150" w:before="300"/>
      </w:pPr>
      <w:r>
        <w:rPr>
          <w:b/>
          <w:bCs/>
          <w:sz w:val="22"/>
          <w:szCs w:val="22"/>
        </w:rPr>
        <w:t xml:space="preserve">SEKCJA 4: ŚRODKI PIERWSZEJ POMOCY</w:t>
      </w:r>
    </w:p>
    <w:p>
      <w:pPr>
        <w:spacing w:after="100" w:before="200"/>
      </w:pPr>
      <w:r>
        <w:rPr>
          <w:rFonts w:ascii="Arial" w:cs="Arial" w:eastAsia="Arial" w:hAnsi="Arial"/>
          <w:b/>
          <w:bCs/>
          <w:sz w:val="20"/>
          <w:szCs w:val="20"/>
        </w:rPr>
        <w:t xml:space="preserve">4.1. Opis środków pierwszej pomocy</w:t>
      </w:r>
    </w:p>
    <w:p>
      <w:pPr>
        <w:spacing w:after="80" w:before="80"/>
      </w:pPr>
      <w:r>
        <w:rPr>
          <w:rFonts w:ascii="Arial" w:cs="Arial" w:eastAsia="Arial" w:hAnsi="Arial"/>
          <w:b/>
          <w:bCs/>
          <w:sz w:val="20"/>
          <w:szCs w:val="20"/>
        </w:rPr>
        <w:t xml:space="preserve">W kontakcie ze skórą:</w:t>
      </w:r>
      <w:r>
        <w:rPr>
          <w:rFonts w:ascii="Arial" w:cs="Arial" w:eastAsia="Arial" w:hAnsi="Arial"/>
          <w:sz w:val="20"/>
          <w:szCs w:val="20"/>
        </w:rPr>
        <w:t xml:space="preserve"> Zmyć natychmiast dużą ilością wody z mydłem.</w:t>
      </w:r>
    </w:p>
    <w:p>
      <w:pPr>
        <w:spacing w:after="80" w:before="80"/>
      </w:pPr>
      <w:r>
        <w:rPr>
          <w:rFonts w:ascii="Arial" w:cs="Arial" w:eastAsia="Arial" w:hAnsi="Arial"/>
          <w:b/>
          <w:bCs/>
          <w:sz w:val="20"/>
          <w:szCs w:val="20"/>
        </w:rPr>
        <w:t xml:space="preserve">W kontakcie z oczami:</w:t>
      </w:r>
      <w:r>
        <w:rPr>
          <w:rFonts w:ascii="Arial" w:cs="Arial" w:eastAsia="Arial" w:hAnsi="Arial"/>
          <w:sz w:val="20"/>
          <w:szCs w:val="20"/>
        </w:rPr>
        <w:t xml:space="preserve"> Płukać wodą przy otwartych powiekach przez wystarczająco długi czas, następnie natychmiast skonsultować się z lekarzem okulistą. Usunąć soczewki kontaktowe, jeżeli są i można je łatwo usunąć.</w:t>
      </w:r>
    </w:p>
    <w:p>
      <w:pPr>
        <w:spacing w:after="80" w:before="80"/>
      </w:pPr>
      <w:r>
        <w:rPr>
          <w:rFonts w:ascii="Arial" w:cs="Arial" w:eastAsia="Arial" w:hAnsi="Arial"/>
          <w:b/>
          <w:bCs/>
          <w:sz w:val="20"/>
          <w:szCs w:val="20"/>
        </w:rPr>
        <w:t xml:space="preserve">W przypadku spożycia:</w:t>
      </w:r>
      <w:r>
        <w:rPr>
          <w:rFonts w:ascii="Arial" w:cs="Arial" w:eastAsia="Arial" w:hAnsi="Arial"/>
          <w:sz w:val="20"/>
          <w:szCs w:val="20"/>
        </w:rPr>
        <w:t xml:space="preserve"> Nie wywoływać wymiotów. Niezwłocznie zasięgnąć porady lekarza, pokazując kartę charakterystyki lub etykietę produktu.</w:t>
      </w:r>
    </w:p>
    <w:p>
      <w:pPr>
        <w:spacing w:after="80" w:before="80"/>
      </w:pPr>
      <w:r>
        <w:rPr>
          <w:rFonts w:ascii="Arial" w:cs="Arial" w:eastAsia="Arial" w:hAnsi="Arial"/>
          <w:b/>
          <w:bCs/>
          <w:sz w:val="20"/>
          <w:szCs w:val="20"/>
        </w:rPr>
        <w:t xml:space="preserve">Po narażeniu drogą oddechową:</w:t>
      </w:r>
      <w:r>
        <w:rPr>
          <w:rFonts w:ascii="Arial" w:cs="Arial" w:eastAsia="Arial" w:hAnsi="Arial"/>
          <w:sz w:val="20"/>
          <w:szCs w:val="20"/>
        </w:rPr>
        <w:t xml:space="preserve"> Wyprowadzić poszkodowanego na świeże powietrze, zapewnić ciepło i spokój. W przypadku wystąpienia objawów skonsultować się z lekarzem i pokazać opakowanie lub etykietę.</w:t>
      </w:r>
    </w:p>
    <w:p>
      <w:pPr>
        <w:spacing w:after="100" w:before="200"/>
      </w:pPr>
      <w:r>
        <w:rPr>
          <w:rFonts w:ascii="Arial" w:cs="Arial" w:eastAsia="Arial" w:hAnsi="Arial"/>
          <w:b/>
          <w:bCs/>
          <w:sz w:val="20"/>
          <w:szCs w:val="20"/>
        </w:rPr>
        <w:t xml:space="preserve">4.2. Najważniejsze ostre i opóźnione objawy oraz skutki narażenia</w:t>
      </w:r>
    </w:p>
    <w:p>
      <w:pPr>
        <w:spacing w:after="80"/>
      </w:pPr>
      <w:r>
        <w:rPr>
          <w:rFonts w:ascii="Arial" w:cs="Arial" w:eastAsia="Arial" w:hAnsi="Arial"/>
          <w:sz w:val="20"/>
          <w:szCs w:val="20"/>
        </w:rPr>
        <w:t xml:space="preserve">Brak dostępnych szczegółowych informacji na temat objawów i skutków wywoływanych przez produkt.</w:t>
      </w:r>
    </w:p>
    <w:p>
      <w:pPr>
        <w:spacing w:after="100" w:before="200"/>
      </w:pPr>
      <w:r>
        <w:rPr>
          <w:rFonts w:ascii="Arial" w:cs="Arial" w:eastAsia="Arial" w:hAnsi="Arial"/>
          <w:b/>
          <w:bCs/>
          <w:sz w:val="20"/>
          <w:szCs w:val="20"/>
        </w:rPr>
        <w:t xml:space="preserve">4.3. Wskazania dotyczące wszelkiej natychmiastowej pomocy lekarskiej i szczególnego postępowania z poszkodowanym</w:t>
      </w:r>
    </w:p>
    <w:p>
      <w:pPr>
        <w:spacing w:after="80" w:before="80"/>
      </w:pPr>
      <w:r>
        <w:rPr>
          <w:rFonts w:ascii="Arial" w:cs="Arial" w:eastAsia="Arial" w:hAnsi="Arial"/>
          <w:b/>
          <w:bCs/>
          <w:sz w:val="20"/>
          <w:szCs w:val="20"/>
        </w:rPr>
        <w:t xml:space="preserve">Leczenie:</w:t>
      </w:r>
      <w:r>
        <w:rPr>
          <w:rFonts w:ascii="Arial" w:cs="Arial" w:eastAsia="Arial" w:hAnsi="Arial"/>
          <w:sz w:val="20"/>
          <w:szCs w:val="20"/>
        </w:rPr>
        <w:t xml:space="preserve"> Brak danych.</w:t>
      </w:r>
    </w:p>
    <w:p>
      <w:pPr>
        <w:pBdr>
          <w:bottom w:color="00A651" w:sz="12" w:space="1"/>
        </w:pBdr>
        <w:spacing w:after="150" w:before="300"/>
      </w:pPr>
      <w:r>
        <w:rPr>
          <w:b/>
          <w:bCs/>
          <w:sz w:val="22"/>
          <w:szCs w:val="22"/>
        </w:rPr>
        <w:t xml:space="preserve">SEKCJA 5: POSTĘPOWANIE W PRZYPADKU POŻARU</w:t>
      </w:r>
    </w:p>
    <w:p>
      <w:pPr>
        <w:spacing w:after="100" w:before="200"/>
      </w:pPr>
      <w:r>
        <w:rPr>
          <w:rFonts w:ascii="Arial" w:cs="Arial" w:eastAsia="Arial" w:hAnsi="Arial"/>
          <w:b/>
          <w:bCs/>
          <w:sz w:val="20"/>
          <w:szCs w:val="20"/>
        </w:rPr>
        <w:t xml:space="preserve">5.1. Środki gaśnicze</w:t>
      </w:r>
    </w:p>
    <w:p>
      <w:pPr>
        <w:spacing w:after="80" w:before="80"/>
      </w:pPr>
      <w:r>
        <w:rPr>
          <w:rFonts w:ascii="Arial" w:cs="Arial" w:eastAsia="Arial" w:hAnsi="Arial"/>
          <w:b/>
          <w:bCs/>
          <w:sz w:val="20"/>
          <w:szCs w:val="20"/>
        </w:rPr>
        <w:t xml:space="preserve">Odpowiednie środki gaśnicze:</w:t>
      </w:r>
      <w:r>
        <w:rPr>
          <w:rFonts w:ascii="Arial" w:cs="Arial" w:eastAsia="Arial" w:hAnsi="Arial"/>
          <w:sz w:val="20"/>
          <w:szCs w:val="20"/>
        </w:rPr>
        <w:t xml:space="preserve"> Piana gaśnicza, proszek gaśniczy, dwutlenek węgla (CO2), rozproszone prądy wody. Środki gaśnicze dobrać odpowiednio do materiałów palnych znajdujących się w otoczeniu pożaru.</w:t>
      </w:r>
    </w:p>
    <w:p>
      <w:pPr>
        <w:spacing w:after="80" w:before="80"/>
      </w:pPr>
      <w:r>
        <w:rPr>
          <w:rFonts w:ascii="Arial" w:cs="Arial" w:eastAsia="Arial" w:hAnsi="Arial"/>
          <w:b/>
          <w:bCs/>
          <w:sz w:val="20"/>
          <w:szCs w:val="20"/>
        </w:rPr>
        <w:t xml:space="preserve">Niewłaściwe środki gaśnicze:</w:t>
      </w:r>
      <w:r>
        <w:rPr>
          <w:rFonts w:ascii="Arial" w:cs="Arial" w:eastAsia="Arial" w:hAnsi="Arial"/>
          <w:sz w:val="20"/>
          <w:szCs w:val="20"/>
        </w:rPr>
        <w:t xml:space="preserve"> Brak szczególnych.</w:t>
      </w:r>
    </w:p>
    <w:p>
      <w:pPr>
        <w:spacing w:after="100" w:before="200"/>
      </w:pPr>
      <w:r>
        <w:rPr>
          <w:rFonts w:ascii="Arial" w:cs="Arial" w:eastAsia="Arial" w:hAnsi="Arial"/>
          <w:b/>
          <w:bCs/>
          <w:sz w:val="20"/>
          <w:szCs w:val="20"/>
        </w:rPr>
        <w:t xml:space="preserve">5.2. Szczególne zagrożenia związane z substancją lub mieszaniną</w:t>
      </w:r>
    </w:p>
    <w:p>
      <w:pPr>
        <w:spacing w:after="80" w:before="80"/>
      </w:pPr>
      <w:r>
        <w:rPr>
          <w:rFonts w:ascii="Arial" w:cs="Arial" w:eastAsia="Arial" w:hAnsi="Arial"/>
          <w:b/>
          <w:bCs/>
          <w:sz w:val="20"/>
          <w:szCs w:val="20"/>
        </w:rPr>
        <w:t xml:space="preserve">Szczególne zagrożenia:</w:t>
      </w:r>
      <w:r>
        <w:rPr>
          <w:rFonts w:ascii="Arial" w:cs="Arial" w:eastAsia="Arial" w:hAnsi="Arial"/>
          <w:sz w:val="20"/>
          <w:szCs w:val="20"/>
        </w:rPr>
        <w:t xml:space="preserve"> Unikać wdychania produktów spalania.</w:t>
      </w:r>
    </w:p>
    <w:p>
      <w:pPr>
        <w:spacing w:after="100" w:before="200"/>
      </w:pPr>
      <w:r>
        <w:rPr>
          <w:rFonts w:ascii="Arial" w:cs="Arial" w:eastAsia="Arial" w:hAnsi="Arial"/>
          <w:b/>
          <w:bCs/>
          <w:sz w:val="20"/>
          <w:szCs w:val="20"/>
        </w:rPr>
        <w:t xml:space="preserve">5.3. Informacje dla straży pożarnej</w:t>
      </w:r>
    </w:p>
    <w:p>
      <w:pPr>
        <w:spacing w:after="80" w:before="80"/>
      </w:pPr>
      <w:r>
        <w:rPr>
          <w:rFonts w:ascii="Arial" w:cs="Arial" w:eastAsia="Arial" w:hAnsi="Arial"/>
          <w:b/>
          <w:bCs/>
          <w:sz w:val="20"/>
          <w:szCs w:val="20"/>
        </w:rPr>
        <w:t xml:space="preserve">Środki ochrony strażaków:</w:t>
      </w:r>
      <w:r>
        <w:rPr>
          <w:rFonts w:ascii="Arial" w:cs="Arial" w:eastAsia="Arial" w:hAnsi="Arial"/>
          <w:sz w:val="20"/>
          <w:szCs w:val="20"/>
        </w:rPr>
        <w:t xml:space="preserve"> Gromadzić oddzielnie zanieczyszczoną wodę gaśniczą; nie dopuścić do jej przedostania się do kanalizacji. Stosować odzież ochronną dla strażaków zgodną z normą europejską EN 469 oraz autonomiczny aparat oddechowy (SCBA) z rękawicami odpornymi na chemikalia.</w:t>
      </w:r>
    </w:p>
    <w:p>
      <w:pPr>
        <w:pBdr>
          <w:bottom w:color="00A651" w:sz="12" w:space="1"/>
        </w:pBdr>
        <w:spacing w:after="150" w:before="300"/>
      </w:pPr>
      <w:r>
        <w:rPr>
          <w:b/>
          <w:bCs/>
          <w:sz w:val="22"/>
          <w:szCs w:val="22"/>
        </w:rPr>
        <w:t xml:space="preserve">SEKCJA 6: POSTĘPOWANIE W PRZYPADKU NIEZAMIERZONEGO UWOLNIENIA DO ŚRODOWISKA</w:t>
      </w:r>
    </w:p>
    <w:p>
      <w:pPr>
        <w:spacing w:after="100" w:before="200"/>
      </w:pPr>
      <w:r>
        <w:rPr>
          <w:rFonts w:ascii="Arial" w:cs="Arial" w:eastAsia="Arial" w:hAnsi="Arial"/>
          <w:b/>
          <w:bCs/>
          <w:sz w:val="20"/>
          <w:szCs w:val="20"/>
        </w:rPr>
        <w:t xml:space="preserve">6.1. Indywidualne środki ostrożności, wyposażenie ochronne i procedury w sytuacjach awaryjnych</w:t>
      </w:r>
    </w:p>
    <w:p>
      <w:pPr>
        <w:spacing w:after="80" w:before="80"/>
      </w:pPr>
      <w:r>
        <w:rPr>
          <w:rFonts w:ascii="Arial" w:cs="Arial" w:eastAsia="Arial" w:hAnsi="Arial"/>
          <w:b/>
          <w:bCs/>
          <w:sz w:val="20"/>
          <w:szCs w:val="20"/>
        </w:rPr>
        <w:t xml:space="preserve">Dla osób nienależących do personelu udzielającego pomocy:</w:t>
      </w:r>
      <w:r>
        <w:rPr>
          <w:rFonts w:ascii="Arial" w:cs="Arial" w:eastAsia="Arial" w:hAnsi="Arial"/>
          <w:sz w:val="20"/>
          <w:szCs w:val="20"/>
        </w:rPr>
        <w:t xml:space="preserve"> Stosować środki ochrony indywidualnej. Ewakuować osoby w bezpieczne miejsce. Patrz środki ochronne w punkcie 7 i 8.</w:t>
      </w:r>
    </w:p>
    <w:p>
      <w:pPr>
        <w:spacing w:after="80" w:before="80"/>
      </w:pPr>
      <w:r>
        <w:rPr>
          <w:rFonts w:ascii="Arial" w:cs="Arial" w:eastAsia="Arial" w:hAnsi="Arial"/>
          <w:b/>
          <w:bCs/>
          <w:sz w:val="20"/>
          <w:szCs w:val="20"/>
        </w:rPr>
        <w:t xml:space="preserve">Dla osób udzielających pomocy:</w:t>
      </w:r>
      <w:r>
        <w:rPr>
          <w:rFonts w:ascii="Arial" w:cs="Arial" w:eastAsia="Arial" w:hAnsi="Arial"/>
          <w:sz w:val="20"/>
          <w:szCs w:val="20"/>
        </w:rPr>
        <w:t xml:space="preserve"> Stosować środki ochrony indywidualnej.</w:t>
      </w:r>
    </w:p>
    <w:p>
      <w:pPr>
        <w:spacing w:after="100" w:before="200"/>
      </w:pPr>
      <w:r>
        <w:rPr>
          <w:rFonts w:ascii="Arial" w:cs="Arial" w:eastAsia="Arial" w:hAnsi="Arial"/>
          <w:b/>
          <w:bCs/>
          <w:sz w:val="20"/>
          <w:szCs w:val="20"/>
        </w:rPr>
        <w:t xml:space="preserve">6.2. Środki ostrożności w zakresie ochrony środowiska</w:t>
      </w:r>
    </w:p>
    <w:p>
      <w:pPr>
        <w:spacing w:after="80"/>
      </w:pPr>
      <w:r>
        <w:rPr>
          <w:rFonts w:ascii="Arial" w:cs="Arial" w:eastAsia="Arial" w:hAnsi="Arial"/>
          <w:sz w:val="20"/>
          <w:szCs w:val="20"/>
        </w:rPr>
        <w:t xml:space="preserve">Nie dopuścić do przedostania się do gleby/podglebia. Nie dopuścić do przedostania się do wód powierzchniowych ani kanalizacji. Zatrzymać zanieczyszczoną wodę z mycia i przekazać do utylizacji. W przypadku wycieku gazu lub przedostania się do cieków wodnych, gleby lub kanalizacji powiadomić właściwe władze.</w:t>
      </w:r>
    </w:p>
    <w:p>
      <w:pPr>
        <w:spacing w:after="100" w:before="200"/>
      </w:pPr>
      <w:r>
        <w:rPr>
          <w:rFonts w:ascii="Arial" w:cs="Arial" w:eastAsia="Arial" w:hAnsi="Arial"/>
          <w:b/>
          <w:bCs/>
          <w:sz w:val="20"/>
          <w:szCs w:val="20"/>
        </w:rPr>
        <w:t xml:space="preserve">6.3. Metody i materiały zapobiegające rozprzestrzenianiu się skażenia i służące do usuwania skażenia</w:t>
      </w:r>
    </w:p>
    <w:p>
      <w:pPr>
        <w:spacing w:after="80" w:before="80"/>
      </w:pPr>
      <w:r>
        <w:rPr>
          <w:rFonts w:ascii="Arial" w:cs="Arial" w:eastAsia="Arial" w:hAnsi="Arial"/>
          <w:b/>
          <w:bCs/>
          <w:sz w:val="20"/>
          <w:szCs w:val="20"/>
        </w:rPr>
        <w:t xml:space="preserve">Odpowiedni materiał do zbierania:</w:t>
      </w:r>
      <w:r>
        <w:rPr>
          <w:rFonts w:ascii="Arial" w:cs="Arial" w:eastAsia="Arial" w:hAnsi="Arial"/>
          <w:sz w:val="20"/>
          <w:szCs w:val="20"/>
        </w:rPr>
        <w:t xml:space="preserve"> materiał pochłaniający, organiczny, piasek. Zmyć dużą ilością wody.</w:t>
      </w:r>
    </w:p>
    <w:p>
      <w:pPr>
        <w:spacing w:after="100" w:before="200"/>
      </w:pPr>
      <w:r>
        <w:rPr>
          <w:rFonts w:ascii="Arial" w:cs="Arial" w:eastAsia="Arial" w:hAnsi="Arial"/>
          <w:b/>
          <w:bCs/>
          <w:sz w:val="20"/>
          <w:szCs w:val="20"/>
        </w:rPr>
        <w:t xml:space="preserve">6.4. Odniesienia do innych sekcji</w:t>
      </w:r>
    </w:p>
    <w:p>
      <w:pPr>
        <w:spacing w:after="80"/>
      </w:pPr>
      <w:r>
        <w:rPr>
          <w:rFonts w:ascii="Arial" w:cs="Arial" w:eastAsia="Arial" w:hAnsi="Arial"/>
          <w:sz w:val="20"/>
          <w:szCs w:val="20"/>
        </w:rPr>
        <w:t xml:space="preserve">Patrz również sekcja 8 i 13.</w:t>
      </w:r>
    </w:p>
    <w:p>
      <w:pPr>
        <w:pBdr>
          <w:bottom w:color="00A651" w:sz="12" w:space="1"/>
        </w:pBdr>
        <w:spacing w:after="150" w:before="300"/>
      </w:pPr>
      <w:r>
        <w:rPr>
          <w:b/>
          <w:bCs/>
          <w:sz w:val="22"/>
          <w:szCs w:val="22"/>
        </w:rPr>
        <w:t xml:space="preserve">SEKCJA 7: POSTĘPOWANIE Z SUBSTANCJAMI I MIESZANINAMI ORAZ ICH MAGAZYNOWANIE</w:t>
      </w:r>
    </w:p>
    <w:p>
      <w:pPr>
        <w:spacing w:after="100" w:before="200"/>
      </w:pPr>
      <w:r>
        <w:rPr>
          <w:rFonts w:ascii="Arial" w:cs="Arial" w:eastAsia="Arial" w:hAnsi="Arial"/>
          <w:b/>
          <w:bCs/>
          <w:sz w:val="20"/>
          <w:szCs w:val="20"/>
        </w:rPr>
        <w:t xml:space="preserve">7.1. Środki ostrożności dotyczące bezpiecznego postępowania</w:t>
      </w:r>
    </w:p>
    <w:p>
      <w:pPr>
        <w:spacing w:after="80" w:before="80"/>
      </w:pPr>
      <w:r>
        <w:rPr>
          <w:rFonts w:ascii="Arial" w:cs="Arial" w:eastAsia="Arial" w:hAnsi="Arial"/>
          <w:b/>
          <w:bCs/>
          <w:sz w:val="20"/>
          <w:szCs w:val="20"/>
        </w:rPr>
        <w:t xml:space="preserve">Środki ostrożności:</w:t>
      </w:r>
      <w:r>
        <w:rPr>
          <w:rFonts w:ascii="Arial" w:cs="Arial" w:eastAsia="Arial" w:hAnsi="Arial"/>
          <w:sz w:val="20"/>
          <w:szCs w:val="20"/>
        </w:rPr>
        <w:t xml:space="preserve"> Unikać kontaktu ze skórą i oczami oraz wdychania par i mgieł. Patrz również sekcja 8 w celu zapoznania się z zalecanym sprzętem ochrony osobistej.</w:t>
      </w:r>
    </w:p>
    <w:p>
      <w:pPr>
        <w:spacing w:after="80" w:before="80"/>
      </w:pPr>
      <w:r>
        <w:rPr>
          <w:rFonts w:ascii="Arial" w:cs="Arial" w:eastAsia="Arial" w:hAnsi="Arial"/>
          <w:b/>
          <w:bCs/>
          <w:sz w:val="20"/>
          <w:szCs w:val="20"/>
        </w:rPr>
        <w:t xml:space="preserve">Zalecenia dotyczące ogólnej higieny pracy:</w:t>
      </w:r>
      <w:r>
        <w:rPr>
          <w:rFonts w:ascii="Arial" w:cs="Arial" w:eastAsia="Arial" w:hAnsi="Arial"/>
          <w:sz w:val="20"/>
          <w:szCs w:val="20"/>
        </w:rPr>
        <w:t xml:space="preserve"> Nie jeść i nie pić podczas pracy.</w:t>
      </w:r>
    </w:p>
    <w:p>
      <w:pPr>
        <w:spacing w:after="100" w:before="200"/>
      </w:pPr>
      <w:r>
        <w:rPr>
          <w:rFonts w:ascii="Arial" w:cs="Arial" w:eastAsia="Arial" w:hAnsi="Arial"/>
          <w:b/>
          <w:bCs/>
          <w:sz w:val="20"/>
          <w:szCs w:val="20"/>
        </w:rPr>
        <w:t xml:space="preserve">7.2. Warunki bezpiecznego magazynowania, w tym informacje dotyczące wszelkich wzajemnych niezgodności</w:t>
      </w:r>
    </w:p>
    <w:p>
      <w:pPr>
        <w:spacing w:after="80" w:before="80"/>
      </w:pPr>
      <w:r>
        <w:rPr>
          <w:rFonts w:ascii="Arial" w:cs="Arial" w:eastAsia="Arial" w:hAnsi="Arial"/>
          <w:b/>
          <w:bCs/>
          <w:sz w:val="20"/>
          <w:szCs w:val="20"/>
        </w:rPr>
        <w:t xml:space="preserve">Materiały niezgodne:</w:t>
      </w:r>
      <w:r>
        <w:rPr>
          <w:rFonts w:ascii="Arial" w:cs="Arial" w:eastAsia="Arial" w:hAnsi="Arial"/>
          <w:sz w:val="20"/>
          <w:szCs w:val="20"/>
        </w:rPr>
        <w:t xml:space="preserve"> Brak szczególnych.</w:t>
      </w:r>
    </w:p>
    <w:p>
      <w:pPr>
        <w:spacing w:after="80" w:before="80"/>
      </w:pPr>
      <w:r>
        <w:rPr>
          <w:rFonts w:ascii="Arial" w:cs="Arial" w:eastAsia="Arial" w:hAnsi="Arial"/>
          <w:b/>
          <w:bCs/>
          <w:sz w:val="20"/>
          <w:szCs w:val="20"/>
        </w:rPr>
        <w:t xml:space="preserve">Wskazówki dotyczące pomieszczeń magazynowych:</w:t>
      </w:r>
      <w:r>
        <w:rPr>
          <w:rFonts w:ascii="Arial" w:cs="Arial" w:eastAsia="Arial" w:hAnsi="Arial"/>
          <w:sz w:val="20"/>
          <w:szCs w:val="20"/>
        </w:rPr>
        <w:t xml:space="preserve"> Pomieszczenia odpowiednio wentylowane.</w:t>
      </w:r>
    </w:p>
    <w:p>
      <w:pPr>
        <w:spacing w:after="100" w:before="200"/>
      </w:pPr>
      <w:r>
        <w:rPr>
          <w:rFonts w:ascii="Arial" w:cs="Arial" w:eastAsia="Arial" w:hAnsi="Arial"/>
          <w:b/>
          <w:bCs/>
          <w:sz w:val="20"/>
          <w:szCs w:val="20"/>
        </w:rPr>
        <w:t xml:space="preserve">7.3. Szczególne zastosowanie(-a) końcowe</w:t>
      </w:r>
    </w:p>
    <w:p>
      <w:pPr>
        <w:spacing w:after="80"/>
      </w:pPr>
      <w:r>
        <w:rPr>
          <w:rFonts w:ascii="Arial" w:cs="Arial" w:eastAsia="Arial" w:hAnsi="Arial"/>
          <w:sz w:val="20"/>
          <w:szCs w:val="20"/>
        </w:rPr>
        <w:t xml:space="preserve">Brak szczególnych.</w:t>
      </w:r>
    </w:p>
    <w:p>
      <w:pPr>
        <w:spacing w:after="80" w:before="80"/>
      </w:pPr>
      <w:r>
        <w:rPr>
          <w:rFonts w:ascii="Arial" w:cs="Arial" w:eastAsia="Arial" w:hAnsi="Arial"/>
          <w:b/>
          <w:bCs/>
          <w:sz w:val="20"/>
          <w:szCs w:val="20"/>
        </w:rPr>
        <w:t xml:space="preserve">Rozwiązania specyficzne dla sektora przemysłowego:</w:t>
      </w:r>
      <w:r>
        <w:rPr>
          <w:rFonts w:ascii="Arial" w:cs="Arial" w:eastAsia="Arial" w:hAnsi="Arial"/>
          <w:sz w:val="20"/>
          <w:szCs w:val="20"/>
        </w:rPr>
        <w:t xml:space="preserve"> Brak szczególnych.</w:t>
      </w:r>
    </w:p>
    <w:p>
      <w:pPr>
        <w:pBdr>
          <w:bottom w:color="00A651" w:sz="12" w:space="1"/>
        </w:pBdr>
        <w:spacing w:after="150" w:before="300"/>
      </w:pPr>
      <w:r>
        <w:rPr>
          <w:b/>
          <w:bCs/>
          <w:sz w:val="22"/>
          <w:szCs w:val="22"/>
        </w:rPr>
        <w:t xml:space="preserve">SEKCJA 8: KONTROLA NARAŻENIA/ŚRODKI OCHRONY INDYWIDUALNEJ</w:t>
      </w:r>
    </w:p>
    <w:p>
      <w:pPr>
        <w:spacing w:after="100" w:before="200"/>
      </w:pPr>
      <w:r>
        <w:rPr>
          <w:rFonts w:ascii="Arial" w:cs="Arial" w:eastAsia="Arial" w:hAnsi="Arial"/>
          <w:b/>
          <w:bCs/>
          <w:sz w:val="20"/>
          <w:szCs w:val="20"/>
        </w:rPr>
        <w:t xml:space="preserve">8.1. Parametry dotyczące kontroli</w:t>
      </w:r>
    </w:p>
    <w:p>
      <w:pPr>
        <w:spacing w:after="80" w:before="150"/>
      </w:pPr>
      <w:r>
        <w:rPr>
          <w:rFonts w:ascii="Arial" w:cs="Arial" w:eastAsia="Arial" w:hAnsi="Arial"/>
          <w:b/>
          <w:bCs/>
          <w:sz w:val="20"/>
          <w:szCs w:val="20"/>
        </w:rPr>
        <w:t xml:space="preserve">Krajowe wartości najwyższych dopuszczalnych stężeń w środowisku pracy (Polska):</w:t>
      </w:r>
    </w:p>
    <w:p>
      <w:pPr>
        <w:spacing w:after="80"/>
      </w:pPr>
      <w:r>
        <w:rPr>
          <w:rFonts w:ascii="Arial" w:cs="Arial" w:eastAsia="Arial" w:hAnsi="Arial"/>
          <w:sz w:val="20"/>
          <w:szCs w:val="20"/>
        </w:rPr>
        <w:t xml:space="preserve">Dla składników mieszaniny wymienionych w sekcji 3 nie określono wartości najwyższych dopuszczalnych stężeń (NDS, NDSCh, NDSP) w środowisku pracy zgodnie z Rozporządzeniem Ministra Rodziny, Pracy i Polityki Społecznej z dnia 12 czerwca 2018 r. w sprawie najwyższych dopuszczalnych stężeń i natężeń czynników szkodliwych dla zdrowia w środowisku pracy (Dz.U. 2018 poz. 1286 z późn. zm., w tym Dz.U. 2024 poz. 1017).</w:t>
      </w:r>
    </w:p>
    <w:p>
      <w:pPr>
        <w:spacing w:after="80" w:before="80"/>
      </w:pPr>
      <w:r>
        <w:rPr>
          <w:rFonts w:ascii="Arial" w:cs="Arial" w:eastAsia="Arial" w:hAnsi="Arial"/>
          <w:b/>
          <w:bCs/>
          <w:sz w:val="20"/>
          <w:szCs w:val="20"/>
        </w:rPr>
        <w:t xml:space="preserve">Wartości DNEL i PNEC:</w:t>
      </w:r>
      <w:r>
        <w:rPr>
          <w:rFonts w:ascii="Arial" w:cs="Arial" w:eastAsia="Arial" w:hAnsi="Arial"/>
          <w:sz w:val="20"/>
          <w:szCs w:val="20"/>
        </w:rPr>
        <w:t xml:space="preserve"> Dla mieszaniny i jej składników nie oznaczono wartości DNEL oraz PNEC.</w:t>
      </w:r>
    </w:p>
    <w:p>
      <w:pPr>
        <w:spacing w:after="80" w:before="80"/>
      </w:pPr>
      <w:r>
        <w:rPr>
          <w:rFonts w:ascii="Arial" w:cs="Arial" w:eastAsia="Arial" w:hAnsi="Arial"/>
          <w:b/>
          <w:bCs/>
          <w:sz w:val="20"/>
          <w:szCs w:val="20"/>
        </w:rPr>
        <w:t xml:space="preserve">Zalecane procedury monitorowania:</w:t>
      </w:r>
      <w:r>
        <w:rPr>
          <w:rFonts w:ascii="Arial" w:cs="Arial" w:eastAsia="Arial" w:hAnsi="Arial"/>
          <w:sz w:val="20"/>
          <w:szCs w:val="20"/>
        </w:rPr>
        <w:t xml:space="preserve"> Należy stosować procedury monitorowania stężeń niebezpiecznych substancji w powietrzu na stanowiskach pracy oraz procedury kontroli wentylacji zgodnie z odpowiednimi Polskimi Normami.</w:t>
      </w:r>
    </w:p>
    <w:p>
      <w:pPr>
        <w:spacing w:after="100" w:before="200"/>
      </w:pPr>
      <w:r>
        <w:rPr>
          <w:rFonts w:ascii="Arial" w:cs="Arial" w:eastAsia="Arial" w:hAnsi="Arial"/>
          <w:b/>
          <w:bCs/>
          <w:sz w:val="20"/>
          <w:szCs w:val="20"/>
        </w:rPr>
        <w:t xml:space="preserve">8.2. Kontrola narażenia</w:t>
      </w:r>
    </w:p>
    <w:p>
      <w:pPr>
        <w:spacing w:after="80" w:before="80"/>
      </w:pPr>
      <w:r>
        <w:rPr>
          <w:rFonts w:ascii="Arial" w:cs="Arial" w:eastAsia="Arial" w:hAnsi="Arial"/>
          <w:b/>
          <w:bCs/>
          <w:sz w:val="20"/>
          <w:szCs w:val="20"/>
        </w:rPr>
        <w:t xml:space="preserve">Ochrona oczu:</w:t>
      </w:r>
      <w:r>
        <w:rPr>
          <w:rFonts w:ascii="Arial" w:cs="Arial" w:eastAsia="Arial" w:hAnsi="Arial"/>
          <w:sz w:val="20"/>
          <w:szCs w:val="20"/>
        </w:rPr>
        <w:t xml:space="preserve"> Nosić okulary ochronne w szczelnej obudowie lub gogle ochronne zgodne z normą PN-EN 166.</w:t>
      </w:r>
    </w:p>
    <w:p>
      <w:pPr>
        <w:spacing w:after="80" w:before="80"/>
      </w:pPr>
      <w:r>
        <w:rPr>
          <w:rFonts w:ascii="Arial" w:cs="Arial" w:eastAsia="Arial" w:hAnsi="Arial"/>
          <w:b/>
          <w:bCs/>
          <w:sz w:val="20"/>
          <w:szCs w:val="20"/>
        </w:rPr>
        <w:t xml:space="preserve">Ochrona skóry:</w:t>
      </w:r>
      <w:r>
        <w:rPr>
          <w:rFonts w:ascii="Arial" w:cs="Arial" w:eastAsia="Arial" w:hAnsi="Arial"/>
          <w:sz w:val="20"/>
          <w:szCs w:val="20"/>
        </w:rPr>
        <w:t xml:space="preserve"> Stosować odpowiednią odzież roboczą chroniącą przed kontaktem z chemikaliami.</w:t>
      </w:r>
    </w:p>
    <w:p>
      <w:pPr>
        <w:spacing w:after="80" w:before="80"/>
      </w:pPr>
      <w:r>
        <w:rPr>
          <w:rFonts w:ascii="Arial" w:cs="Arial" w:eastAsia="Arial" w:hAnsi="Arial"/>
          <w:b/>
          <w:bCs/>
          <w:sz w:val="20"/>
          <w:szCs w:val="20"/>
        </w:rPr>
        <w:t xml:space="preserve">Ochrona rąk:</w:t>
      </w:r>
      <w:r>
        <w:rPr>
          <w:rFonts w:ascii="Arial" w:cs="Arial" w:eastAsia="Arial" w:hAnsi="Arial"/>
          <w:sz w:val="20"/>
          <w:szCs w:val="20"/>
        </w:rPr>
        <w:t xml:space="preserve"> Stosować rękawice ochronne odporne na działanie chemikaliów (np. z kauczuku nitrylowego lub neoprenu) zgodne z normą PN-EN ISO 374-1. Czas przebicia i grubość materiału należy skonsultować z dostawcą rękawic.</w:t>
      </w:r>
    </w:p>
    <w:p>
      <w:pPr>
        <w:spacing w:after="80" w:before="80"/>
      </w:pPr>
      <w:r>
        <w:rPr>
          <w:rFonts w:ascii="Arial" w:cs="Arial" w:eastAsia="Arial" w:hAnsi="Arial"/>
          <w:b/>
          <w:bCs/>
          <w:sz w:val="20"/>
          <w:szCs w:val="20"/>
        </w:rPr>
        <w:t xml:space="preserve">Ochrona dróg oddechowych:</w:t>
      </w:r>
      <w:r>
        <w:rPr>
          <w:rFonts w:ascii="Arial" w:cs="Arial" w:eastAsia="Arial" w:hAnsi="Arial"/>
          <w:sz w:val="20"/>
          <w:szCs w:val="20"/>
        </w:rPr>
        <w:t xml:space="preserve"> W normalnych warunkach stosowania przy właściwej wentylacji nie jest wymagana. W przypadku niedostatecznej wentylacji lub przekroczenia dopuszczalnych stężeń NDS stosować odpowiedni sprzęt ochrony dróg oddechowych z pochłaniaczem par typu A (norma PN-EN 14387).</w:t>
      </w:r>
    </w:p>
    <w:p>
      <w:pPr>
        <w:spacing w:after="80" w:before="80"/>
      </w:pPr>
      <w:r>
        <w:rPr>
          <w:rFonts w:ascii="Arial" w:cs="Arial" w:eastAsia="Arial" w:hAnsi="Arial"/>
          <w:b/>
          <w:bCs/>
          <w:sz w:val="20"/>
          <w:szCs w:val="20"/>
        </w:rPr>
        <w:t xml:space="preserve">Zagrożenia termiczne:</w:t>
      </w:r>
      <w:r>
        <w:rPr>
          <w:rFonts w:ascii="Arial" w:cs="Arial" w:eastAsia="Arial" w:hAnsi="Arial"/>
          <w:sz w:val="20"/>
          <w:szCs w:val="20"/>
        </w:rPr>
        <w:t xml:space="preserve"> Nie dotyczy.</w:t>
      </w:r>
    </w:p>
    <w:p>
      <w:pPr>
        <w:spacing w:after="80" w:before="80"/>
      </w:pPr>
      <w:r>
        <w:rPr>
          <w:rFonts w:ascii="Arial" w:cs="Arial" w:eastAsia="Arial" w:hAnsi="Arial"/>
          <w:b/>
          <w:bCs/>
          <w:sz w:val="20"/>
          <w:szCs w:val="20"/>
        </w:rPr>
        <w:t xml:space="preserve">Kontrola narażenia środowiska:</w:t>
      </w:r>
      <w:r>
        <w:rPr>
          <w:rFonts w:ascii="Arial" w:cs="Arial" w:eastAsia="Arial" w:hAnsi="Arial"/>
          <w:sz w:val="20"/>
          <w:szCs w:val="20"/>
        </w:rPr>
        <w:t xml:space="preserve"> Nie dopuścić do przedostania się dużych ilości produktu do kanalizacji, wód powierzchniowych ani gruntowych.</w:t>
      </w:r>
    </w:p>
    <w:p>
      <w:pPr>
        <w:spacing w:after="80" w:before="80"/>
      </w:pPr>
      <w:r>
        <w:rPr>
          <w:rFonts w:ascii="Arial" w:cs="Arial" w:eastAsia="Arial" w:hAnsi="Arial"/>
          <w:b/>
          <w:bCs/>
          <w:sz w:val="20"/>
          <w:szCs w:val="20"/>
        </w:rPr>
        <w:t xml:space="preserve">Środki higieniczne i techniczne:</w:t>
      </w:r>
      <w:r>
        <w:rPr>
          <w:rFonts w:ascii="Arial" w:cs="Arial" w:eastAsia="Arial" w:hAnsi="Arial"/>
          <w:sz w:val="20"/>
          <w:szCs w:val="20"/>
        </w:rPr>
        <w:t xml:space="preserve"> Zapewnić odpowiednią wentylację ogólną i miejscową na stanowiskach pracy. Myć ręce po zakończeniu pracy z produktem. Nie jeść i nie pić podczas stosowania.</w:t>
      </w:r>
    </w:p>
    <w:p>
      <w:pPr>
        <w:pBdr>
          <w:bottom w:color="00A651" w:sz="12" w:space="1"/>
        </w:pBdr>
        <w:spacing w:after="150" w:before="300"/>
      </w:pPr>
      <w:r>
        <w:rPr>
          <w:b/>
          <w:bCs/>
          <w:sz w:val="22"/>
          <w:szCs w:val="22"/>
        </w:rPr>
        <w:t xml:space="preserve">SEKCJA 9: WŁAŚCIWOŚCI FIZYCZNE I CHEMICZNE</w:t>
      </w:r>
    </w:p>
    <w:p>
      <w:pPr>
        <w:spacing w:after="100" w:before="200"/>
      </w:pPr>
      <w:r>
        <w:rPr>
          <w:rFonts w:ascii="Arial" w:cs="Arial" w:eastAsia="Arial" w:hAnsi="Arial"/>
          <w:b/>
          <w:bCs/>
          <w:sz w:val="20"/>
          <w:szCs w:val="20"/>
        </w:rPr>
        <w:t xml:space="preserve">9.1. Informacje na temat podstawowych właściwości fizycznych i chemicznych</w:t>
      </w:r>
    </w:p>
    <w:p>
      <w:pPr>
        <w:spacing w:after="80" w:before="80"/>
      </w:pPr>
      <w:r>
        <w:rPr>
          <w:rFonts w:ascii="Arial" w:cs="Arial" w:eastAsia="Arial" w:hAnsi="Arial"/>
          <w:b/>
          <w:bCs/>
          <w:sz w:val="20"/>
          <w:szCs w:val="20"/>
        </w:rPr>
        <w:t xml:space="preserve">Stan skupienia:</w:t>
      </w:r>
      <w:r>
        <w:rPr>
          <w:rFonts w:ascii="Arial" w:cs="Arial" w:eastAsia="Arial" w:hAnsi="Arial"/>
          <w:sz w:val="20"/>
          <w:szCs w:val="20"/>
        </w:rPr>
        <w:t xml:space="preserve"> Nie dotyczy</w:t>
      </w:r>
    </w:p>
    <w:p>
      <w:pPr>
        <w:spacing w:after="80" w:before="80"/>
      </w:pPr>
      <w:r>
        <w:rPr>
          <w:rFonts w:ascii="Arial" w:cs="Arial" w:eastAsia="Arial" w:hAnsi="Arial"/>
          <w:b/>
          <w:bCs/>
          <w:sz w:val="20"/>
          <w:szCs w:val="20"/>
        </w:rPr>
        <w:t xml:space="preserve">Kolor:</w:t>
      </w:r>
      <w:r>
        <w:rPr>
          <w:rFonts w:ascii="Arial" w:cs="Arial" w:eastAsia="Arial" w:hAnsi="Arial"/>
          <w:sz w:val="20"/>
          <w:szCs w:val="20"/>
        </w:rPr>
        <w:t xml:space="preserve"> Nie dotyczy</w:t>
      </w:r>
    </w:p>
    <w:p>
      <w:pPr>
        <w:spacing w:after="80" w:before="80"/>
      </w:pPr>
      <w:r>
        <w:rPr>
          <w:rFonts w:ascii="Arial" w:cs="Arial" w:eastAsia="Arial" w:hAnsi="Arial"/>
          <w:b/>
          <w:bCs/>
          <w:sz w:val="20"/>
          <w:szCs w:val="20"/>
        </w:rPr>
        <w:t xml:space="preserve">Zapach:</w:t>
      </w:r>
      <w:r>
        <w:rPr>
          <w:rFonts w:ascii="Arial" w:cs="Arial" w:eastAsia="Arial" w:hAnsi="Arial"/>
          <w:sz w:val="20"/>
          <w:szCs w:val="20"/>
        </w:rPr>
        <w:t xml:space="preserve"> Nie dotyczy</w:t>
      </w:r>
    </w:p>
    <w:p>
      <w:pPr>
        <w:spacing w:after="80" w:before="80"/>
      </w:pPr>
      <w:r>
        <w:rPr>
          <w:rFonts w:ascii="Arial" w:cs="Arial" w:eastAsia="Arial" w:hAnsi="Arial"/>
          <w:b/>
          <w:bCs/>
          <w:sz w:val="20"/>
          <w:szCs w:val="20"/>
        </w:rPr>
        <w:t xml:space="preserve">Temperatura topnienia/krzepnięcia:</w:t>
      </w:r>
      <w:r>
        <w:rPr>
          <w:rFonts w:ascii="Arial" w:cs="Arial" w:eastAsia="Arial" w:hAnsi="Arial"/>
          <w:sz w:val="20"/>
          <w:szCs w:val="20"/>
        </w:rPr>
        <w:t xml:space="preserve"> Nie dotyczy</w:t>
      </w:r>
    </w:p>
    <w:p>
      <w:pPr>
        <w:spacing w:after="80" w:before="80"/>
      </w:pPr>
      <w:r>
        <w:rPr>
          <w:rFonts w:ascii="Arial" w:cs="Arial" w:eastAsia="Arial" w:hAnsi="Arial"/>
          <w:b/>
          <w:bCs/>
          <w:sz w:val="20"/>
          <w:szCs w:val="20"/>
        </w:rPr>
        <w:t xml:space="preserve">Temperatura wrzenia lub początkowa temperatura wrzenia i zakres temperatur wrzenia:</w:t>
      </w:r>
      <w:r>
        <w:rPr>
          <w:rFonts w:ascii="Arial" w:cs="Arial" w:eastAsia="Arial" w:hAnsi="Arial"/>
          <w:sz w:val="20"/>
          <w:szCs w:val="20"/>
        </w:rPr>
        <w:t xml:space="preserve"> Nie dotyczy</w:t>
      </w:r>
    </w:p>
    <w:p>
      <w:pPr>
        <w:spacing w:after="80" w:before="80"/>
      </w:pPr>
      <w:r>
        <w:rPr>
          <w:rFonts w:ascii="Arial" w:cs="Arial" w:eastAsia="Arial" w:hAnsi="Arial"/>
          <w:b/>
          <w:bCs/>
          <w:sz w:val="20"/>
          <w:szCs w:val="20"/>
        </w:rPr>
        <w:t xml:space="preserve">Palność materiałów:</w:t>
      </w:r>
      <w:r>
        <w:rPr>
          <w:rFonts w:ascii="Arial" w:cs="Arial" w:eastAsia="Arial" w:hAnsi="Arial"/>
          <w:sz w:val="20"/>
          <w:szCs w:val="20"/>
        </w:rPr>
        <w:t xml:space="preserve"> Nie dotyczy</w:t>
      </w:r>
    </w:p>
    <w:p>
      <w:pPr>
        <w:spacing w:after="80" w:before="80"/>
      </w:pPr>
      <w:r>
        <w:rPr>
          <w:rFonts w:ascii="Arial" w:cs="Arial" w:eastAsia="Arial" w:hAnsi="Arial"/>
          <w:b/>
          <w:bCs/>
          <w:sz w:val="20"/>
          <w:szCs w:val="20"/>
        </w:rPr>
        <w:t xml:space="preserve">Dolna i górna granica wybuchowości:</w:t>
      </w:r>
      <w:r>
        <w:rPr>
          <w:rFonts w:ascii="Arial" w:cs="Arial" w:eastAsia="Arial" w:hAnsi="Arial"/>
          <w:sz w:val="20"/>
          <w:szCs w:val="20"/>
        </w:rPr>
        <w:t xml:space="preserve"> Nie dotyczy</w:t>
      </w:r>
    </w:p>
    <w:p>
      <w:pPr>
        <w:spacing w:after="80" w:before="80"/>
      </w:pPr>
      <w:r>
        <w:rPr>
          <w:rFonts w:ascii="Arial" w:cs="Arial" w:eastAsia="Arial" w:hAnsi="Arial"/>
          <w:b/>
          <w:bCs/>
          <w:sz w:val="20"/>
          <w:szCs w:val="20"/>
        </w:rPr>
        <w:t xml:space="preserve">Temperatura zapłonu:</w:t>
      </w:r>
      <w:r>
        <w:rPr>
          <w:rFonts w:ascii="Arial" w:cs="Arial" w:eastAsia="Arial" w:hAnsi="Arial"/>
          <w:sz w:val="20"/>
          <w:szCs w:val="20"/>
        </w:rPr>
        <w:t xml:space="preserve"> Nie dotyczy</w:t>
      </w:r>
    </w:p>
    <w:p>
      <w:pPr>
        <w:spacing w:after="80" w:before="80"/>
      </w:pPr>
      <w:r>
        <w:rPr>
          <w:rFonts w:ascii="Arial" w:cs="Arial" w:eastAsia="Arial" w:hAnsi="Arial"/>
          <w:b/>
          <w:bCs/>
          <w:sz w:val="20"/>
          <w:szCs w:val="20"/>
        </w:rPr>
        <w:t xml:space="preserve">Temperatura samozapłonu:</w:t>
      </w:r>
      <w:r>
        <w:rPr>
          <w:rFonts w:ascii="Arial" w:cs="Arial" w:eastAsia="Arial" w:hAnsi="Arial"/>
          <w:sz w:val="20"/>
          <w:szCs w:val="20"/>
        </w:rPr>
        <w:t xml:space="preserve"> Nie dotyczy</w:t>
      </w:r>
    </w:p>
    <w:p>
      <w:pPr>
        <w:spacing w:after="80" w:before="80"/>
      </w:pPr>
      <w:r>
        <w:rPr>
          <w:rFonts w:ascii="Arial" w:cs="Arial" w:eastAsia="Arial" w:hAnsi="Arial"/>
          <w:b/>
          <w:bCs/>
          <w:sz w:val="20"/>
          <w:szCs w:val="20"/>
        </w:rPr>
        <w:t xml:space="preserve">Temperatura rozkładu:</w:t>
      </w:r>
      <w:r>
        <w:rPr>
          <w:rFonts w:ascii="Arial" w:cs="Arial" w:eastAsia="Arial" w:hAnsi="Arial"/>
          <w:sz w:val="20"/>
          <w:szCs w:val="20"/>
        </w:rPr>
        <w:t xml:space="preserve"> Nie dotyczy</w:t>
      </w:r>
    </w:p>
    <w:p>
      <w:pPr>
        <w:spacing w:after="80" w:before="80"/>
      </w:pPr>
      <w:r>
        <w:rPr>
          <w:rFonts w:ascii="Arial" w:cs="Arial" w:eastAsia="Arial" w:hAnsi="Arial"/>
          <w:b/>
          <w:bCs/>
          <w:sz w:val="20"/>
          <w:szCs w:val="20"/>
        </w:rPr>
        <w:t xml:space="preserve">pH:</w:t>
      </w:r>
      <w:r>
        <w:rPr>
          <w:rFonts w:ascii="Arial" w:cs="Arial" w:eastAsia="Arial" w:hAnsi="Arial"/>
          <w:sz w:val="20"/>
          <w:szCs w:val="20"/>
        </w:rPr>
        <w:t xml:space="preserve"> Nie dotyczy</w:t>
      </w:r>
    </w:p>
    <w:p>
      <w:pPr>
        <w:spacing w:after="80" w:before="80"/>
      </w:pPr>
      <w:r>
        <w:rPr>
          <w:rFonts w:ascii="Arial" w:cs="Arial" w:eastAsia="Arial" w:hAnsi="Arial"/>
          <w:b/>
          <w:bCs/>
          <w:sz w:val="20"/>
          <w:szCs w:val="20"/>
        </w:rPr>
        <w:t xml:space="preserve">Lepkość kinematyczna:</w:t>
      </w:r>
      <w:r>
        <w:rPr>
          <w:rFonts w:ascii="Arial" w:cs="Arial" w:eastAsia="Arial" w:hAnsi="Arial"/>
          <w:sz w:val="20"/>
          <w:szCs w:val="20"/>
        </w:rPr>
        <w:t xml:space="preserve"> Nie dotyczy</w:t>
      </w:r>
    </w:p>
    <w:p>
      <w:pPr>
        <w:spacing w:after="80" w:before="80"/>
      </w:pPr>
      <w:r>
        <w:rPr>
          <w:rFonts w:ascii="Arial" w:cs="Arial" w:eastAsia="Arial" w:hAnsi="Arial"/>
          <w:b/>
          <w:bCs/>
          <w:sz w:val="20"/>
          <w:szCs w:val="20"/>
        </w:rPr>
        <w:t xml:space="preserve">Rozpuszczalność w wodzie:</w:t>
      </w:r>
      <w:r>
        <w:rPr>
          <w:rFonts w:ascii="Arial" w:cs="Arial" w:eastAsia="Arial" w:hAnsi="Arial"/>
          <w:sz w:val="20"/>
          <w:szCs w:val="20"/>
        </w:rPr>
        <w:t xml:space="preserve"> Nie dotyczy</w:t>
      </w:r>
    </w:p>
    <w:p>
      <w:pPr>
        <w:spacing w:after="80" w:before="80"/>
      </w:pPr>
      <w:r>
        <w:rPr>
          <w:rFonts w:ascii="Arial" w:cs="Arial" w:eastAsia="Arial" w:hAnsi="Arial"/>
          <w:b/>
          <w:bCs/>
          <w:sz w:val="20"/>
          <w:szCs w:val="20"/>
        </w:rPr>
        <w:t xml:space="preserve">Rozpuszczalność w innych rozpuszczalnikach:</w:t>
      </w:r>
      <w:r>
        <w:rPr>
          <w:rFonts w:ascii="Arial" w:cs="Arial" w:eastAsia="Arial" w:hAnsi="Arial"/>
          <w:sz w:val="20"/>
          <w:szCs w:val="20"/>
        </w:rPr>
        <w:t xml:space="preserve"> Nie dotyczy</w:t>
      </w:r>
    </w:p>
    <w:p>
      <w:pPr>
        <w:spacing w:after="80" w:before="80"/>
      </w:pPr>
      <w:r>
        <w:rPr>
          <w:rFonts w:ascii="Arial" w:cs="Arial" w:eastAsia="Arial" w:hAnsi="Arial"/>
          <w:b/>
          <w:bCs/>
          <w:sz w:val="20"/>
          <w:szCs w:val="20"/>
        </w:rPr>
        <w:t xml:space="preserve">Współczynnik podziału n-oktanol/woda (wartość współczynnika log):</w:t>
      </w:r>
      <w:r>
        <w:rPr>
          <w:rFonts w:ascii="Arial" w:cs="Arial" w:eastAsia="Arial" w:hAnsi="Arial"/>
          <w:sz w:val="20"/>
          <w:szCs w:val="20"/>
        </w:rPr>
        <w:t xml:space="preserve"> Nie dotyczy</w:t>
      </w:r>
    </w:p>
    <w:p>
      <w:pPr>
        <w:spacing w:after="80" w:before="80"/>
      </w:pPr>
      <w:r>
        <w:rPr>
          <w:rFonts w:ascii="Arial" w:cs="Arial" w:eastAsia="Arial" w:hAnsi="Arial"/>
          <w:b/>
          <w:bCs/>
          <w:sz w:val="20"/>
          <w:szCs w:val="20"/>
        </w:rPr>
        <w:t xml:space="preserve">Prężność pary:</w:t>
      </w:r>
      <w:r>
        <w:rPr>
          <w:rFonts w:ascii="Arial" w:cs="Arial" w:eastAsia="Arial" w:hAnsi="Arial"/>
          <w:sz w:val="20"/>
          <w:szCs w:val="20"/>
        </w:rPr>
        <w:t xml:space="preserve"> Nie dotyczy</w:t>
      </w:r>
    </w:p>
    <w:p>
      <w:pPr>
        <w:spacing w:after="80" w:before="80"/>
      </w:pPr>
      <w:r>
        <w:rPr>
          <w:rFonts w:ascii="Arial" w:cs="Arial" w:eastAsia="Arial" w:hAnsi="Arial"/>
          <w:b/>
          <w:bCs/>
          <w:sz w:val="20"/>
          <w:szCs w:val="20"/>
        </w:rPr>
        <w:t xml:space="preserve">Gęstość lub gęstość względna:</w:t>
      </w:r>
      <w:r>
        <w:rPr>
          <w:rFonts w:ascii="Arial" w:cs="Arial" w:eastAsia="Arial" w:hAnsi="Arial"/>
          <w:sz w:val="20"/>
          <w:szCs w:val="20"/>
        </w:rPr>
        <w:t xml:space="preserve"> Nie dotyczy</w:t>
      </w:r>
    </w:p>
    <w:p>
      <w:pPr>
        <w:spacing w:after="80" w:before="80"/>
      </w:pPr>
      <w:r>
        <w:rPr>
          <w:rFonts w:ascii="Arial" w:cs="Arial" w:eastAsia="Arial" w:hAnsi="Arial"/>
          <w:b/>
          <w:bCs/>
          <w:sz w:val="20"/>
          <w:szCs w:val="20"/>
        </w:rPr>
        <w:t xml:space="preserve">Względna gęstość pary:</w:t>
      </w:r>
      <w:r>
        <w:rPr>
          <w:rFonts w:ascii="Arial" w:cs="Arial" w:eastAsia="Arial" w:hAnsi="Arial"/>
          <w:sz w:val="20"/>
          <w:szCs w:val="20"/>
        </w:rPr>
        <w:t xml:space="preserve"> Nie dotyczy</w:t>
      </w:r>
    </w:p>
    <w:p>
      <w:pPr>
        <w:spacing w:after="80" w:before="80"/>
      </w:pPr>
      <w:r>
        <w:rPr>
          <w:rFonts w:ascii="Arial" w:cs="Arial" w:eastAsia="Arial" w:hAnsi="Arial"/>
          <w:b/>
          <w:bCs/>
          <w:sz w:val="20"/>
          <w:szCs w:val="20"/>
        </w:rPr>
        <w:t xml:space="preserve">Charakterystyka cząsteczek:</w:t>
      </w:r>
      <w:r>
        <w:rPr>
          <w:rFonts w:ascii="Arial" w:cs="Arial" w:eastAsia="Arial" w:hAnsi="Arial"/>
          <w:sz w:val="20"/>
          <w:szCs w:val="20"/>
        </w:rPr>
        <w:t xml:space="preserve"> Nie dotyczy</w:t>
      </w:r>
    </w:p>
    <w:p>
      <w:pPr>
        <w:spacing w:after="100" w:before="200"/>
      </w:pPr>
      <w:r>
        <w:rPr>
          <w:rFonts w:ascii="Arial" w:cs="Arial" w:eastAsia="Arial" w:hAnsi="Arial"/>
          <w:b/>
          <w:bCs/>
          <w:sz w:val="20"/>
          <w:szCs w:val="20"/>
        </w:rPr>
        <w:t xml:space="preserve">9.2. Inne informacje</w:t>
      </w:r>
    </w:p>
    <w:p>
      <w:pPr>
        <w:spacing w:after="80"/>
      </w:pPr>
      <w:r>
        <w:rPr>
          <w:rFonts w:ascii="Arial" w:cs="Arial" w:eastAsia="Arial" w:hAnsi="Arial"/>
          <w:sz w:val="20"/>
          <w:szCs w:val="20"/>
        </w:rPr>
        <w:t xml:space="preserve">Brak innych istotnych informacji.</w:t>
      </w:r>
    </w:p>
    <w:p>
      <w:pPr>
        <w:pBdr>
          <w:bottom w:color="00A651" w:sz="12" w:space="1"/>
        </w:pBdr>
        <w:spacing w:after="150" w:before="300"/>
      </w:pPr>
      <w:r>
        <w:rPr>
          <w:b/>
          <w:bCs/>
          <w:sz w:val="22"/>
          <w:szCs w:val="22"/>
        </w:rPr>
        <w:t xml:space="preserve">SEKCJA 10. STABILNOŚĆ I REAKTYWNOŚĆ</w:t>
      </w:r>
    </w:p>
    <w:p>
      <w:pPr>
        <w:spacing w:after="100" w:before="200"/>
      </w:pPr>
      <w:r>
        <w:rPr>
          <w:rFonts w:ascii="Arial" w:cs="Arial" w:eastAsia="Arial" w:hAnsi="Arial"/>
          <w:b/>
          <w:bCs/>
          <w:sz w:val="20"/>
          <w:szCs w:val="20"/>
        </w:rPr>
        <w:t xml:space="preserve">10.1. Reaktywność W normalnych warunkach stosowania nie występują szczególne zagrożenia reakcją z innymi substancjami. toluen Unikać narażenia na: światło. 10.2. Stabilność chemiczna Produkt jest stabilny w normalnych warunkach stosowania i przechowywania. 10.3. Możliwość występowania niebezpiecznych reakcji Pary mogą tworzyć mieszaniny wybuchowe z powietrzem. ETANOL Niebezpieczeństwo wybuchu w kontakcie z: metale alkaliczne, tlenki metali alkalicznych, podchloryn wapnia, jednofluorek siarki, bezwodnik octowy, kwasy, stężony nadtlenek wodoru, nadchlorany, kwas nadchlorowy, perchloronitryl, azotan rtęci, kwas azotowy, srebro, azotan srebra, amoniak, tlenek srebra, amoniak, silne utleniacze, ditlenek azotu. Może reagować niebezpiecznie z: bromoacetylen, chloroacetylen, trifluorek bromu, tritlenek chromu, chlorek chromylu, fluor, tert-butanolan potasu, wodorek litu, tritlenek fosforu, czerń platynowa, chlorek cyrkonu (IV), jodek cyrkonu (IV). Tworzy mieszaniny wybuchowe z: powietrze. toluen Niebezpieczeństwo wybuchu w kontakcie z: dymiący kwas siarkowy, kwas azotowy, nadchloran srebra, ditlenek azotu, halogenki niemetali, kwas octowy, organiczne związki nitrowe. Może tworzyć mieszaniny wybuchowe z: powietrze. Może reagować niebezpiecznie z: silne utleniacze, silne kwasy, siarka. 10.4. Warunki, których należy unikać Unikać przegrzania. Unikać gromadzenia się ładunków elektrostatycznych. Unikać wszelkich źródeł zapłonu. ETANOL Unikać narażenia na: źródła ciepła, otwarty ogień. 10.5. Materiały niezgodne Brak danych 10.6. Niebezpieczne produkty rozkładu W przypadku rozkładu termicznego lub pożaru mogą uwalniać się gazy i pary potencjalnie niebezpieczne dla zdrowia.</w:t>
      </w:r>
    </w:p>
    <w:p>
      <w:pPr>
        <w:spacing w:after="80"/>
      </w:pPr>
      <w:r>
        <w:rPr>
          <w:rFonts w:ascii="Arial" w:cs="Arial" w:eastAsia="Arial" w:hAnsi="Arial"/>
          <w:sz w:val="20"/>
          <w:szCs w:val="20"/>
        </w:rPr>
        <w:t xml:space="preserve">SEKCJA 11. Informacje toksykologiczne</w:t>
      </w:r>
    </w:p>
    <w:p>
      <w:pPr>
        <w:spacing w:after="80"/>
      </w:pPr>
      <w:r>
        <w:rPr>
          <w:rFonts w:ascii="Arial" w:cs="Arial" w:eastAsia="Arial" w:hAnsi="Arial"/>
          <w:sz w:val="20"/>
          <w:szCs w:val="20"/>
        </w:rPr>
        <w:t xml:space="preserve">Wobec braku danych doświadczalnych dla samego produktu, zagrożenia dla zdrowia ocenia się zgodnie z właściwościami substancji w nim zawartych, stosując kryteria określone w obowiązujących przepisach dotyczących klasyfikacji. W celu oceny skutków toksykologicznych narażenia na produkt należy zatem uwzględnić stężenia poszczególnych substancji niebezpiecznych wymienionych w sekcji 3. 11.1. Informacje na temat klas zagrożenia zdefiniowanych w rozporządzeniu (WE) nr 1272/2008 Metabolizm, toksykokinetyka, mechanizm działania i inne informacje Brak danych Informacje dotyczące prawdopodobnych dróg narażenia toluen PRACOWNICY: wdychanie; kontakt ze skórą. POPULACJA: spożycie skażonej żywności lub wody; wdychanie powietrza otaczającego; kontakt ze skórą z produktami zawierającymi substancję. Skutki opóźnione, bezpośrednie oraz przewlekłe spowodowane krótko- i długotrwałym narażeniem toluen Działanie toksyczne na ośrodkowy i obwodowy układ nerwowy z encefalopatią i zapaleniem wielonerwowym; działa drażniąco na skórę, spojówki, rogówkę i układ oddechowy. Skutki wzajemnego oddziaływania toluen Niektóre leki i inne produkty przemysłowe mogą zakłócać metabolizm toluenu. TOKSYCZNOŚĆ OSTRA ATE (Inhalacja) mieszaniny: Nieklasyfikowane (brak znaczącego składnika)</w:t>
      </w:r>
    </w:p>
    <w:p>
      <w:pPr>
        <w:spacing w:after="80"/>
      </w:pPr>
      <w:r>
        <w:rPr>
          <w:rFonts w:ascii="Arial" w:cs="Arial" w:eastAsia="Arial" w:hAnsi="Arial"/>
          <w:sz w:val="20"/>
          <w:szCs w:val="20"/>
        </w:rPr>
        <w:t xml:space="preserve">ATE (Doustnie) mieszaniny: Nieklasyfikowane (brak znaczącego składnika)</w:t>
      </w:r>
    </w:p>
    <w:p>
      <w:pPr>
        <w:spacing w:after="80"/>
      </w:pPr>
      <w:r>
        <w:rPr>
          <w:rFonts w:ascii="Arial" w:cs="Arial" w:eastAsia="Arial" w:hAnsi="Arial"/>
          <w:sz w:val="20"/>
          <w:szCs w:val="20"/>
        </w:rPr>
        <w:t xml:space="preserve">ATE (Skórnie) mieszaniny: Nieklasyfikowane (brak znaczącego składnika)</w:t>
      </w:r>
    </w:p>
    <w:p>
      <w:pPr>
        <w:spacing w:after="80"/>
      </w:pPr>
      <w:r>
        <w:rPr>
          <w:rFonts w:ascii="Arial" w:cs="Arial" w:eastAsia="Arial" w:hAnsi="Arial"/>
          <w:sz w:val="20"/>
          <w:szCs w:val="20"/>
        </w:rPr>
        <w:t xml:space="preserve">ETANOL LD50 (Doustnie): &gt; 5000 mg/kg Rat</w:t>
      </w:r>
    </w:p>
    <w:p>
      <w:pPr>
        <w:spacing w:after="80"/>
      </w:pPr>
      <w:r>
        <w:rPr>
          <w:rFonts w:ascii="Arial" w:cs="Arial" w:eastAsia="Arial" w:hAnsi="Arial"/>
          <w:sz w:val="20"/>
          <w:szCs w:val="20"/>
        </w:rPr>
        <w:t xml:space="preserve">LC50 (Inhalacja pary): 120 mg/l/4h Pimephales promelas</w:t>
      </w:r>
    </w:p>
    <w:p>
      <w:pPr>
        <w:spacing w:after="80"/>
      </w:pPr>
      <w:r>
        <w:rPr>
          <w:rFonts w:ascii="Arial" w:cs="Arial" w:eastAsia="Arial" w:hAnsi="Arial"/>
          <w:sz w:val="20"/>
          <w:szCs w:val="20"/>
        </w:rPr>
        <w:t xml:space="preserve">ANISALDEHYD LD50 (Skórnie): &gt; 5000 mg/kg rabbit</w:t>
      </w:r>
    </w:p>
    <w:p>
      <w:pPr>
        <w:spacing w:after="80"/>
      </w:pPr>
      <w:r>
        <w:rPr>
          <w:rFonts w:ascii="Arial" w:cs="Arial" w:eastAsia="Arial" w:hAnsi="Arial"/>
          <w:sz w:val="20"/>
          <w:szCs w:val="20"/>
        </w:rPr>
        <w:t xml:space="preserve">LD50 (Doustnie): 3210 mg/kg rat</w:t>
      </w:r>
    </w:p>
    <w:p>
      <w:pPr>
        <w:spacing w:after="80"/>
      </w:pPr>
      <w:r>
        <w:rPr>
          <w:rFonts w:ascii="Arial" w:cs="Arial" w:eastAsia="Arial" w:hAnsi="Arial"/>
          <w:sz w:val="20"/>
          <w:szCs w:val="20"/>
        </w:rPr>
        <w:t xml:space="preserve">LC50 (Inhalacja pary): 0,32 mg/l/7h 7h, rat</w:t>
      </w:r>
    </w:p>
    <w:p>
      <w:pPr>
        <w:spacing w:after="80"/>
      </w:pPr>
      <w:r>
        <w:rPr>
          <w:rFonts w:ascii="Arial" w:cs="Arial" w:eastAsia="Arial" w:hAnsi="Arial"/>
          <w:sz w:val="20"/>
          <w:szCs w:val="20"/>
        </w:rPr>
        <w:t xml:space="preserve">2H-CHROMEN-2-ON LD50 (Skórnie): 293 mg/kg bw rat</w:t>
      </w:r>
    </w:p>
    <w:p>
      <w:pPr>
        <w:spacing w:after="80"/>
      </w:pPr>
      <w:r>
        <w:rPr>
          <w:rFonts w:ascii="Arial" w:cs="Arial" w:eastAsia="Arial" w:hAnsi="Arial"/>
          <w:sz w:val="20"/>
          <w:szCs w:val="20"/>
        </w:rPr>
        <w:t xml:space="preserve">LD50 (Doustnie): 290 mg/kg bw rat</w:t>
      </w:r>
    </w:p>
    <w:p>
      <w:pPr>
        <w:spacing w:after="80"/>
      </w:pPr>
      <w:r>
        <w:rPr>
          <w:rFonts w:ascii="Arial" w:cs="Arial" w:eastAsia="Arial" w:hAnsi="Arial"/>
          <w:sz w:val="20"/>
          <w:szCs w:val="20"/>
        </w:rPr>
        <w:t xml:space="preserve">LC50 (Inhalacja pyły/mgły): 293 mg/kg rat</w:t>
      </w:r>
    </w:p>
    <w:p>
      <w:pPr>
        <w:spacing w:after="80"/>
      </w:pPr>
      <w:r>
        <w:rPr>
          <w:rFonts w:ascii="Arial" w:cs="Arial" w:eastAsia="Arial" w:hAnsi="Arial"/>
          <w:sz w:val="20"/>
          <w:szCs w:val="20"/>
        </w:rPr>
        <w:t xml:space="preserve">2,6-di-tert-butylo-p-krezol LD50 (Skórnie): &gt; 2000 mg/kg rat</w:t>
      </w:r>
    </w:p>
    <w:p>
      <w:pPr>
        <w:spacing w:after="80"/>
      </w:pPr>
      <w:r>
        <w:rPr>
          <w:rFonts w:ascii="Arial" w:cs="Arial" w:eastAsia="Arial" w:hAnsi="Arial"/>
          <w:sz w:val="20"/>
          <w:szCs w:val="20"/>
        </w:rPr>
        <w:t xml:space="preserve">LD50 (Doustnie): 2930 mg/kg rat</w:t>
      </w:r>
    </w:p>
    <w:p>
      <w:pPr>
        <w:spacing w:after="80"/>
      </w:pPr>
      <w:r>
        <w:rPr>
          <w:rFonts w:ascii="Arial" w:cs="Arial" w:eastAsia="Arial" w:hAnsi="Arial"/>
          <w:sz w:val="20"/>
          <w:szCs w:val="20"/>
        </w:rPr>
        <w:t xml:space="preserve">toluen LD50 (Skórnie): &gt; 5000 mg/kg bw Rabbit</w:t>
      </w:r>
    </w:p>
    <w:p>
      <w:pPr>
        <w:spacing w:after="80"/>
      </w:pPr>
      <w:r>
        <w:rPr>
          <w:rFonts w:ascii="Arial" w:cs="Arial" w:eastAsia="Arial" w:hAnsi="Arial"/>
          <w:sz w:val="20"/>
          <w:szCs w:val="20"/>
        </w:rPr>
        <w:t xml:space="preserve">LD50 (Doustnie): &gt; 5000 mg/kg bw Rat</w:t>
      </w:r>
    </w:p>
    <w:p>
      <w:pPr>
        <w:spacing w:after="80"/>
      </w:pPr>
      <w:r>
        <w:rPr>
          <w:rFonts w:ascii="Arial" w:cs="Arial" w:eastAsia="Arial" w:hAnsi="Arial"/>
          <w:sz w:val="20"/>
          <w:szCs w:val="20"/>
        </w:rPr>
        <w:t xml:space="preserve">LC50 (Inhalacja pary): 100 ppm human</w:t>
      </w:r>
    </w:p>
    <w:p>
      <w:pPr>
        <w:spacing w:after="80"/>
      </w:pPr>
      <w:r>
        <w:rPr>
          <w:rFonts w:ascii="Arial" w:cs="Arial" w:eastAsia="Arial" w:hAnsi="Arial"/>
          <w:sz w:val="20"/>
          <w:szCs w:val="20"/>
        </w:rPr>
        <w:t xml:space="preserve">DZIAŁANIE ŻRĄCE / DRAŻNIĄCE NA SKÓRĘ Nie spełnia kryteriów klasyfikacji dla tej klasy zagrożenia POWAŻNE USZKODZENIE OCZU / DZIAŁANIE DRAŻNIĄCE NA OCZY Działa drażniąco na oczy DZIAŁANIE UCZULAJĄCE NA DROGI ODDECHOWE LUB SKÓRĘ Może powodować wystąpienie reakcji alergicznej. Zawiera: 2H-CHROMEN-2-ON DZIAŁANIE MUTAGENNE NA KOMÓRKI ROZRODCZE Nie spełnia kryteriów klasyfikacji dla tej klasy zagrożenia RAKOTWÓRCZOŚĆ Nie spełnia kryteriów klasyfikacji dla tej klasy zagrożenia toluen Zaklasyfikowany do Grupy 3 (nie można zaklasyfikować jako rakotwórczy dla ludzi) przez Międzynarodową Agencję Badań nad Rakiem (IARC) - (IARC, 1999). Amerykańska Agencja Ochrony Środowiska (EPA) stwierdza, że "dane są niewystarczające do oceny potencjału rakotwórczego". SZKODLIWE DZIAŁANIE NA ROZRODCZOŚĆ Nie spełnia kryteriów klasyfikacji dla tej klasy zagrożenia DZIAŁANIE TOKSYCZNE NA NARZĄDY DOCELOWE – NARAŻENIE JEDNORAZOWE Nie spełnia kryteriów klasyfikacji dla tej klasy zagrożenia DZIAŁANIE TOKSYCZNE NA NARZĄDY DOCELOWE – NARAŻENIE POWTARZANE Nie spełnia kryteriów klasyfikacji dla tej klasy zagrożenia ZAGROŻENIE SPOWODOWANE ASPIRACJĄ Nie spełnia kryteriów klasyfikacji dla tej klasy zagrożenia 11.2. Informacje o innych zagrożeniach W oparciu o dostępne dane produkt nie zawiera substancji wymienionych w głównych europejskich wykazach potencjalnych lub podejrzewanych substancji zaburzających funkcjonowanie układu hormonalnego podlegających ocenie pod kątem wpływu na zdrowie ludzi.</w:t>
      </w:r>
    </w:p>
    <w:p>
      <w:pPr>
        <w:spacing w:after="80"/>
      </w:pPr>
      <w:r>
        <w:rPr>
          <w:rFonts w:ascii="Arial" w:cs="Arial" w:eastAsia="Arial" w:hAnsi="Arial"/>
          <w:sz w:val="20"/>
          <w:szCs w:val="20"/>
        </w:rPr>
        <w:t xml:space="preserve">SEKCJA 12. Informacje ekologiczne</w:t>
      </w:r>
    </w:p>
    <w:p>
      <w:pPr>
        <w:spacing w:after="80"/>
      </w:pPr>
      <w:r>
        <w:rPr>
          <w:rFonts w:ascii="Arial" w:cs="Arial" w:eastAsia="Arial" w:hAnsi="Arial"/>
          <w:sz w:val="20"/>
          <w:szCs w:val="20"/>
        </w:rPr>
        <w:t xml:space="preserve">Stosować zgodnie z dobrą praktyką przemysłową. Unikać zrzutów do środowiska. Powiadomić właściwe władze, jeżeli produkt przedostanie się do cieków wodnych lub zanieczyści glebę bądź roślinność. 12.1. Toksyczność toluen</w:t>
      </w:r>
    </w:p>
    <w:p>
      <w:pPr>
        <w:spacing w:after="80"/>
      </w:pPr>
      <w:r>
        <w:rPr>
          <w:rFonts w:ascii="Arial" w:cs="Arial" w:eastAsia="Arial" w:hAnsi="Arial"/>
          <w:sz w:val="20"/>
          <w:szCs w:val="20"/>
        </w:rPr>
        <w:t xml:space="preserve">LC50 - dla Ryb 5,5 mg/l/96h Oncorhynchus kisutch</w:t>
      </w:r>
    </w:p>
    <w:p>
      <w:pPr>
        <w:spacing w:after="80"/>
      </w:pPr>
      <w:r>
        <w:rPr>
          <w:rFonts w:ascii="Arial" w:cs="Arial" w:eastAsia="Arial" w:hAnsi="Arial"/>
          <w:sz w:val="20"/>
          <w:szCs w:val="20"/>
        </w:rPr>
        <w:t xml:space="preserve">EC50 - dla Skorupiaków 3,78 mg/l</w:t>
      </w:r>
    </w:p>
    <w:p>
      <w:pPr>
        <w:spacing w:after="80"/>
      </w:pPr>
      <w:r>
        <w:rPr>
          <w:rFonts w:ascii="Arial" w:cs="Arial" w:eastAsia="Arial" w:hAnsi="Arial"/>
          <w:sz w:val="20"/>
          <w:szCs w:val="20"/>
        </w:rPr>
        <w:t xml:space="preserve">EC50 - dla Glonów / Roślin wodnych 134 mg/l/3 h Chlorella vulgaris and Chlamydomonas angulosa</w:t>
      </w:r>
    </w:p>
    <w:p>
      <w:pPr>
        <w:spacing w:after="80"/>
      </w:pPr>
      <w:r>
        <w:rPr>
          <w:rFonts w:ascii="Arial" w:cs="Arial" w:eastAsia="Arial" w:hAnsi="Arial"/>
          <w:sz w:val="20"/>
          <w:szCs w:val="20"/>
        </w:rPr>
        <w:t xml:space="preserve">Przewlekła NOEC dla Glonów / Roślin wodnych 10 mg/l/72 h Skeletonema costatum</w:t>
      </w:r>
    </w:p>
    <w:p>
      <w:pPr>
        <w:spacing w:after="80"/>
      </w:pPr>
      <w:r>
        <w:rPr>
          <w:rFonts w:ascii="Arial" w:cs="Arial" w:eastAsia="Arial" w:hAnsi="Arial"/>
          <w:sz w:val="20"/>
          <w:szCs w:val="20"/>
        </w:rPr>
        <w:t xml:space="preserve">ANISALDEHYD</w:t>
      </w:r>
    </w:p>
    <w:p>
      <w:pPr>
        <w:spacing w:after="80"/>
      </w:pPr>
      <w:r>
        <w:rPr>
          <w:rFonts w:ascii="Arial" w:cs="Arial" w:eastAsia="Arial" w:hAnsi="Arial"/>
          <w:sz w:val="20"/>
          <w:szCs w:val="20"/>
        </w:rPr>
        <w:t xml:space="preserve">LC50 - dla Ryb 148,32 mg/l/96h Leuciscus idus</w:t>
      </w:r>
    </w:p>
    <w:p>
      <w:pPr>
        <w:spacing w:after="80"/>
      </w:pPr>
      <w:r>
        <w:rPr>
          <w:rFonts w:ascii="Arial" w:cs="Arial" w:eastAsia="Arial" w:hAnsi="Arial"/>
          <w:sz w:val="20"/>
          <w:szCs w:val="20"/>
        </w:rPr>
        <w:t xml:space="preserve">EC50 - dla Skorupiaków 82,8 mg/l/48h Daphnia magna</w:t>
      </w:r>
    </w:p>
    <w:p>
      <w:pPr>
        <w:spacing w:after="80"/>
      </w:pPr>
      <w:r>
        <w:rPr>
          <w:rFonts w:ascii="Arial" w:cs="Arial" w:eastAsia="Arial" w:hAnsi="Arial"/>
          <w:sz w:val="20"/>
          <w:szCs w:val="20"/>
        </w:rPr>
        <w:t xml:space="preserve">EC50 - dla Glonów / Roślin wodnych 81,11 mg/l/72h Desmodesmus subspicatus</w:t>
      </w:r>
    </w:p>
    <w:p>
      <w:pPr>
        <w:spacing w:after="80"/>
      </w:pPr>
      <w:r>
        <w:rPr>
          <w:rFonts w:ascii="Arial" w:cs="Arial" w:eastAsia="Arial" w:hAnsi="Arial"/>
          <w:sz w:val="20"/>
          <w:szCs w:val="20"/>
        </w:rPr>
        <w:t xml:space="preserve">Przewlekła NOEC dla Ryb 100 mg/l/96h Leuciscus idus</w:t>
      </w:r>
    </w:p>
    <w:p>
      <w:pPr>
        <w:spacing w:after="80"/>
      </w:pPr>
      <w:r>
        <w:rPr>
          <w:rFonts w:ascii="Arial" w:cs="Arial" w:eastAsia="Arial" w:hAnsi="Arial"/>
          <w:sz w:val="20"/>
          <w:szCs w:val="20"/>
        </w:rPr>
        <w:t xml:space="preserve">2,6-di-tert-butylo-p-krezol</w:t>
      </w:r>
    </w:p>
    <w:p>
      <w:pPr>
        <w:spacing w:after="80"/>
      </w:pPr>
      <w:r>
        <w:rPr>
          <w:rFonts w:ascii="Arial" w:cs="Arial" w:eastAsia="Arial" w:hAnsi="Arial"/>
          <w:sz w:val="20"/>
          <w:szCs w:val="20"/>
        </w:rPr>
        <w:t xml:space="preserve">LC50 - dla Ryb 0,199 mg/l/96h</w:t>
      </w:r>
    </w:p>
    <w:p>
      <w:pPr>
        <w:spacing w:after="80"/>
      </w:pPr>
      <w:r>
        <w:rPr>
          <w:rFonts w:ascii="Arial" w:cs="Arial" w:eastAsia="Arial" w:hAnsi="Arial"/>
          <w:sz w:val="20"/>
          <w:szCs w:val="20"/>
        </w:rPr>
        <w:t xml:space="preserve">EC50 - dla Skorupiaków 0,48 mg/l/48h</w:t>
      </w:r>
    </w:p>
    <w:p>
      <w:pPr>
        <w:spacing w:after="80"/>
      </w:pPr>
      <w:r>
        <w:rPr>
          <w:rFonts w:ascii="Arial" w:cs="Arial" w:eastAsia="Arial" w:hAnsi="Arial"/>
          <w:sz w:val="20"/>
          <w:szCs w:val="20"/>
        </w:rPr>
        <w:t xml:space="preserve">EC50 - dla Glonów / Roślin wodnych &gt; 0,4 mg/l/72h</w:t>
      </w:r>
    </w:p>
    <w:p>
      <w:pPr>
        <w:spacing w:after="80"/>
      </w:pPr>
      <w:r>
        <w:rPr>
          <w:rFonts w:ascii="Arial" w:cs="Arial" w:eastAsia="Arial" w:hAnsi="Arial"/>
          <w:sz w:val="20"/>
          <w:szCs w:val="20"/>
        </w:rPr>
        <w:t xml:space="preserve">Przewlekła NOEC dla Ryb 0,053 mg/l</w:t>
      </w:r>
    </w:p>
    <w:p>
      <w:pPr>
        <w:spacing w:after="80"/>
      </w:pPr>
      <w:r>
        <w:rPr>
          <w:rFonts w:ascii="Arial" w:cs="Arial" w:eastAsia="Arial" w:hAnsi="Arial"/>
          <w:sz w:val="20"/>
          <w:szCs w:val="20"/>
        </w:rPr>
        <w:t xml:space="preserve">Przewlekła NOEC dla Skorupiaków 0,15 mg/l</w:t>
      </w:r>
    </w:p>
    <w:p>
      <w:pPr>
        <w:spacing w:after="80"/>
      </w:pPr>
      <w:r>
        <w:rPr>
          <w:rFonts w:ascii="Arial" w:cs="Arial" w:eastAsia="Arial" w:hAnsi="Arial"/>
          <w:sz w:val="20"/>
          <w:szCs w:val="20"/>
        </w:rPr>
        <w:t xml:space="preserve">ETHANOL</w:t>
      </w:r>
    </w:p>
    <w:p>
      <w:pPr>
        <w:spacing w:after="80"/>
      </w:pPr>
      <w:r>
        <w:rPr>
          <w:rFonts w:ascii="Arial" w:cs="Arial" w:eastAsia="Arial" w:hAnsi="Arial"/>
          <w:sz w:val="20"/>
          <w:szCs w:val="20"/>
        </w:rPr>
        <w:t xml:space="preserve">LC50 - dla Ryb 14200 mg/l/96h</w:t>
      </w:r>
    </w:p>
    <w:p>
      <w:pPr>
        <w:spacing w:after="80"/>
      </w:pPr>
      <w:r>
        <w:rPr>
          <w:rFonts w:ascii="Arial" w:cs="Arial" w:eastAsia="Arial" w:hAnsi="Arial"/>
          <w:sz w:val="20"/>
          <w:szCs w:val="20"/>
        </w:rPr>
        <w:t xml:space="preserve">EC50 - dla Skorupiaków 454 mg/l/48h</w:t>
      </w:r>
    </w:p>
    <w:p>
      <w:pPr>
        <w:spacing w:after="80"/>
      </w:pPr>
      <w:r>
        <w:rPr>
          <w:rFonts w:ascii="Arial" w:cs="Arial" w:eastAsia="Arial" w:hAnsi="Arial"/>
          <w:sz w:val="20"/>
          <w:szCs w:val="20"/>
        </w:rPr>
        <w:t xml:space="preserve">EC50 - dla Glonów / Roślin wodnych 275 mg/l/72h</w:t>
      </w:r>
    </w:p>
    <w:p>
      <w:pPr>
        <w:spacing w:after="80"/>
      </w:pPr>
      <w:r>
        <w:rPr>
          <w:rFonts w:ascii="Arial" w:cs="Arial" w:eastAsia="Arial" w:hAnsi="Arial"/>
          <w:sz w:val="20"/>
          <w:szCs w:val="20"/>
        </w:rPr>
        <w:t xml:space="preserve">Przewlekła NOEC dla Ryb 250 mg/l</w:t>
      </w:r>
    </w:p>
    <w:p>
      <w:pPr>
        <w:spacing w:after="80"/>
      </w:pPr>
      <w:r>
        <w:rPr>
          <w:rFonts w:ascii="Arial" w:cs="Arial" w:eastAsia="Arial" w:hAnsi="Arial"/>
          <w:sz w:val="20"/>
          <w:szCs w:val="20"/>
        </w:rPr>
        <w:t xml:space="preserve">Przewlekła NOEC dla Skorupiaków 96 mg/l</w:t>
      </w:r>
    </w:p>
    <w:p>
      <w:pPr>
        <w:spacing w:after="80"/>
      </w:pPr>
      <w:r>
        <w:rPr>
          <w:rFonts w:ascii="Arial" w:cs="Arial" w:eastAsia="Arial" w:hAnsi="Arial"/>
          <w:sz w:val="20"/>
          <w:szCs w:val="20"/>
        </w:rPr>
        <w:t xml:space="preserve">Przewlekła NOEC dla Glonów / Roślin wodnych 11,5 mg/l</w:t>
      </w:r>
    </w:p>
    <w:p>
      <w:pPr>
        <w:spacing w:after="80"/>
      </w:pPr>
      <w:r>
        <w:rPr>
          <w:rFonts w:ascii="Arial" w:cs="Arial" w:eastAsia="Arial" w:hAnsi="Arial"/>
          <w:sz w:val="20"/>
          <w:szCs w:val="20"/>
        </w:rPr>
        <w:t xml:space="preserve">2H-CHROMEN-2-ON</w:t>
      </w:r>
    </w:p>
    <w:p>
      <w:pPr>
        <w:spacing w:after="80"/>
      </w:pPr>
      <w:r>
        <w:rPr>
          <w:rFonts w:ascii="Arial" w:cs="Arial" w:eastAsia="Arial" w:hAnsi="Arial"/>
          <w:sz w:val="20"/>
          <w:szCs w:val="20"/>
        </w:rPr>
        <w:t xml:space="preserve">LC50 - dla Ryb 1,324 mg/l/96h</w:t>
      </w:r>
    </w:p>
    <w:p>
      <w:pPr>
        <w:spacing w:after="80"/>
      </w:pPr>
      <w:r>
        <w:rPr>
          <w:rFonts w:ascii="Arial" w:cs="Arial" w:eastAsia="Arial" w:hAnsi="Arial"/>
          <w:sz w:val="20"/>
          <w:szCs w:val="20"/>
        </w:rPr>
        <w:t xml:space="preserve">EC50 - dla Skorupiaków 8,012 mg/l/48h</w:t>
      </w:r>
    </w:p>
    <w:p>
      <w:pPr>
        <w:spacing w:after="80"/>
      </w:pPr>
      <w:r>
        <w:rPr>
          <w:rFonts w:ascii="Arial" w:cs="Arial" w:eastAsia="Arial" w:hAnsi="Arial"/>
          <w:sz w:val="20"/>
          <w:szCs w:val="20"/>
        </w:rPr>
        <w:t xml:space="preserve">EC50 - dla Glonów / Roślin wodnych 1,452 mg/l/72h</w:t>
      </w:r>
    </w:p>
    <w:p>
      <w:pPr>
        <w:spacing w:after="80"/>
      </w:pPr>
      <w:r>
        <w:rPr>
          <w:rFonts w:ascii="Arial" w:cs="Arial" w:eastAsia="Arial" w:hAnsi="Arial"/>
          <w:sz w:val="20"/>
          <w:szCs w:val="20"/>
        </w:rPr>
        <w:t xml:space="preserve">Przewlekła NOEC dla Ryb 0,119 mg/l</w:t>
      </w:r>
    </w:p>
    <w:p>
      <w:pPr>
        <w:spacing w:after="80"/>
      </w:pPr>
      <w:r>
        <w:rPr>
          <w:rFonts w:ascii="Arial" w:cs="Arial" w:eastAsia="Arial" w:hAnsi="Arial"/>
          <w:sz w:val="20"/>
          <w:szCs w:val="20"/>
        </w:rPr>
        <w:t xml:space="preserve">Przewlekła NOEC dla Skorupiaków 0,448 mg/l</w:t>
      </w:r>
    </w:p>
    <w:p>
      <w:pPr>
        <w:spacing w:after="80"/>
      </w:pPr>
      <w:r>
        <w:rPr>
          <w:rFonts w:ascii="Arial" w:cs="Arial" w:eastAsia="Arial" w:hAnsi="Arial"/>
          <w:sz w:val="20"/>
          <w:szCs w:val="20"/>
        </w:rPr>
        <w:t xml:space="preserve">Przewlekła NOEC dla Glonów / Roślin wodnych 0,408 mg/l</w:t>
      </w:r>
    </w:p>
    <w:p>
      <w:pPr>
        <w:spacing w:after="100" w:before="200"/>
      </w:pPr>
      <w:r>
        <w:rPr>
          <w:rFonts w:ascii="Arial" w:cs="Arial" w:eastAsia="Arial" w:hAnsi="Arial"/>
          <w:b/>
          <w:bCs/>
          <w:sz w:val="20"/>
          <w:szCs w:val="20"/>
        </w:rPr>
        <w:t xml:space="preserve">12.2. Trwałość i zdolność do rozkładu toluen</w:t>
      </w:r>
    </w:p>
    <w:p>
      <w:pPr>
        <w:spacing w:after="80"/>
      </w:pPr>
      <w:r>
        <w:rPr>
          <w:rFonts w:ascii="Arial" w:cs="Arial" w:eastAsia="Arial" w:hAnsi="Arial"/>
          <w:sz w:val="20"/>
          <w:szCs w:val="20"/>
        </w:rPr>
        <w:t xml:space="preserve">Rozpuszczalność w wodzie 100 - 1000 mg/l</w:t>
      </w:r>
    </w:p>
    <w:p>
      <w:pPr>
        <w:spacing w:after="80"/>
      </w:pPr>
      <w:r>
        <w:rPr>
          <w:rFonts w:ascii="Arial" w:cs="Arial" w:eastAsia="Arial" w:hAnsi="Arial"/>
          <w:sz w:val="20"/>
          <w:szCs w:val="20"/>
        </w:rPr>
        <w:t xml:space="preserve">Szybko degradowalny ANISALDEHYD</w:t>
      </w:r>
    </w:p>
    <w:p>
      <w:pPr>
        <w:spacing w:after="80"/>
      </w:pPr>
      <w:r>
        <w:rPr>
          <w:rFonts w:ascii="Arial" w:cs="Arial" w:eastAsia="Arial" w:hAnsi="Arial"/>
          <w:sz w:val="20"/>
          <w:szCs w:val="20"/>
        </w:rPr>
        <w:t xml:space="preserve">Szybko degradowalny 2,6-di-tert-butylo-p-krezol</w:t>
      </w:r>
    </w:p>
    <w:p>
      <w:pPr>
        <w:spacing w:after="80"/>
      </w:pPr>
      <w:r>
        <w:rPr>
          <w:rFonts w:ascii="Arial" w:cs="Arial" w:eastAsia="Arial" w:hAnsi="Arial"/>
          <w:sz w:val="20"/>
          <w:szCs w:val="20"/>
        </w:rPr>
        <w:t xml:space="preserve">Szybko degradowalny ETANOL</w:t>
      </w:r>
    </w:p>
    <w:p>
      <w:pPr>
        <w:spacing w:after="80"/>
      </w:pPr>
      <w:r>
        <w:rPr>
          <w:rFonts w:ascii="Arial" w:cs="Arial" w:eastAsia="Arial" w:hAnsi="Arial"/>
          <w:sz w:val="20"/>
          <w:szCs w:val="20"/>
        </w:rPr>
        <w:t xml:space="preserve">Rozpuszczalność w wodzie 1000 - 10000 mg/l</w:t>
      </w:r>
    </w:p>
    <w:p>
      <w:pPr>
        <w:spacing w:after="80"/>
      </w:pPr>
      <w:r>
        <w:rPr>
          <w:rFonts w:ascii="Arial" w:cs="Arial" w:eastAsia="Arial" w:hAnsi="Arial"/>
          <w:sz w:val="20"/>
          <w:szCs w:val="20"/>
        </w:rPr>
        <w:t xml:space="preserve">Szybko degradowalny 2H-CHROMEN-2-ON</w:t>
      </w:r>
    </w:p>
    <w:p>
      <w:pPr>
        <w:spacing w:after="80"/>
      </w:pPr>
      <w:r>
        <w:rPr>
          <w:rFonts w:ascii="Arial" w:cs="Arial" w:eastAsia="Arial" w:hAnsi="Arial"/>
          <w:sz w:val="20"/>
          <w:szCs w:val="20"/>
        </w:rPr>
        <w:t xml:space="preserve">Szybko degradowalny 12.3. Zdolność do bioakumulacji toluen</w:t>
      </w:r>
    </w:p>
    <w:p>
      <w:pPr>
        <w:spacing w:after="80"/>
      </w:pPr>
      <w:r>
        <w:rPr>
          <w:rFonts w:ascii="Arial" w:cs="Arial" w:eastAsia="Arial" w:hAnsi="Arial"/>
          <w:sz w:val="20"/>
          <w:szCs w:val="20"/>
        </w:rPr>
        <w:t xml:space="preserve">Współczynnik podziału: n-oktanol/woda 2,73</w:t>
      </w:r>
    </w:p>
    <w:p>
      <w:pPr>
        <w:spacing w:after="80"/>
      </w:pPr>
      <w:r>
        <w:rPr>
          <w:rFonts w:ascii="Arial" w:cs="Arial" w:eastAsia="Arial" w:hAnsi="Arial"/>
          <w:sz w:val="20"/>
          <w:szCs w:val="20"/>
        </w:rPr>
        <w:t xml:space="preserve">BCF 90</w:t>
      </w:r>
    </w:p>
    <w:p>
      <w:pPr>
        <w:spacing w:after="80"/>
      </w:pPr>
      <w:r>
        <w:rPr>
          <w:rFonts w:ascii="Arial" w:cs="Arial" w:eastAsia="Arial" w:hAnsi="Arial"/>
          <w:sz w:val="20"/>
          <w:szCs w:val="20"/>
        </w:rPr>
        <w:t xml:space="preserve">2,6-di-tert-butylo-p-krezol</w:t>
      </w:r>
    </w:p>
    <w:p>
      <w:pPr>
        <w:spacing w:after="80"/>
      </w:pPr>
      <w:r>
        <w:rPr>
          <w:rFonts w:ascii="Arial" w:cs="Arial" w:eastAsia="Arial" w:hAnsi="Arial"/>
          <w:sz w:val="20"/>
          <w:szCs w:val="20"/>
        </w:rPr>
        <w:t xml:space="preserve">Współczynnik podziału: n-oktanol/woda 5,1</w:t>
      </w:r>
    </w:p>
    <w:p>
      <w:pPr>
        <w:spacing w:after="80"/>
      </w:pPr>
      <w:r>
        <w:rPr>
          <w:rFonts w:ascii="Arial" w:cs="Arial" w:eastAsia="Arial" w:hAnsi="Arial"/>
          <w:sz w:val="20"/>
          <w:szCs w:val="20"/>
        </w:rPr>
        <w:t xml:space="preserve">BCF 598,4 -</w:t>
      </w:r>
    </w:p>
    <w:p>
      <w:pPr>
        <w:spacing w:after="80"/>
      </w:pPr>
      <w:r>
        <w:rPr>
          <w:rFonts w:ascii="Arial" w:cs="Arial" w:eastAsia="Arial" w:hAnsi="Arial"/>
          <w:sz w:val="20"/>
          <w:szCs w:val="20"/>
        </w:rPr>
        <w:t xml:space="preserve">ETANOL</w:t>
      </w:r>
    </w:p>
    <w:p>
      <w:pPr>
        <w:spacing w:after="80"/>
      </w:pPr>
      <w:r>
        <w:rPr>
          <w:rFonts w:ascii="Arial" w:cs="Arial" w:eastAsia="Arial" w:hAnsi="Arial"/>
          <w:sz w:val="20"/>
          <w:szCs w:val="20"/>
        </w:rPr>
        <w:t xml:space="preserve">Współczynnik podziału: n-oktanol/woda -0,35</w:t>
      </w:r>
    </w:p>
    <w:p>
      <w:pPr>
        <w:spacing w:after="100" w:before="200"/>
      </w:pPr>
      <w:r>
        <w:rPr>
          <w:rFonts w:ascii="Arial" w:cs="Arial" w:eastAsia="Arial" w:hAnsi="Arial"/>
          <w:b/>
          <w:bCs/>
          <w:sz w:val="20"/>
          <w:szCs w:val="20"/>
        </w:rPr>
        <w:t xml:space="preserve">12.4. Mobilność w glebie toluen</w:t>
      </w:r>
    </w:p>
    <w:p>
      <w:pPr>
        <w:spacing w:after="80"/>
      </w:pPr>
      <w:r>
        <w:rPr>
          <w:rFonts w:ascii="Arial" w:cs="Arial" w:eastAsia="Arial" w:hAnsi="Arial"/>
          <w:sz w:val="20"/>
          <w:szCs w:val="20"/>
        </w:rPr>
        <w:t xml:space="preserve">Współczynnik podziału: gleba/woda 2,31</w:t>
      </w:r>
    </w:p>
    <w:p>
      <w:pPr>
        <w:spacing w:after="80"/>
      </w:pPr>
      <w:r>
        <w:rPr>
          <w:rFonts w:ascii="Arial" w:cs="Arial" w:eastAsia="Arial" w:hAnsi="Arial"/>
          <w:sz w:val="20"/>
          <w:szCs w:val="20"/>
        </w:rPr>
        <w:t xml:space="preserve">ANISALDEHYD</w:t>
      </w:r>
    </w:p>
    <w:p>
      <w:pPr>
        <w:spacing w:after="80"/>
      </w:pPr>
      <w:r>
        <w:rPr>
          <w:rFonts w:ascii="Arial" w:cs="Arial" w:eastAsia="Arial" w:hAnsi="Arial"/>
          <w:sz w:val="20"/>
          <w:szCs w:val="20"/>
        </w:rPr>
        <w:t xml:space="preserve">Współczynnik podziału: gleba/woda 1</w:t>
      </w:r>
    </w:p>
    <w:p>
      <w:pPr>
        <w:spacing w:after="80"/>
      </w:pPr>
      <w:r>
        <w:rPr>
          <w:rFonts w:ascii="Arial" w:cs="Arial" w:eastAsia="Arial" w:hAnsi="Arial"/>
          <w:sz w:val="20"/>
          <w:szCs w:val="20"/>
        </w:rPr>
        <w:t xml:space="preserve">2,6-di-tert-butylo-p-krezol</w:t>
      </w:r>
    </w:p>
    <w:p>
      <w:pPr>
        <w:spacing w:after="80"/>
      </w:pPr>
      <w:r>
        <w:rPr>
          <w:rFonts w:ascii="Arial" w:cs="Arial" w:eastAsia="Arial" w:hAnsi="Arial"/>
          <w:sz w:val="20"/>
          <w:szCs w:val="20"/>
        </w:rPr>
        <w:t xml:space="preserve">Współczynnik podziału: gleba/woda 4,2</w:t>
      </w:r>
    </w:p>
    <w:p>
      <w:pPr>
        <w:spacing w:after="100" w:before="200"/>
      </w:pPr>
      <w:r>
        <w:rPr>
          <w:rFonts w:ascii="Arial" w:cs="Arial" w:eastAsia="Arial" w:hAnsi="Arial"/>
          <w:b/>
          <w:bCs/>
          <w:sz w:val="20"/>
          <w:szCs w:val="20"/>
        </w:rPr>
        <w:t xml:space="preserve">12.5. Wyniki oceny właściwości PBT i vPvB Na podstawie dostępnych danych produkt nie zawiera żadnych substancji PBT lub vPvB w stężeniu ≥ 0,1%. 12.6. Właściwości zaburzające funkcjonowanie układu hormonalnego W oparciu o dostępne dane produkt nie zawiera substancji wymienionych w głównych europejskich wykazach potencjalnych lub podejrzewanych substancji zaburzających funkcjonowanie układu hormonalnego podlegających ocenie pod kątem wpływu na środowisko. 12.7. Inne szkodliwe skutki działania Brak danych</w:t>
      </w:r>
    </w:p>
    <w:p>
      <w:pPr>
        <w:spacing w:after="80"/>
      </w:pPr>
      <w:r>
        <w:rPr>
          <w:rFonts w:ascii="Arial" w:cs="Arial" w:eastAsia="Arial" w:hAnsi="Arial"/>
          <w:sz w:val="20"/>
          <w:szCs w:val="20"/>
        </w:rPr>
        <w:t xml:space="preserve">SEKCJA 13. Postępowanie z odpadami</w:t>
      </w:r>
    </w:p>
    <w:p>
      <w:pPr>
        <w:spacing w:after="100" w:before="200"/>
      </w:pPr>
      <w:r>
        <w:rPr>
          <w:rFonts w:ascii="Arial" w:cs="Arial" w:eastAsia="Arial" w:hAnsi="Arial"/>
          <w:b/>
          <w:bCs/>
          <w:sz w:val="20"/>
          <w:szCs w:val="20"/>
        </w:rPr>
        <w:t xml:space="preserve">13.1. Metody unieszkodliwiania odpadów W miarę możliwości odzyskać. Pozostałości produktu należy traktować jako odpady niebezpieczne specjalne. Stopień niebezpieczeństwa odpadów zawierających ten produkt należy ocenić zgodnie z obowiązującymi przepisami. Usuwanie odpadów należy powierzyć uprawnionej firmie gospodarowania odpadami, zgodnie z przepisami krajowymi i lokalnymi. Transport odpadów może podlegać ograniczeniom ADR. Gospodarka odpadami powstałymi w wyniku użytkowania lub rozprzestrzeniania się produktu musi być zorganizowana zgodnie z przepisami bezpieczeństwa pracy. Patrz sekcja 8 w zakresie ewentualnej potrzeby stosowania ŚOI. ZANIECZYSZCZONE OPAKOWANIA Zanieczyszczone opakowania należy poddać odzyskowi lub unieszkodliwieniu zgodnie z krajowymi przepisami dotyczącymi gospodarowania odpadami.</w:t>
      </w:r>
    </w:p>
    <w:p>
      <w:pPr>
        <w:spacing w:after="80"/>
      </w:pPr>
      <w:r>
        <w:rPr>
          <w:rFonts w:ascii="Arial" w:cs="Arial" w:eastAsia="Arial" w:hAnsi="Arial"/>
          <w:sz w:val="20"/>
          <w:szCs w:val="20"/>
        </w:rPr>
        <w:t xml:space="preserve">SEKCJA 14. Informacje dotyczące transportu</w:t>
      </w:r>
    </w:p>
    <w:p>
      <w:pPr>
        <w:spacing w:after="100" w:before="200"/>
      </w:pPr>
      <w:r>
        <w:rPr>
          <w:rFonts w:ascii="Arial" w:cs="Arial" w:eastAsia="Arial" w:hAnsi="Arial"/>
          <w:b/>
          <w:bCs/>
          <w:sz w:val="20"/>
          <w:szCs w:val="20"/>
        </w:rPr>
        <w:t xml:space="preserve">14.1. Numer UN lub numer identyfikacyjny ID ADR / RID, IMDG, IATA: UN 1170</w:t>
      </w:r>
    </w:p>
    <w:p>
      <w:pPr>
        <w:spacing w:after="100" w:before="200"/>
      </w:pPr>
      <w:r>
        <w:rPr>
          <w:rFonts w:ascii="Arial" w:cs="Arial" w:eastAsia="Arial" w:hAnsi="Arial"/>
          <w:b/>
          <w:bCs/>
          <w:sz w:val="20"/>
          <w:szCs w:val="20"/>
        </w:rPr>
        <w:t xml:space="preserve">14.2. Prawidłowa nazwa przewozowa UN ADR / RID: ETHANOL (ETHYL ALCOHOL) or ETHANOL SOLUTION (ETHYL ALCOHOL SOLUTION) (ETHANOL)</w:t>
      </w:r>
    </w:p>
    <w:p>
      <w:pPr>
        <w:spacing w:after="80" w:before="80"/>
      </w:pPr>
      <w:r>
        <w:rPr>
          <w:rFonts w:ascii="Arial" w:cs="Arial" w:eastAsia="Arial" w:hAnsi="Arial"/>
          <w:b/>
          <w:bCs/>
          <w:sz w:val="20"/>
          <w:szCs w:val="20"/>
        </w:rPr>
        <w:t xml:space="preserve">IMDG:</w:t>
      </w:r>
      <w:r>
        <w:rPr>
          <w:rFonts w:ascii="Arial" w:cs="Arial" w:eastAsia="Arial" w:hAnsi="Arial"/>
          <w:sz w:val="20"/>
          <w:szCs w:val="20"/>
        </w:rPr>
        <w:t xml:space="preserve"> ETHANOL (ETHYL ALCOHOL) or ETHANOL SOLUTION (ETHYL ALCOHOL SOLUTION) (ETHANOL)</w:t>
      </w:r>
    </w:p>
    <w:p>
      <w:pPr>
        <w:spacing w:after="80" w:before="80"/>
      </w:pPr>
      <w:r>
        <w:rPr>
          <w:rFonts w:ascii="Arial" w:cs="Arial" w:eastAsia="Arial" w:hAnsi="Arial"/>
          <w:b/>
          <w:bCs/>
          <w:sz w:val="20"/>
          <w:szCs w:val="20"/>
        </w:rPr>
        <w:t xml:space="preserve">IATA:</w:t>
      </w:r>
      <w:r>
        <w:rPr>
          <w:rFonts w:ascii="Arial" w:cs="Arial" w:eastAsia="Arial" w:hAnsi="Arial"/>
          <w:sz w:val="20"/>
          <w:szCs w:val="20"/>
        </w:rPr>
        <w:t xml:space="preserve"> ETHANOL (ETHYL ALCOHOL) or ETHANOL SOLUTION (ETHYL ALCOHOL SOLUTION) (ETHANOL)</w:t>
      </w:r>
    </w:p>
    <w:p>
      <w:pPr>
        <w:spacing w:after="100" w:before="200"/>
      </w:pPr>
      <w:r>
        <w:rPr>
          <w:rFonts w:ascii="Arial" w:cs="Arial" w:eastAsia="Arial" w:hAnsi="Arial"/>
          <w:b/>
          <w:bCs/>
          <w:sz w:val="20"/>
          <w:szCs w:val="20"/>
        </w:rPr>
        <w:t xml:space="preserve">14.3. Klasa(-y) zagrożenia w transporcie ADR / RID: Klasa: 3 Nalepka: 3</w:t>
      </w:r>
    </w:p>
    <w:p>
      <w:pPr>
        <w:spacing w:after="80" w:before="80"/>
      </w:pPr>
      <w:r>
        <w:rPr>
          <w:rFonts w:ascii="Arial" w:cs="Arial" w:eastAsia="Arial" w:hAnsi="Arial"/>
          <w:b/>
          <w:bCs/>
          <w:sz w:val="20"/>
          <w:szCs w:val="20"/>
        </w:rPr>
        <w:t xml:space="preserve">IMDG:</w:t>
      </w:r>
      <w:r>
        <w:rPr>
          <w:rFonts w:ascii="Arial" w:cs="Arial" w:eastAsia="Arial" w:hAnsi="Arial"/>
          <w:sz w:val="20"/>
          <w:szCs w:val="20"/>
        </w:rPr>
        <w:t xml:space="preserve"> Klasa: 3 Nalepka: 3</w:t>
      </w:r>
    </w:p>
    <w:p>
      <w:pPr>
        <w:spacing w:after="80" w:before="80"/>
      </w:pPr>
      <w:r>
        <w:rPr>
          <w:rFonts w:ascii="Arial" w:cs="Arial" w:eastAsia="Arial" w:hAnsi="Arial"/>
          <w:b/>
          <w:bCs/>
          <w:sz w:val="20"/>
          <w:szCs w:val="20"/>
        </w:rPr>
        <w:t xml:space="preserve">IATA:</w:t>
      </w:r>
      <w:r>
        <w:rPr>
          <w:rFonts w:ascii="Arial" w:cs="Arial" w:eastAsia="Arial" w:hAnsi="Arial"/>
          <w:sz w:val="20"/>
          <w:szCs w:val="20"/>
        </w:rPr>
        <w:t xml:space="preserve"> Klasa: 3 Nalepka: 3</w:t>
      </w:r>
    </w:p>
    <w:p>
      <w:pPr>
        <w:spacing w:after="100" w:before="200"/>
      </w:pPr>
      <w:r>
        <w:rPr>
          <w:rFonts w:ascii="Arial" w:cs="Arial" w:eastAsia="Arial" w:hAnsi="Arial"/>
          <w:b/>
          <w:bCs/>
          <w:sz w:val="20"/>
          <w:szCs w:val="20"/>
        </w:rPr>
        <w:t xml:space="preserve">14.4. Grupa pakowania ADR / RID, IMDG, IATA: II</w:t>
      </w:r>
    </w:p>
    <w:p>
      <w:pPr>
        <w:spacing w:after="100" w:before="200"/>
      </w:pPr>
      <w:r>
        <w:rPr>
          <w:rFonts w:ascii="Arial" w:cs="Arial" w:eastAsia="Arial" w:hAnsi="Arial"/>
          <w:b/>
          <w:bCs/>
          <w:sz w:val="20"/>
          <w:szCs w:val="20"/>
        </w:rPr>
        <w:t xml:space="preserve">14.5. Zagrożenia dla środowiska ADR / RID: NIE</w:t>
      </w:r>
    </w:p>
    <w:p>
      <w:pPr>
        <w:spacing w:after="80" w:before="80"/>
      </w:pPr>
      <w:r>
        <w:rPr>
          <w:rFonts w:ascii="Arial" w:cs="Arial" w:eastAsia="Arial" w:hAnsi="Arial"/>
          <w:b/>
          <w:bCs/>
          <w:sz w:val="20"/>
          <w:szCs w:val="20"/>
        </w:rPr>
        <w:t xml:space="preserve">IMDG:</w:t>
      </w:r>
      <w:r>
        <w:rPr>
          <w:rFonts w:ascii="Arial" w:cs="Arial" w:eastAsia="Arial" w:hAnsi="Arial"/>
          <w:sz w:val="20"/>
          <w:szCs w:val="20"/>
        </w:rPr>
        <w:t xml:space="preserve"> substancja zanieczyszczająca środowisko morskie: nie</w:t>
      </w:r>
    </w:p>
    <w:p>
      <w:pPr>
        <w:spacing w:after="80" w:before="80"/>
      </w:pPr>
      <w:r>
        <w:rPr>
          <w:rFonts w:ascii="Arial" w:cs="Arial" w:eastAsia="Arial" w:hAnsi="Arial"/>
          <w:b/>
          <w:bCs/>
          <w:sz w:val="20"/>
          <w:szCs w:val="20"/>
        </w:rPr>
        <w:t xml:space="preserve">IATA:</w:t>
      </w:r>
      <w:r>
        <w:rPr>
          <w:rFonts w:ascii="Arial" w:cs="Arial" w:eastAsia="Arial" w:hAnsi="Arial"/>
          <w:sz w:val="20"/>
          <w:szCs w:val="20"/>
        </w:rPr>
        <w:t xml:space="preserve"> NIE</w:t>
      </w:r>
    </w:p>
    <w:p>
      <w:pPr>
        <w:spacing w:after="100" w:before="200"/>
      </w:pPr>
      <w:r>
        <w:rPr>
          <w:rFonts w:ascii="Arial" w:cs="Arial" w:eastAsia="Arial" w:hAnsi="Arial"/>
          <w:b/>
          <w:bCs/>
          <w:sz w:val="20"/>
          <w:szCs w:val="20"/>
        </w:rPr>
        <w:t xml:space="preserve">14.6. Szczególne środki ostrożności dla użytkowników ADR / RID: HIN - Kemler: 33 Ilości ograniczone: 1 lt Kod ograniczeń przewozu przez tunele: (D/E)</w:t>
      </w:r>
    </w:p>
    <w:p>
      <w:pPr>
        <w:spacing w:after="80"/>
      </w:pPr>
      <w:r>
        <w:rPr>
          <w:rFonts w:ascii="Arial" w:cs="Arial" w:eastAsia="Arial" w:hAnsi="Arial"/>
          <w:sz w:val="20"/>
          <w:szCs w:val="20"/>
        </w:rPr>
        <w:t xml:space="preserve">Przepis szczególny: 144, 601</w:t>
      </w:r>
    </w:p>
    <w:p>
      <w:pPr>
        <w:spacing w:after="80" w:before="80"/>
      </w:pPr>
      <w:r>
        <w:rPr>
          <w:rFonts w:ascii="Arial" w:cs="Arial" w:eastAsia="Arial" w:hAnsi="Arial"/>
          <w:b/>
          <w:bCs/>
          <w:sz w:val="20"/>
          <w:szCs w:val="20"/>
        </w:rPr>
        <w:t xml:space="preserve">IMDG:</w:t>
      </w:r>
      <w:r>
        <w:rPr>
          <w:rFonts w:ascii="Arial" w:cs="Arial" w:eastAsia="Arial" w:hAnsi="Arial"/>
          <w:sz w:val="20"/>
          <w:szCs w:val="20"/>
        </w:rPr>
        <w:t xml:space="preserve"> EMS: F-E, S-D Ilości ograniczone: 1 lt</w:t>
      </w:r>
    </w:p>
    <w:p>
      <w:pPr>
        <w:spacing w:after="80" w:before="80"/>
      </w:pPr>
      <w:r>
        <w:rPr>
          <w:rFonts w:ascii="Arial" w:cs="Arial" w:eastAsia="Arial" w:hAnsi="Arial"/>
          <w:b/>
          <w:bCs/>
          <w:sz w:val="20"/>
          <w:szCs w:val="20"/>
        </w:rPr>
        <w:t xml:space="preserve">IATA:</w:t>
      </w:r>
      <w:r>
        <w:rPr>
          <w:rFonts w:ascii="Arial" w:cs="Arial" w:eastAsia="Arial" w:hAnsi="Arial"/>
          <w:sz w:val="20"/>
          <w:szCs w:val="20"/>
        </w:rPr>
        <w:t xml:space="preserve"> Cargo: Maksymalna ilość: 60 L Instrukcje pakowania: 364</w:t>
      </w:r>
    </w:p>
    <w:p>
      <w:pPr>
        <w:spacing w:after="80"/>
      </w:pPr>
      <w:r>
        <w:rPr>
          <w:rFonts w:ascii="Arial" w:cs="Arial" w:eastAsia="Arial" w:hAnsi="Arial"/>
          <w:sz w:val="20"/>
          <w:szCs w:val="20"/>
        </w:rPr>
        <w:t xml:space="preserve">Pasażerski: Maksymalna ilość: 5 L Instrukcje pakowania: 353</w:t>
      </w:r>
    </w:p>
    <w:p>
      <w:pPr>
        <w:spacing w:after="80"/>
      </w:pPr>
      <w:r>
        <w:rPr>
          <w:rFonts w:ascii="Arial" w:cs="Arial" w:eastAsia="Arial" w:hAnsi="Arial"/>
          <w:sz w:val="20"/>
          <w:szCs w:val="20"/>
        </w:rPr>
        <w:t xml:space="preserve">Przepis szczególny: A3, A58, A180</w:t>
      </w:r>
    </w:p>
    <w:p>
      <w:pPr>
        <w:spacing w:after="100" w:before="200"/>
      </w:pPr>
      <w:r>
        <w:rPr>
          <w:rFonts w:ascii="Arial" w:cs="Arial" w:eastAsia="Arial" w:hAnsi="Arial"/>
          <w:b/>
          <w:bCs/>
          <w:sz w:val="20"/>
          <w:szCs w:val="20"/>
        </w:rPr>
        <w:t xml:space="preserve">14.7. Transport morski luzem zgodnie z instrumentami IMO Informacja nieistotna</w:t>
      </w:r>
    </w:p>
    <w:p>
      <w:pPr>
        <w:spacing w:after="80"/>
      </w:pPr>
      <w:r>
        <w:rPr>
          <w:rFonts w:ascii="Arial" w:cs="Arial" w:eastAsia="Arial" w:hAnsi="Arial"/>
          <w:sz w:val="20"/>
          <w:szCs w:val="20"/>
        </w:rPr>
        <w:t xml:space="preserve">SEKCJA 15. Informacje dotyczące przepisów prawnych</w:t>
      </w:r>
    </w:p>
    <w:p>
      <w:pPr>
        <w:spacing w:after="100" w:before="200"/>
      </w:pPr>
      <w:r>
        <w:rPr>
          <w:rFonts w:ascii="Arial" w:cs="Arial" w:eastAsia="Arial" w:hAnsi="Arial"/>
          <w:b/>
          <w:bCs/>
          <w:sz w:val="20"/>
          <w:szCs w:val="20"/>
        </w:rPr>
        <w:t xml:space="preserve">15.1. Przepisy prawne dotyczące bezpieczeństwa, zdrowia i ochrony środowiska specyficzne dla substancji lub mieszaniny</w:t>
      </w:r>
    </w:p>
    <w:p>
      <w:pPr>
        <w:spacing w:after="80"/>
      </w:pPr>
      <w:r>
        <w:rPr>
          <w:rFonts w:ascii="Arial" w:cs="Arial" w:eastAsia="Arial" w:hAnsi="Arial"/>
          <w:sz w:val="20"/>
          <w:szCs w:val="20"/>
        </w:rPr>
        <w:t xml:space="preserve">Kategoria Seveso - Dyrektywa 2012/18/UE: P5c Ograniczenia dotyczące produktu lub substancji zawartych zgodnie z załącznikiem XVII do rozporządzenia (WE) 1907/2006 Produkt Pozycja 3 - 40</w:t>
      </w:r>
    </w:p>
    <w:p>
      <w:pPr>
        <w:spacing w:after="80"/>
      </w:pPr>
      <w:r>
        <w:rPr>
          <w:rFonts w:ascii="Arial" w:cs="Arial" w:eastAsia="Arial" w:hAnsi="Arial"/>
          <w:sz w:val="20"/>
          <w:szCs w:val="20"/>
        </w:rPr>
        <w:t xml:space="preserve">Zawarta substancja Pozycja 75</w:t>
      </w:r>
    </w:p>
    <w:p>
      <w:pPr>
        <w:spacing w:after="80"/>
      </w:pPr>
      <w:r>
        <w:rPr>
          <w:rFonts w:ascii="Arial" w:cs="Arial" w:eastAsia="Arial" w:hAnsi="Arial"/>
          <w:sz w:val="20"/>
          <w:szCs w:val="20"/>
        </w:rPr>
        <w:t xml:space="preserve">Rozporządzenie (UE) 2019/1148 - w sprawie wprowadzania do obrotu i stosowania prekursorów materiałów wybuchowych nie dotyczy Substancje na Liście Kandydackiej (Art. 59 REACH) Na podstawie dostępnych danych produkt nie zawiera żadnych substancji SVHC w stężeniu ≥ 0,1%. Substancje podlegające procedurze udzielania zezwoleń (Załącznik XIV REACH) Brak Substancje podlegające obowiązkowi powiadomienia o wywozie zgodnie z rozporządzeniem (UE) 649/2012: Brak Substancje podlegające konwencji rotterdamskiej: Brak Substancje podlegające konwencji sztokholmskiej: Brak Kontrole opieki zdrowotnej Pracownicy narażeni na działanie tego czynnika chemicznego nie muszą przechodzić badań lekarskich pod warunkiem, że dostępne dane z oceny ryzyka wykażą, że ryzyko dla zdrowia i bezpieczeństwa pracowników jest niewielkie oraz że przestrzegana jest dyrektywa 98/24/WE. Niemieckie rozporządzenie w sprawie klasyfikacji substancji niebezpiecznych dla wód (AwSV, vom 18. April 2017) WGK 3: Poważne zagrożenie dla wód 15.2. Ocena bezpieczeństwa chemicznego</w:t>
      </w:r>
    </w:p>
    <w:p>
      <w:pPr>
        <w:spacing w:after="80"/>
      </w:pPr>
      <w:r>
        <w:rPr>
          <w:rFonts w:ascii="Arial" w:cs="Arial" w:eastAsia="Arial" w:hAnsi="Arial"/>
          <w:sz w:val="20"/>
          <w:szCs w:val="20"/>
        </w:rPr>
        <w:t xml:space="preserve">Nie przeprowadzono oceny bezpieczeństwa chemicznego dla preparatu/dla substancji wskazanych w sekcji 3.</w:t>
      </w:r>
    </w:p>
    <w:p>
      <w:pPr>
        <w:spacing w:after="80"/>
      </w:pPr>
      <w:r>
        <w:rPr>
          <w:rFonts w:ascii="Arial" w:cs="Arial" w:eastAsia="Arial" w:hAnsi="Arial"/>
          <w:sz w:val="20"/>
          <w:szCs w:val="20"/>
        </w:rPr>
        <w:t xml:space="preserve">SEKCJA 16. Inne informacje</w:t>
      </w:r>
    </w:p>
    <w:p>
      <w:pPr>
        <w:spacing w:after="80"/>
      </w:pPr>
      <w:r>
        <w:rPr>
          <w:rFonts w:ascii="Arial" w:cs="Arial" w:eastAsia="Arial" w:hAnsi="Arial"/>
          <w:sz w:val="20"/>
          <w:szCs w:val="20"/>
        </w:rPr>
        <w:t xml:space="preserve">Tekst zwrotów wskazujących rodzaj zagrożenia (H) wymienionych w sekcjach 2-3 karty: Flam. Liq. 2 Substancja ciekła łatwopalna, kategoria 2</w:t>
      </w:r>
    </w:p>
    <w:p>
      <w:pPr>
        <w:spacing w:after="80"/>
      </w:pPr>
      <w:r>
        <w:rPr>
          <w:rFonts w:ascii="Arial" w:cs="Arial" w:eastAsia="Arial" w:hAnsi="Arial"/>
          <w:sz w:val="20"/>
          <w:szCs w:val="20"/>
        </w:rPr>
        <w:t xml:space="preserve">Repr. 2 Działanie szkodliwe na rozrodczość, kategoria 2</w:t>
      </w:r>
    </w:p>
    <w:p>
      <w:pPr>
        <w:spacing w:after="80"/>
      </w:pPr>
      <w:r>
        <w:rPr>
          <w:rFonts w:ascii="Arial" w:cs="Arial" w:eastAsia="Arial" w:hAnsi="Arial"/>
          <w:sz w:val="20"/>
          <w:szCs w:val="20"/>
        </w:rPr>
        <w:t xml:space="preserve">Acute Tox. 4 Toksyczność ostra, kategoria 4</w:t>
      </w:r>
    </w:p>
    <w:p>
      <w:pPr>
        <w:spacing w:after="80"/>
      </w:pPr>
      <w:r>
        <w:rPr>
          <w:rFonts w:ascii="Arial" w:cs="Arial" w:eastAsia="Arial" w:hAnsi="Arial"/>
          <w:sz w:val="20"/>
          <w:szCs w:val="20"/>
        </w:rPr>
        <w:t xml:space="preserve">Asp. Tox. 1 Zagrożenie spowodowane aspiracją, kategoria 1</w:t>
      </w:r>
    </w:p>
    <w:p>
      <w:pPr>
        <w:spacing w:after="80"/>
      </w:pPr>
      <w:r>
        <w:rPr>
          <w:rFonts w:ascii="Arial" w:cs="Arial" w:eastAsia="Arial" w:hAnsi="Arial"/>
          <w:sz w:val="20"/>
          <w:szCs w:val="20"/>
        </w:rPr>
        <w:t xml:space="preserve">STOT RE 2 Działanie toksyczne na narządy docelowe – narażenie powtarzane, kategoria 2</w:t>
      </w:r>
    </w:p>
    <w:p>
      <w:pPr>
        <w:spacing w:after="80"/>
      </w:pPr>
      <w:r>
        <w:rPr>
          <w:rFonts w:ascii="Arial" w:cs="Arial" w:eastAsia="Arial" w:hAnsi="Arial"/>
          <w:sz w:val="20"/>
          <w:szCs w:val="20"/>
        </w:rPr>
        <w:t xml:space="preserve">Eye Irrit. 2 Działanie drażniące na oczy, kategoria 2</w:t>
      </w:r>
    </w:p>
    <w:p>
      <w:pPr>
        <w:spacing w:after="80"/>
      </w:pPr>
      <w:r>
        <w:rPr>
          <w:rFonts w:ascii="Arial" w:cs="Arial" w:eastAsia="Arial" w:hAnsi="Arial"/>
          <w:sz w:val="20"/>
          <w:szCs w:val="20"/>
        </w:rPr>
        <w:t xml:space="preserve">Skin Irrit. 2 Działanie drażniące na skórę, kategoria 2</w:t>
      </w:r>
    </w:p>
    <w:p>
      <w:pPr>
        <w:spacing w:after="80"/>
      </w:pPr>
      <w:r>
        <w:rPr>
          <w:rFonts w:ascii="Arial" w:cs="Arial" w:eastAsia="Arial" w:hAnsi="Arial"/>
          <w:sz w:val="20"/>
          <w:szCs w:val="20"/>
        </w:rPr>
        <w:t xml:space="preserve">Skin Sens. 1 Działanie uczulające na skórę, kategoria 1</w:t>
      </w:r>
    </w:p>
    <w:p>
      <w:pPr>
        <w:spacing w:after="80"/>
      </w:pPr>
      <w:r>
        <w:rPr>
          <w:rFonts w:ascii="Arial" w:cs="Arial" w:eastAsia="Arial" w:hAnsi="Arial"/>
          <w:sz w:val="20"/>
          <w:szCs w:val="20"/>
        </w:rPr>
        <w:t xml:space="preserve">STOT SE 3 Działanie toksyczne na narządy docelowe – narażenie jednorazowe, kategoria 3</w:t>
      </w:r>
    </w:p>
    <w:p>
      <w:pPr>
        <w:spacing w:after="80"/>
      </w:pPr>
      <w:r>
        <w:rPr>
          <w:rFonts w:ascii="Arial" w:cs="Arial" w:eastAsia="Arial" w:hAnsi="Arial"/>
          <w:sz w:val="20"/>
          <w:szCs w:val="20"/>
        </w:rPr>
        <w:t xml:space="preserve">Aquatic Chronic 1 Stwarzające zagrożenie dla środowiska wodnego, toksyczność przewlekła, kategoria 1</w:t>
      </w:r>
    </w:p>
    <w:p>
      <w:pPr>
        <w:spacing w:after="80"/>
      </w:pPr>
      <w:r>
        <w:rPr>
          <w:rFonts w:ascii="Arial" w:cs="Arial" w:eastAsia="Arial" w:hAnsi="Arial"/>
          <w:sz w:val="20"/>
          <w:szCs w:val="20"/>
        </w:rPr>
        <w:t xml:space="preserve">Aquatic Chronic 3 Stwarzające zagrożenie dla środowiska wodnego, toksyczność przewlekła, kategoria 3</w:t>
      </w:r>
    </w:p>
    <w:p>
      <w:pPr>
        <w:spacing w:after="80"/>
      </w:pPr>
      <w:r>
        <w:rPr>
          <w:rFonts w:ascii="Arial" w:cs="Arial" w:eastAsia="Arial" w:hAnsi="Arial"/>
          <w:sz w:val="20"/>
          <w:szCs w:val="20"/>
        </w:rPr>
        <w:t xml:space="preserve">H225 Wysoce łatwopalna ciecz i pary.</w:t>
      </w:r>
    </w:p>
    <w:p>
      <w:pPr>
        <w:spacing w:after="80"/>
      </w:pPr>
      <w:r>
        <w:rPr>
          <w:rFonts w:ascii="Arial" w:cs="Arial" w:eastAsia="Arial" w:hAnsi="Arial"/>
          <w:sz w:val="20"/>
          <w:szCs w:val="20"/>
        </w:rPr>
        <w:t xml:space="preserve">H361d Podejrzewa się, że działa szkodliwie na dziecko w łonie matki.</w:t>
      </w:r>
    </w:p>
    <w:p>
      <w:pPr>
        <w:spacing w:after="80"/>
      </w:pPr>
      <w:r>
        <w:rPr>
          <w:rFonts w:ascii="Arial" w:cs="Arial" w:eastAsia="Arial" w:hAnsi="Arial"/>
          <w:sz w:val="20"/>
          <w:szCs w:val="20"/>
        </w:rPr>
        <w:t xml:space="preserve">H361fd Podejrzewa się, że działa szkodliwie na płodność. Podejrzewa się, że działa szkodliwie na dziecko w łonie matki.</w:t>
      </w:r>
    </w:p>
    <w:p>
      <w:pPr>
        <w:spacing w:after="80"/>
      </w:pPr>
      <w:r>
        <w:rPr>
          <w:rFonts w:ascii="Arial" w:cs="Arial" w:eastAsia="Arial" w:hAnsi="Arial"/>
          <w:sz w:val="20"/>
          <w:szCs w:val="20"/>
        </w:rPr>
        <w:t xml:space="preserve">H302 Działa szkodliwie po połknięciu.</w:t>
      </w:r>
    </w:p>
    <w:p>
      <w:pPr>
        <w:spacing w:after="80"/>
      </w:pPr>
      <w:r>
        <w:rPr>
          <w:rFonts w:ascii="Arial" w:cs="Arial" w:eastAsia="Arial" w:hAnsi="Arial"/>
          <w:sz w:val="20"/>
          <w:szCs w:val="20"/>
        </w:rPr>
        <w:t xml:space="preserve">H304 Połknięcie i dostanie się przez drogi oddechowe może grozić śmiercią.</w:t>
      </w:r>
    </w:p>
    <w:p>
      <w:pPr>
        <w:spacing w:after="80"/>
      </w:pPr>
      <w:r>
        <w:rPr>
          <w:rFonts w:ascii="Arial" w:cs="Arial" w:eastAsia="Arial" w:hAnsi="Arial"/>
          <w:sz w:val="20"/>
          <w:szCs w:val="20"/>
        </w:rPr>
        <w:t xml:space="preserve">H373 Może powodować uszkodzenie narządów poprzez długotrwałe lub narażenie powtarzane.</w:t>
      </w:r>
    </w:p>
    <w:p>
      <w:pPr>
        <w:spacing w:after="80"/>
      </w:pPr>
      <w:r>
        <w:rPr>
          <w:rFonts w:ascii="Arial" w:cs="Arial" w:eastAsia="Arial" w:hAnsi="Arial"/>
          <w:sz w:val="20"/>
          <w:szCs w:val="20"/>
        </w:rPr>
        <w:t xml:space="preserve">H319 Działa drażniąco na oczy.</w:t>
      </w:r>
    </w:p>
    <w:p>
      <w:pPr>
        <w:spacing w:after="80"/>
      </w:pPr>
      <w:r>
        <w:rPr>
          <w:rFonts w:ascii="Arial" w:cs="Arial" w:eastAsia="Arial" w:hAnsi="Arial"/>
          <w:sz w:val="20"/>
          <w:szCs w:val="20"/>
        </w:rPr>
        <w:t xml:space="preserve">H315 Działa drażniąco na skórę.</w:t>
      </w:r>
    </w:p>
    <w:p>
      <w:pPr>
        <w:spacing w:after="80"/>
      </w:pPr>
      <w:r>
        <w:rPr>
          <w:rFonts w:ascii="Arial" w:cs="Arial" w:eastAsia="Arial" w:hAnsi="Arial"/>
          <w:sz w:val="20"/>
          <w:szCs w:val="20"/>
        </w:rPr>
        <w:t xml:space="preserve">H317 Może powodować reakcję alergiczną skóry.</w:t>
      </w:r>
    </w:p>
    <w:p>
      <w:pPr>
        <w:spacing w:after="80"/>
      </w:pPr>
      <w:r>
        <w:rPr>
          <w:rFonts w:ascii="Arial" w:cs="Arial" w:eastAsia="Arial" w:hAnsi="Arial"/>
          <w:sz w:val="20"/>
          <w:szCs w:val="20"/>
        </w:rPr>
        <w:t xml:space="preserve">H336 Może wywoływać uczucie senności lub zawroty głowy.</w:t>
      </w:r>
    </w:p>
    <w:p>
      <w:pPr>
        <w:spacing w:after="80"/>
      </w:pPr>
      <w:r>
        <w:rPr>
          <w:rFonts w:ascii="Arial" w:cs="Arial" w:eastAsia="Arial" w:hAnsi="Arial"/>
          <w:sz w:val="20"/>
          <w:szCs w:val="20"/>
        </w:rPr>
        <w:t xml:space="preserve">H410 Działa bardzo toksycznie na organizmy wodne, powodując długotrwałe skutki.</w:t>
      </w:r>
    </w:p>
    <w:p>
      <w:pPr>
        <w:spacing w:after="80"/>
      </w:pPr>
      <w:r>
        <w:rPr>
          <w:rFonts w:ascii="Arial" w:cs="Arial" w:eastAsia="Arial" w:hAnsi="Arial"/>
          <w:sz w:val="20"/>
          <w:szCs w:val="20"/>
        </w:rPr>
        <w:t xml:space="preserve">H412 Działa szkodliwie na organizmy wodne, powodując długotrwałe skutki.</w:t>
      </w:r>
    </w:p>
    <w:p>
      <w:pPr>
        <w:spacing w:after="80"/>
      </w:pPr>
      <w:r>
        <w:rPr>
          <w:rFonts w:ascii="Arial" w:cs="Arial" w:eastAsia="Arial" w:hAnsi="Arial"/>
          <w:sz w:val="20"/>
          <w:szCs w:val="20"/>
        </w:rPr>
        <w:t xml:space="preserve">LEGENDA: - ADR: Umowa europejska dotycząca międzynarodowego przewozu drogowego towarów niebezpiecznych - ATE: Oszacowana toksyczność ostra - CAS: Numer Chemical Abstract Service - CE50: Stężenie efektywne (wymagane do wywołania 50% efektu) - CE: Identyfikator w ESIS (Europejski wykaz istniejących substancji o znaczeniu handlowym) - CLP: Rozporządzenie (WE) 1272/2008 - DNEL: Pochodny poziom niepowodujący zmian - EmS: Emergency Schedule (karty procedur awaryjnych) - GHS: Globalnie Zharmonizowany System Klasyfikacji i Oznakowania Chemikaliów - IATA DGR: Przepisy dotyczące towarów niebezpiecznych Międzynarodowego Zrzeszenia Przewoźników Powietrznych - IC50: Stężenie unieruchamiające 50% - IMDG: Międzynarodowy morski kodeks towarów niebezpiecznych - IMO: Międzynarodowa Organizacja Morska - INDEX: Identyfikator w załączniku VI do CLP - LC50: Stężenie śmiertelne 50% - LD50: Dawka śmiertelna 50% - OEL: Dopuszczalna wartość narażenia zawodowego - PBT: Trwały, wykazujący zdolność do bioakumulacji i toksyczny - PEC: Przewidywane stężenie w środowisku - PEL: Dopuszczalny poziom narażenia - PMT: Trwały, mobilny i toksyczny - PNEC: Przewidywane stężenie niepowodujące zmian w środowisku - REACH: Rozporządzenie (WE) 1907/2006 - RID: Regulamin międzynarodowego przewozu kolejami towarów niebezpiecznych - TLV: Wartość progowa - TLV CEILING: Stężenie, które nie powinno być przekraczane w żadnym momencie narażenia zawodowego - TWA: Średnia ważona w czasie wartość dopuszczalnego narażenia - TWA STEL: Granica krótkotrwałego narażenia - VOC: Lotne związki organiczne - vPvB: Bardzo trwały i wykazujący bardzo dużą zdolność do bioakumulacji - vPvM: Bardzo trwały i bardzo mobilny - WGK: Klasy zagrożenia dla wód (niemieckie). BIBLIOGRAFIA OGÓLNA 1. Rozporządzenie Parlamentu Europejskiego (WE) 1907/2006 (REACH) 2. Rozporządzenie Parlamentu Europejskiego (WE) 1272/2008 (CLP) 3. Rozporządzenie (UE) 2020/878 (Załącznik II do rozporządzenia REACH) 4. Rozporządzenie Parlamentu Europejskiego (WE) 790/2009 (I Atp. CLP) 5. Rozporządzenie Parlamentu Europejskiego (UE) 286/2011 (II Atp. CLP) 6. Rozporządzenie Parlamentu Europejskiego (UE) 618/2012 (III Atp. CLP) 7. Rozporządzenie Parlamentu Europejskiego (UE) 487/2013 (IV Atp. CLP) 8. Rozporządzenie Parlamentu Europejskiego (UE) 944/2013 (V Atp. CLP) 9. Rozporządzenie Parlamentu Europejskiego (UE) 605/2014 (VI Atp. CLP) 10. Rozporządzenie Parlamentu Europejskiego (UE) 2015/1221 (VII Atp. CLP) 11. Rozporządzenie Parlamentu Europejskiego (UE) 2016/918 (VIII Atp. CLP) 12. Rozporządzenie (UE) 2016/1179 (IX Atp. CLP) 13. Rozporządzenie (UE) 2017/776 (X Atp. CLP) 14. Rozporządzenie (UE) 2018/669 (XI Atp. CLP) 15. Rozporządzenie (UE) 2019/521 (XII Atp. CLP) 16. Rozporządzenie delegowane (UE) 2018/1480 (XIII Atp. CLP) 17. Rozporządzenie (UE) 2019/1148 18. Rozporządzenie delegowane (UE) 2020/217 (XIV Atp. CLP) 19. Rozporządzenie delegowane (UE) 2020/1182 (XV Atp. CLP) 20. Rozporządzenie delegowane (UE) 2021/643 (XVI Atp. CLP) 21. Rozporządzenie delegowane (UE) 2021/849 (XVII Atp. CLP) 22. Rozporządzenie delegowane (UE) 2022/692 (XVIII Atp. CLP) 23. Rozporządzenie delegowane (UE) 2023/707 24. Rozporządzenie delegowane (UE) 2023/1434 (XIX Atp. CLP) 25. Rozporządzenie delegowane (UE) 2023/1435 (XX Atp. CLP) 26. Rozporządzenie delegowane (UE) 2024/197 (XXI Atp. CLP) - The Merck Index. - 10th Edition - Handling Chemical Safety - INRS - Fiche Toxicologique (toxicological sheet) - Patty - Industrial Hygiene and Toxicology - N.I. Sax - Dangerous properties of Industrial Materials-7, 1989 Edition - Strona internetowa IFA GESTIS - Strona internetowa ECHA - Baza danych modeli SDS dla chemikaliów - Ministerstwo Zdrowia i ISS (Istituto Superiore di Sanità) - Włochy Uwaga dla użytkowników: Informacje zawarte w niniejszej karcie opierają się na naszej wiedzy na dzień ostatniej wersji. Użytkownicy muszą zweryfikować przydatność i kompletność dostarczonych informacji w odniesieniu do każdego konkretnego zastosowania produktu. Dokument ten nie może być traktowany jako gwarancja jakiejkolwiek określonej właściwości produktu. Stosowanie tego produktu nie podlega naszej bezpośredniej kontroli; dlatego użytkownicy muszą, na własną odpowiedzialność, przestrzegać obowiązujących przepisów prawa i regulacji dotyczących bezpieczeństwa i higieny pracy. Producent jest zwolniony z wszelkiej odpowiedzialności wynikającej z niewłaściwego użytkowania. Zapewnić wyznaczonemu personelowi odpowiednie szkolenie w zakresie stosowania produktów chemicznych. METODY OBLICZENIOWE DO KLASYFIKACJI Zagrożenia chemiczne i fizyczne: Klasyfikacja produktu wynika z kryteriów ustanowionych w Rozporządzeniu CLP, Załącznik I, Część 2. Dane do oceny właściwości chemiczno-fizycznych podano w sekcji 9. Zagrożenia dla zdrowia: Klasyfikacja produktu opiera się na metodach obliczeniowych zgodnie z Załącznikiem I do CLP, Część 3, chyba że w Sekcji 11 określono inaczej. Zagrożenia dla środowiska: Klasyfikacja produktu opiera się na metodach obliczeniowych zgodnie z Załącznikiem I do CLP, Część 4, chyba że w Sekcji 12 określono inaczej. Zmiany w stosunku do poprzedniej wersji: Zmodyfikowano następujące sekcje: 01 / 02 / 03 / 04 / 08 / 09 / 10 / 11 / 12 / 13 / 14 / 15 / 16.</w:t>
      </w:r>
    </w:p>
    <w:p>
      <w:pPr>
        <w:pBdr>
          <w:bottom w:color="00A651" w:sz="12" w:space="1"/>
        </w:pBdr>
        <w:spacing w:after="150" w:before="300"/>
      </w:pPr>
      <w:r>
        <w:rPr>
          <w:b/>
          <w:bCs/>
          <w:sz w:val="22"/>
          <w:szCs w:val="22"/>
        </w:rPr>
        <w:t xml:space="preserve">SEKCJA 11</w:t>
      </w:r>
    </w:p>
    <w:p>
      <w:pPr>
        <w:spacing w:after="80"/>
      </w:pPr>
      <w:r>
        <w:rPr>
          <w:rFonts w:ascii="Arial" w:cs="Arial" w:eastAsia="Arial" w:hAnsi="Arial"/>
          <w:sz w:val="20"/>
          <w:szCs w:val="20"/>
        </w:rPr>
        <w:t xml:space="preserve">Brak danych dla Sekcji 11 w pliku źródłowym.</w:t>
      </w:r>
    </w:p>
    <w:p>
      <w:pPr>
        <w:pBdr>
          <w:bottom w:color="00A651" w:sz="12" w:space="1"/>
        </w:pBdr>
        <w:spacing w:after="150" w:before="300"/>
      </w:pPr>
      <w:r>
        <w:rPr>
          <w:b/>
          <w:bCs/>
          <w:sz w:val="22"/>
          <w:szCs w:val="22"/>
        </w:rPr>
        <w:t xml:space="preserve">SEKCJA 12: INFORMACJE EKOLOGICZNE</w:t>
      </w:r>
    </w:p>
    <w:p>
      <w:pPr>
        <w:spacing w:after="100" w:before="200"/>
      </w:pPr>
      <w:r>
        <w:rPr>
          <w:rFonts w:ascii="Arial" w:cs="Arial" w:eastAsia="Arial" w:hAnsi="Arial"/>
          <w:b/>
          <w:bCs/>
          <w:sz w:val="20"/>
          <w:szCs w:val="20"/>
        </w:rPr>
        <w:t xml:space="preserve">12.1. Toksyczność</w:t>
      </w:r>
    </w:p>
    <w:p>
      <w:pPr>
        <w:spacing w:after="80"/>
      </w:pPr>
      <w:r>
        <w:rPr>
          <w:rFonts w:ascii="Arial" w:cs="Arial" w:eastAsia="Arial" w:hAnsi="Arial"/>
          <w:sz w:val="20"/>
          <w:szCs w:val="20"/>
        </w:rPr>
        <w:t xml:space="preserve">Stosować dobrą praktykę zawodową, unikając przedostawania się produktu do środowiska.</w:t>
      </w:r>
    </w:p>
    <w:p>
      <w:pPr>
        <w:spacing w:after="80" w:before="150"/>
      </w:pPr>
      <w:r>
        <w:rPr>
          <w:rFonts w:ascii="Arial" w:cs="Arial" w:eastAsia="Arial" w:hAnsi="Arial"/>
          <w:b/>
          <w:bCs/>
          <w:sz w:val="20"/>
          <w:szCs w:val="20"/>
        </w:rPr>
        <w:t xml:space="preserve">Właściwości ekotoksykologiczne mieszaniny:</w:t>
      </w:r>
    </w:p>
    <w:p>
      <w:pPr>
        <w:spacing w:after="80"/>
      </w:pPr>
      <w:r>
        <w:rPr>
          <w:rFonts w:ascii="Arial" w:cs="Arial" w:eastAsia="Arial" w:hAnsi="Arial"/>
          <w:sz w:val="20"/>
          <w:szCs w:val="20"/>
        </w:rPr>
        <w:t xml:space="preserve">Mieszanina nie została zaklasyfikowana jako stwarzająca zagrożenie dla środowiska.</w:t>
      </w:r>
    </w:p>
    <w:p>
      <w:pPr>
        <w:spacing w:after="80"/>
      </w:pPr>
      <w:r>
        <w:rPr>
          <w:rFonts w:ascii="Arial" w:cs="Arial" w:eastAsia="Arial" w:hAnsi="Arial"/>
          <w:sz w:val="20"/>
          <w:szCs w:val="20"/>
        </w:rPr>
        <w:t xml:space="preserve">Brak danych doświadczalnych dla mieszaniny.</w:t>
      </w:r>
    </w:p>
    <w:p>
      <w:pPr>
        <w:spacing w:after="100" w:before="200"/>
      </w:pPr>
      <w:r>
        <w:rPr>
          <w:rFonts w:ascii="Arial" w:cs="Arial" w:eastAsia="Arial" w:hAnsi="Arial"/>
          <w:b/>
          <w:bCs/>
          <w:sz w:val="20"/>
          <w:szCs w:val="20"/>
        </w:rPr>
        <w:t xml:space="preserve">12.2. Trwałość i zdolność do rozkładu</w:t>
      </w:r>
    </w:p>
    <w:p>
      <w:pPr>
        <w:spacing w:after="80"/>
      </w:pPr>
      <w:r>
        <w:rPr>
          <w:rFonts w:ascii="Arial" w:cs="Arial" w:eastAsia="Arial" w:hAnsi="Arial"/>
          <w:sz w:val="20"/>
          <w:szCs w:val="20"/>
        </w:rPr>
        <w:t xml:space="preserve">Brak dostępnych badań dotyczących trwałości i rozkładu mieszaniny.</w:t>
      </w:r>
    </w:p>
    <w:p>
      <w:pPr>
        <w:spacing w:after="100" w:before="200"/>
      </w:pPr>
      <w:r>
        <w:rPr>
          <w:rFonts w:ascii="Arial" w:cs="Arial" w:eastAsia="Arial" w:hAnsi="Arial"/>
          <w:b/>
          <w:bCs/>
          <w:sz w:val="20"/>
          <w:szCs w:val="20"/>
        </w:rPr>
        <w:t xml:space="preserve">12.3. Zdolność do bioakumulacji</w:t>
      </w:r>
    </w:p>
    <w:p>
      <w:pPr>
        <w:spacing w:after="80"/>
      </w:pPr>
      <w:r>
        <w:rPr>
          <w:rFonts w:ascii="Arial" w:cs="Arial" w:eastAsia="Arial" w:hAnsi="Arial"/>
          <w:sz w:val="20"/>
          <w:szCs w:val="20"/>
        </w:rPr>
        <w:t xml:space="preserve">Brak dostępnych badań dotyczących bioakumulacji dla mieszaniny.</w:t>
      </w:r>
    </w:p>
    <w:p>
      <w:pPr>
        <w:spacing w:after="100" w:before="200"/>
      </w:pPr>
      <w:r>
        <w:rPr>
          <w:rFonts w:ascii="Arial" w:cs="Arial" w:eastAsia="Arial" w:hAnsi="Arial"/>
          <w:b/>
          <w:bCs/>
          <w:sz w:val="20"/>
          <w:szCs w:val="20"/>
        </w:rPr>
        <w:t xml:space="preserve">12.4. Mobilność w glebie</w:t>
      </w:r>
    </w:p>
    <w:p>
      <w:pPr>
        <w:spacing w:after="80"/>
      </w:pPr>
      <w:r>
        <w:rPr>
          <w:rFonts w:ascii="Arial" w:cs="Arial" w:eastAsia="Arial" w:hAnsi="Arial"/>
          <w:sz w:val="20"/>
          <w:szCs w:val="20"/>
        </w:rPr>
        <w:t xml:space="preserve">Brak dostępnych badań dotyczących mobilności mieszaniny w glebie.</w:t>
      </w:r>
    </w:p>
    <w:p>
      <w:pPr>
        <w:spacing w:after="100" w:before="200"/>
      </w:pPr>
      <w:r>
        <w:rPr>
          <w:rFonts w:ascii="Arial" w:cs="Arial" w:eastAsia="Arial" w:hAnsi="Arial"/>
          <w:b/>
          <w:bCs/>
          <w:sz w:val="20"/>
          <w:szCs w:val="20"/>
        </w:rPr>
        <w:t xml:space="preserve">12.5. Wyniki oceny właściwości PBT i vPvB</w:t>
      </w:r>
    </w:p>
    <w:p>
      <w:pPr>
        <w:spacing w:after="80"/>
      </w:pPr>
      <w:r>
        <w:rPr>
          <w:rFonts w:ascii="Arial" w:cs="Arial" w:eastAsia="Arial" w:hAnsi="Arial"/>
          <w:sz w:val="20"/>
          <w:szCs w:val="20"/>
        </w:rPr>
        <w:t xml:space="preserve">Mieszanina nie zawiera substancji spełniających kryteria PBT lub vPvB zgodnie z załącznikiem XIII do rozporządzenia REACH w stężeniu ≥ 0,1% wag.</w:t>
      </w:r>
    </w:p>
    <w:p>
      <w:pPr>
        <w:spacing w:after="100" w:before="200"/>
      </w:pPr>
      <w:r>
        <w:rPr>
          <w:rFonts w:ascii="Arial" w:cs="Arial" w:eastAsia="Arial" w:hAnsi="Arial"/>
          <w:b/>
          <w:bCs/>
          <w:sz w:val="20"/>
          <w:szCs w:val="20"/>
        </w:rPr>
        <w:t xml:space="preserve">12.6. Właściwości zaburzające funkcjonowanie układu hormonalnego</w:t>
      </w:r>
    </w:p>
    <w:p>
      <w:pPr>
        <w:spacing w:after="80"/>
      </w:pPr>
      <w:r>
        <w:rPr>
          <w:rFonts w:ascii="Arial" w:cs="Arial" w:eastAsia="Arial" w:hAnsi="Arial"/>
          <w:sz w:val="20"/>
          <w:szCs w:val="20"/>
        </w:rPr>
        <w:t xml:space="preserve">Mieszanina nie zawiera substancji o właściwościach zaburzających funkcjonowanie układu hormonalnego w odniesieniu do środowiska w stężeniu ≥ 0,1% wag.</w:t>
      </w:r>
    </w:p>
    <w:p>
      <w:pPr>
        <w:spacing w:after="100" w:before="200"/>
      </w:pPr>
      <w:r>
        <w:rPr>
          <w:rFonts w:ascii="Arial" w:cs="Arial" w:eastAsia="Arial" w:hAnsi="Arial"/>
          <w:b/>
          <w:bCs/>
          <w:sz w:val="20"/>
          <w:szCs w:val="20"/>
        </w:rPr>
        <w:t xml:space="preserve">12.7. Inne szkodliwe skutki działania</w:t>
      </w:r>
    </w:p>
    <w:p>
      <w:pPr>
        <w:spacing w:after="80"/>
      </w:pPr>
      <w:r>
        <w:rPr>
          <w:rFonts w:ascii="Arial" w:cs="Arial" w:eastAsia="Arial" w:hAnsi="Arial"/>
          <w:sz w:val="20"/>
          <w:szCs w:val="20"/>
        </w:rPr>
        <w:t xml:space="preserve">Nie są znane żadne inne szkodliwe skutki działania na środowisko (brak potencjału niszczenia warstwy ozonowej, tworzenia ozonu fotochemicznego ani wpływu na globalne ocieplenie).</w:t>
      </w:r>
    </w:p>
    <w:p>
      <w:pPr>
        <w:pBdr>
          <w:bottom w:color="00A651" w:sz="12" w:space="1"/>
        </w:pBdr>
        <w:spacing w:after="150" w:before="300"/>
      </w:pPr>
      <w:r>
        <w:rPr>
          <w:b/>
          <w:bCs/>
          <w:sz w:val="22"/>
          <w:szCs w:val="22"/>
        </w:rPr>
        <w:t xml:space="preserve">SEKCJA 13: POSTĘPOWANIE Z ODPADAMI</w:t>
      </w:r>
    </w:p>
    <w:p>
      <w:pPr>
        <w:spacing w:after="100" w:before="200"/>
      </w:pPr>
      <w:r>
        <w:rPr>
          <w:rFonts w:ascii="Arial" w:cs="Arial" w:eastAsia="Arial" w:hAnsi="Arial"/>
          <w:b/>
          <w:bCs/>
          <w:sz w:val="20"/>
          <w:szCs w:val="20"/>
        </w:rPr>
        <w:t xml:space="preserve">13.1. Metody unieszkodliwiania odpadów</w:t>
      </w:r>
    </w:p>
    <w:p>
      <w:pPr>
        <w:spacing w:after="80" w:before="150"/>
      </w:pPr>
      <w:r>
        <w:rPr>
          <w:rFonts w:ascii="Arial" w:cs="Arial" w:eastAsia="Arial" w:hAnsi="Arial"/>
          <w:b/>
          <w:bCs/>
          <w:sz w:val="20"/>
          <w:szCs w:val="20"/>
        </w:rPr>
        <w:t xml:space="preserve">Zalecenia dotyczące produktu i pozostałości:</w:t>
      </w:r>
    </w:p>
    <w:p>
      <w:pPr>
        <w:spacing w:after="80"/>
      </w:pPr>
      <w:r>
        <w:rPr>
          <w:rFonts w:ascii="Arial" w:cs="Arial" w:eastAsia="Arial" w:hAnsi="Arial"/>
          <w:sz w:val="20"/>
          <w:szCs w:val="20"/>
        </w:rPr>
        <w:t xml:space="preserve">Odzyskać, jeśli to możliwe. Nie wprowadzać do kanalizacji, wód powierzchniowych, gruntowych ani gleby. Pozostałości produktu oraz odpady należy poddać odzyskowi lub unieszkodliwianiu w uprawnionych instalacjach (np. spalarniach termicznych lub wyspecjalizowanych zakładach utylizacji odpadów) posiadających stosowne zezwolenia na prowadzenie gospodarki odpadami zgodnie z obowiązującymi przepisami.</w:t>
      </w:r>
    </w:p>
    <w:p>
      <w:pPr>
        <w:spacing w:after="80" w:before="150"/>
      </w:pPr>
      <w:r>
        <w:rPr>
          <w:rFonts w:ascii="Arial" w:cs="Arial" w:eastAsia="Arial" w:hAnsi="Arial"/>
          <w:b/>
          <w:bCs/>
          <w:sz w:val="20"/>
          <w:szCs w:val="20"/>
        </w:rPr>
        <w:t xml:space="preserve">Zalecenia dotyczące odpadów opakowaniowych:</w:t>
      </w:r>
    </w:p>
    <w:p>
      <w:pPr>
        <w:spacing w:after="80"/>
      </w:pPr>
      <w:r>
        <w:rPr>
          <w:rFonts w:ascii="Arial" w:cs="Arial" w:eastAsia="Arial" w:hAnsi="Arial"/>
          <w:sz w:val="20"/>
          <w:szCs w:val="20"/>
        </w:rPr>
        <w:t xml:space="preserve">Całkowicie opróżnione opakowania poddać procesowi odzysku lub recyklingu materiałowego w ramach selektywnej zbiórki odpadów. Opakowania zanieczyszczone pozostałościami produktu traktować zgodnie z ich stopniem skażenia – w przypadku substancji niebezpiecznych likwidować jak sam produkt u uprawnionego odbiorcy odpadów.</w:t>
      </w:r>
    </w:p>
    <w:p>
      <w:pPr>
        <w:spacing w:after="80" w:before="150"/>
      </w:pPr>
      <w:r>
        <w:rPr>
          <w:rFonts w:ascii="Arial" w:cs="Arial" w:eastAsia="Arial" w:hAnsi="Arial"/>
          <w:b/>
          <w:bCs/>
          <w:sz w:val="20"/>
          <w:szCs w:val="20"/>
        </w:rPr>
        <w:t xml:space="preserve">Klasyfikacja i kody odpadów (Katalog Odpadów Dz.U. 2020 poz. 10):</w:t>
      </w:r>
    </w:p>
    <w:p>
      <w:pPr>
        <w:spacing w:after="80"/>
      </w:pPr>
      <w:r>
        <w:rPr>
          <w:rFonts w:ascii="Arial" w:cs="Arial" w:eastAsia="Arial" w:hAnsi="Arial"/>
          <w:sz w:val="20"/>
          <w:szCs w:val="20"/>
        </w:rPr>
        <w:t xml:space="preserve">- Odpady z produktu (dla zastosowań profesjonalnych / przemysłowych): 16 03 05* (Organiczne odpady zawierające substancje niebezpieczne) lub 16 05 08* (Zużyte chemikalia zawierające substancje niebezpieczne).</w:t>
      </w:r>
    </w:p>
    <w:p>
      <w:pPr>
        <w:spacing w:after="80"/>
      </w:pPr>
      <w:r>
        <w:rPr>
          <w:rFonts w:ascii="Arial" w:cs="Arial" w:eastAsia="Arial" w:hAnsi="Arial"/>
          <w:sz w:val="20"/>
          <w:szCs w:val="20"/>
        </w:rPr>
        <w:t xml:space="preserve">- Odpady z produktu (dla konsumentów / odpady komunalne): 20 01 29* (Detergenty zawierające substancje niebezpieczne) lub 20 01 27*.</w:t>
      </w:r>
    </w:p>
    <w:p>
      <w:pPr>
        <w:spacing w:after="80"/>
      </w:pPr>
      <w:r>
        <w:rPr>
          <w:rFonts w:ascii="Arial" w:cs="Arial" w:eastAsia="Arial" w:hAnsi="Arial"/>
          <w:sz w:val="20"/>
          <w:szCs w:val="20"/>
        </w:rPr>
        <w:t xml:space="preserve">- Odpady opakowaniowe: 15 01 02 (Opakowania z tworzyw sztucznych) [w przypadku opakowań zanieczyszczonych substancjami niebezpiecznymi: 15 01 10*].</w:t>
      </w:r>
    </w:p>
    <w:p>
      <w:pPr>
        <w:spacing w:after="80" w:before="80"/>
      </w:pPr>
      <w:r>
        <w:rPr>
          <w:rFonts w:ascii="Arial" w:cs="Arial" w:eastAsia="Arial" w:hAnsi="Arial"/>
          <w:b/>
          <w:bCs/>
          <w:sz w:val="20"/>
          <w:szCs w:val="20"/>
        </w:rPr>
        <w:t xml:space="preserve">Uwaga:</w:t>
      </w:r>
      <w:r>
        <w:rPr>
          <w:rFonts w:ascii="Arial" w:cs="Arial" w:eastAsia="Arial" w:hAnsi="Arial"/>
          <w:sz w:val="20"/>
          <w:szCs w:val="20"/>
        </w:rPr>
        <w:t xml:space="preserve"> Podane kody odpadów mają charakter zalecany. Szczegółowy i ostateczny kod odpadu musi zostać nadany bezpośrednio przez wytwórcę odpadu, w oparciu o miejsce, branżę i specyfikę jego powstawania (BDO).</w:t>
      </w:r>
    </w:p>
    <w:p>
      <w:pPr>
        <w:spacing w:after="80" w:before="150"/>
      </w:pPr>
      <w:r>
        <w:rPr>
          <w:rFonts w:ascii="Arial" w:cs="Arial" w:eastAsia="Arial" w:hAnsi="Arial"/>
          <w:b/>
          <w:bCs/>
          <w:sz w:val="20"/>
          <w:szCs w:val="20"/>
        </w:rPr>
        <w:t xml:space="preserve">Krajowe i unijne akty prawne dotyczące gospodarki odpadami:</w:t>
      </w:r>
    </w:p>
    <w:p>
      <w:pPr>
        <w:spacing w:after="80"/>
      </w:pPr>
      <w:r>
        <w:rPr>
          <w:rFonts w:ascii="Arial" w:cs="Arial" w:eastAsia="Arial" w:hAnsi="Arial"/>
          <w:sz w:val="20"/>
          <w:szCs w:val="20"/>
        </w:rPr>
        <w:t xml:space="preserve">- Ustawa z dnia 14 grudnia 2012 r. o odpadach (t.j. Dz.U. 2023 poz. 1587 z późn. zm.).</w:t>
      </w:r>
    </w:p>
    <w:p>
      <w:pPr>
        <w:spacing w:after="80"/>
      </w:pPr>
      <w:r>
        <w:rPr>
          <w:rFonts w:ascii="Arial" w:cs="Arial" w:eastAsia="Arial" w:hAnsi="Arial"/>
          <w:sz w:val="20"/>
          <w:szCs w:val="20"/>
        </w:rPr>
        <w:t xml:space="preserve">- Ustawa z dnia 13 czerwca 2013 r. o gospodarce opakowaniami i odpadami opakowaniowymi (t.j. Dz.U. 2023 poz. 1658 z późn. zm.).</w:t>
      </w:r>
    </w:p>
    <w:p>
      <w:pPr>
        <w:spacing w:after="80"/>
      </w:pPr>
      <w:r>
        <w:rPr>
          <w:rFonts w:ascii="Arial" w:cs="Arial" w:eastAsia="Arial" w:hAnsi="Arial"/>
          <w:sz w:val="20"/>
          <w:szCs w:val="20"/>
        </w:rPr>
        <w:t xml:space="preserve">- Rozporządzenie Ministra Klimatu z dnia 2 stycznia 2020 r. w sprawie katalogu odpadów (Dz.U. 2020 poz. 10).</w:t>
      </w:r>
    </w:p>
    <w:p>
      <w:pPr>
        <w:spacing w:after="80"/>
      </w:pPr>
      <w:r>
        <w:rPr>
          <w:rFonts w:ascii="Arial" w:cs="Arial" w:eastAsia="Arial" w:hAnsi="Arial"/>
          <w:sz w:val="20"/>
          <w:szCs w:val="20"/>
        </w:rPr>
        <w:t xml:space="preserve">- Dyrektywa Parlamentu Europejskiego i Rady 2008/98/WE z dnia 19 listopada 2008 r. w sprawie odpadów oraz uchylająca niektóre dyrektywy.</w:t>
      </w:r>
    </w:p>
    <w:p>
      <w:pPr>
        <w:pBdr>
          <w:bottom w:color="00A651" w:sz="12" w:space="1"/>
        </w:pBdr>
        <w:spacing w:after="150" w:before="300"/>
      </w:pPr>
      <w:r>
        <w:rPr>
          <w:b/>
          <w:bCs/>
          <w:sz w:val="22"/>
          <w:szCs w:val="22"/>
        </w:rPr>
        <w:t xml:space="preserve">SEKCJA 14: INFORMACJE DOTYCZĄCE TRANSPORTU</w:t>
      </w:r>
    </w:p>
    <w:p>
      <w:pPr>
        <w:spacing w:after="80"/>
      </w:pPr>
      <w:r>
        <w:rPr>
          <w:rFonts w:ascii="Arial" w:cs="Arial" w:eastAsia="Arial" w:hAnsi="Arial"/>
          <w:sz w:val="20"/>
          <w:szCs w:val="20"/>
        </w:rPr>
        <w:t xml:space="preserve">Produkt nie jest sklasyfikowany jako stwarzający zagrożenie w świetle międzynarodowych i krajowych przepisów transportowych (ADR/RID, IMDG, ICAO/IATA).</w:t>
      </w:r>
    </w:p>
    <w:p>
      <w:pPr>
        <w:spacing w:after="100" w:before="200"/>
      </w:pPr>
      <w:r>
        <w:rPr>
          <w:rFonts w:ascii="Arial" w:cs="Arial" w:eastAsia="Arial" w:hAnsi="Arial"/>
          <w:b/>
          <w:bCs/>
          <w:sz w:val="20"/>
          <w:szCs w:val="20"/>
        </w:rPr>
        <w:t xml:space="preserve">14.1. Numer UN lub numer identyfikacyjny ID</w:t>
      </w:r>
    </w:p>
    <w:p>
      <w:pPr>
        <w:spacing w:after="80"/>
      </w:pPr>
      <w:r>
        <w:rPr>
          <w:rFonts w:ascii="Arial" w:cs="Arial" w:eastAsia="Arial" w:hAnsi="Arial"/>
          <w:sz w:val="20"/>
          <w:szCs w:val="20"/>
        </w:rPr>
        <w:t xml:space="preserve">Nie dotyczy.</w:t>
      </w:r>
    </w:p>
    <w:p>
      <w:pPr>
        <w:spacing w:after="100" w:before="200"/>
      </w:pPr>
      <w:r>
        <w:rPr>
          <w:rFonts w:ascii="Arial" w:cs="Arial" w:eastAsia="Arial" w:hAnsi="Arial"/>
          <w:b/>
          <w:bCs/>
          <w:sz w:val="20"/>
          <w:szCs w:val="20"/>
        </w:rPr>
        <w:t xml:space="preserve">14.2. Prawidłowa nazwa przewozowa UN</w:t>
      </w:r>
    </w:p>
    <w:p>
      <w:pPr>
        <w:spacing w:after="80"/>
      </w:pPr>
      <w:r>
        <w:rPr>
          <w:rFonts w:ascii="Arial" w:cs="Arial" w:eastAsia="Arial" w:hAnsi="Arial"/>
          <w:sz w:val="20"/>
          <w:szCs w:val="20"/>
        </w:rPr>
        <w:t xml:space="preserve">Nie dotyczy.</w:t>
      </w:r>
    </w:p>
    <w:p>
      <w:pPr>
        <w:spacing w:after="100" w:before="200"/>
      </w:pPr>
      <w:r>
        <w:rPr>
          <w:rFonts w:ascii="Arial" w:cs="Arial" w:eastAsia="Arial" w:hAnsi="Arial"/>
          <w:b/>
          <w:bCs/>
          <w:sz w:val="20"/>
          <w:szCs w:val="20"/>
        </w:rPr>
        <w:t xml:space="preserve">14.3. Klasa(-y) zagrożenia w transporcie</w:t>
      </w:r>
    </w:p>
    <w:p>
      <w:pPr>
        <w:spacing w:after="80"/>
      </w:pPr>
      <w:r>
        <w:rPr>
          <w:rFonts w:ascii="Arial" w:cs="Arial" w:eastAsia="Arial" w:hAnsi="Arial"/>
          <w:sz w:val="20"/>
          <w:szCs w:val="20"/>
        </w:rPr>
        <w:t xml:space="preserve">Nie dotyczy.</w:t>
      </w:r>
    </w:p>
    <w:p>
      <w:pPr>
        <w:spacing w:after="100" w:before="200"/>
      </w:pPr>
      <w:r>
        <w:rPr>
          <w:rFonts w:ascii="Arial" w:cs="Arial" w:eastAsia="Arial" w:hAnsi="Arial"/>
          <w:b/>
          <w:bCs/>
          <w:sz w:val="20"/>
          <w:szCs w:val="20"/>
        </w:rPr>
        <w:t xml:space="preserve">14.4. Grupa pakowania</w:t>
      </w:r>
    </w:p>
    <w:p>
      <w:pPr>
        <w:spacing w:after="80"/>
      </w:pPr>
      <w:r>
        <w:rPr>
          <w:rFonts w:ascii="Arial" w:cs="Arial" w:eastAsia="Arial" w:hAnsi="Arial"/>
          <w:sz w:val="20"/>
          <w:szCs w:val="20"/>
        </w:rPr>
        <w:t xml:space="preserve">Nie dotyczy.</w:t>
      </w:r>
    </w:p>
    <w:p>
      <w:pPr>
        <w:spacing w:after="100" w:before="200"/>
      </w:pPr>
      <w:r>
        <w:rPr>
          <w:rFonts w:ascii="Arial" w:cs="Arial" w:eastAsia="Arial" w:hAnsi="Arial"/>
          <w:b/>
          <w:bCs/>
          <w:sz w:val="20"/>
          <w:szCs w:val="20"/>
        </w:rPr>
        <w:t xml:space="preserve">14.5. Zagrożenia dla środowiska</w:t>
      </w:r>
    </w:p>
    <w:p>
      <w:pPr>
        <w:spacing w:after="80"/>
      </w:pPr>
      <w:r>
        <w:rPr>
          <w:rFonts w:ascii="Arial" w:cs="Arial" w:eastAsia="Arial" w:hAnsi="Arial"/>
          <w:sz w:val="20"/>
          <w:szCs w:val="20"/>
        </w:rPr>
        <w:t xml:space="preserve">Nie dotyczy (produkt nie stanowi zagrożenia dla środowiska w myśl przepisów transportowych).</w:t>
      </w:r>
    </w:p>
    <w:p>
      <w:pPr>
        <w:spacing w:after="100" w:before="200"/>
      </w:pPr>
      <w:r>
        <w:rPr>
          <w:rFonts w:ascii="Arial" w:cs="Arial" w:eastAsia="Arial" w:hAnsi="Arial"/>
          <w:b/>
          <w:bCs/>
          <w:sz w:val="20"/>
          <w:szCs w:val="20"/>
        </w:rPr>
        <w:t xml:space="preserve">14.6. Szczególne środki ostrożności dla użytkowników</w:t>
      </w:r>
    </w:p>
    <w:p>
      <w:pPr>
        <w:spacing w:after="80"/>
      </w:pPr>
      <w:r>
        <w:rPr>
          <w:rFonts w:ascii="Arial" w:cs="Arial" w:eastAsia="Arial" w:hAnsi="Arial"/>
          <w:sz w:val="20"/>
          <w:szCs w:val="20"/>
        </w:rPr>
        <w:t xml:space="preserve">Zawsze transportować w szczelnie zamkniętych, oryginalnych opakowaniach handlowych, chroniąc przed uszkodzeniami mechanicznymi, bezpośrednim działaniem promieni słonecznych i przewróceniem. Przestrzegać ogólnych zasad bezpieczeństwa i higieny pracy podczas przeładunku.</w:t>
      </w:r>
    </w:p>
    <w:p>
      <w:pPr>
        <w:spacing w:after="100" w:before="200"/>
      </w:pPr>
      <w:r>
        <w:rPr>
          <w:rFonts w:ascii="Arial" w:cs="Arial" w:eastAsia="Arial" w:hAnsi="Arial"/>
          <w:b/>
          <w:bCs/>
          <w:sz w:val="20"/>
          <w:szCs w:val="20"/>
        </w:rPr>
        <w:t xml:space="preserve">14.7. Transport morski luzem zgodnie z instrumentami IMO</w:t>
      </w:r>
    </w:p>
    <w:p>
      <w:pPr>
        <w:spacing w:after="80"/>
      </w:pPr>
      <w:r>
        <w:rPr>
          <w:rFonts w:ascii="Arial" w:cs="Arial" w:eastAsia="Arial" w:hAnsi="Arial"/>
          <w:sz w:val="20"/>
          <w:szCs w:val="20"/>
        </w:rPr>
        <w:t xml:space="preserve">Nie dotyczy.</w:t>
      </w:r>
    </w:p>
    <w:p>
      <w:pPr>
        <w:pBdr>
          <w:bottom w:color="00A651" w:sz="12" w:space="1"/>
        </w:pBdr>
        <w:spacing w:after="150" w:before="300"/>
      </w:pPr>
      <w:r>
        <w:rPr>
          <w:b/>
          <w:bCs/>
          <w:sz w:val="22"/>
          <w:szCs w:val="22"/>
        </w:rPr>
        <w:t xml:space="preserve">SEKCJA 15: INFORMACJE DOTYCZĄCE PRZEPISÓW PRAWNYCH</w:t>
      </w:r>
    </w:p>
    <w:p>
      <w:pPr>
        <w:spacing w:after="100" w:before="200"/>
      </w:pPr>
      <w:r>
        <w:rPr>
          <w:rFonts w:ascii="Arial" w:cs="Arial" w:eastAsia="Arial" w:hAnsi="Arial"/>
          <w:b/>
          <w:bCs/>
          <w:sz w:val="20"/>
          <w:szCs w:val="20"/>
        </w:rPr>
        <w:t xml:space="preserve">15.1. Przepisy prawne dotyczące bezpieczeństwa, zdrowia i ochrony środowiska specyficzne dla substancji lub mieszaniny</w:t>
      </w:r>
    </w:p>
    <w:p>
      <w:pPr>
        <w:spacing w:after="80" w:before="150"/>
      </w:pPr>
      <w:r>
        <w:rPr>
          <w:rFonts w:ascii="Arial" w:cs="Arial" w:eastAsia="Arial" w:hAnsi="Arial"/>
          <w:b/>
          <w:bCs/>
          <w:sz w:val="20"/>
          <w:szCs w:val="20"/>
        </w:rPr>
        <w:t xml:space="preserve">Prawodawstwo Unii Europejskiej:</w:t>
      </w:r>
    </w:p>
    <w:p>
      <w:pPr>
        <w:spacing w:after="80"/>
      </w:pPr>
      <w:r>
        <w:rPr>
          <w:rFonts w:ascii="Arial" w:cs="Arial" w:eastAsia="Arial" w:hAnsi="Arial"/>
          <w:sz w:val="20"/>
          <w:szCs w:val="20"/>
        </w:rPr>
        <w:t xml:space="preserve">- Rozporządzenie (WE) nr 1907/2006 Parlamentu Europejskiego i Rady z dnia 18 grudnia 2006 r. w sprawie rejestracji, oceny, udzielania zezwoleń i stosowanych ograniczeń w zakresie chemikaliów (REACH) z późniejszymi zmianami.</w:t>
      </w:r>
    </w:p>
    <w:p>
      <w:pPr>
        <w:spacing w:after="80"/>
      </w:pPr>
      <w:r>
        <w:rPr>
          <w:rFonts w:ascii="Arial" w:cs="Arial" w:eastAsia="Arial" w:hAnsi="Arial"/>
          <w:sz w:val="20"/>
          <w:szCs w:val="20"/>
        </w:rPr>
        <w:t xml:space="preserve">- Rozporządzenie Komisji (UE) 2020/878 z dnia 18 czerwca 2020 r. zmieniające załącznik II do rozporządzenia (WE) nr 1907/2006 (wymogi dotyczące sporządzania kart charakterystyki).</w:t>
      </w:r>
    </w:p>
    <w:p>
      <w:pPr>
        <w:spacing w:after="80"/>
      </w:pPr>
      <w:r>
        <w:rPr>
          <w:rFonts w:ascii="Arial" w:cs="Arial" w:eastAsia="Arial" w:hAnsi="Arial"/>
          <w:sz w:val="20"/>
          <w:szCs w:val="20"/>
        </w:rPr>
        <w:t xml:space="preserve">- Rozporządzenie Parlamentu Europejskiego i Rady (WE) nr 1272/2008 z dnia 16 grudnia 2008 r. w sprawie klasyfikacji, oznakowania i pakowania substancji i mieszanin (CLP) z późniejszymi zmianami (kolejne ATP).</w:t>
      </w:r>
    </w:p>
    <w:p>
      <w:pPr>
        <w:spacing w:after="80"/>
      </w:pPr>
      <w:r>
        <w:rPr>
          <w:rFonts w:ascii="Arial" w:cs="Arial" w:eastAsia="Arial" w:hAnsi="Arial"/>
          <w:sz w:val="20"/>
          <w:szCs w:val="20"/>
        </w:rPr>
        <w:t xml:space="preserve">- Substancje wzbudzające szczególnie duże obawy (SVHC – REACH załącznik XIV): Mieszanina nie zawiera substancji z listy kandydackiej SVHC podlegających procedurze udzielania zezwoleń (REACH załącznik XIV) w stężeniu ≥ 0,1% wag.</w:t>
      </w:r>
    </w:p>
    <w:p>
      <w:pPr>
        <w:spacing w:after="80"/>
      </w:pPr>
      <w:r>
        <w:rPr>
          <w:rFonts w:ascii="Arial" w:cs="Arial" w:eastAsia="Arial" w:hAnsi="Arial"/>
          <w:sz w:val="20"/>
          <w:szCs w:val="20"/>
        </w:rPr>
        <w:t xml:space="preserve">- Ograniczenia dotyczące produkcji, wprowadzania do obrotu i stosowania niektórych niebezpiecznych substancji (REACH załącznik XVII): Mieszanina nie podlega ograniczeniom na mocy załącznika XVII do rozporządzenia REACH.</w:t>
      </w:r>
    </w:p>
    <w:p>
      <w:pPr>
        <w:spacing w:after="80"/>
      </w:pPr>
      <w:r>
        <w:rPr>
          <w:rFonts w:ascii="Arial" w:cs="Arial" w:eastAsia="Arial" w:hAnsi="Arial"/>
          <w:sz w:val="20"/>
          <w:szCs w:val="20"/>
        </w:rPr>
        <w:t xml:space="preserve">- Dyrektywa Parlamentu Europejskiego i Rady 2012/18/UE (Seveso III): Z uwagi na właściwości cieczy łatwopalnych produkt może kwalifikować się do przepisów dyrektywy po przekroczeniu ilości progowych [Kategoria P5a/P5b/P5c: 10 t / 50 t lub 5 000 t / 50 000 t w zależności od warunków magazynowania]. Kwalifikacja zakładu (ZZR/ZDR) należy do prowadzącego zakład.</w:t>
      </w:r>
    </w:p>
    <w:p>
      <w:pPr>
        <w:spacing w:after="80"/>
      </w:pPr>
      <w:r>
        <w:rPr>
          <w:rFonts w:ascii="Arial" w:cs="Arial" w:eastAsia="Arial" w:hAnsi="Arial"/>
          <w:sz w:val="20"/>
          <w:szCs w:val="20"/>
        </w:rPr>
        <w:t xml:space="preserve">- Rozporządzenie Parlamentu Europejskiego i Rady (UE) nr 649/2012 z dnia 4 lipca 2012 r. dotyczące wywozu i przywozu niebezpiecznych chemikaliów (PIC): Nie dotyczy.</w:t>
      </w:r>
    </w:p>
    <w:p>
      <w:pPr>
        <w:spacing w:after="80" w:before="150"/>
      </w:pPr>
      <w:r>
        <w:rPr>
          <w:rFonts w:ascii="Arial" w:cs="Arial" w:eastAsia="Arial" w:hAnsi="Arial"/>
          <w:b/>
          <w:bCs/>
          <w:sz w:val="20"/>
          <w:szCs w:val="20"/>
        </w:rPr>
        <w:t xml:space="preserve">Prawodawstwo Rzeczypospolitej Polskiej:</w:t>
      </w:r>
    </w:p>
    <w:p>
      <w:pPr>
        <w:spacing w:after="80"/>
      </w:pPr>
      <w:r>
        <w:rPr>
          <w:rFonts w:ascii="Arial" w:cs="Arial" w:eastAsia="Arial" w:hAnsi="Arial"/>
          <w:sz w:val="20"/>
          <w:szCs w:val="20"/>
        </w:rPr>
        <w:t xml:space="preserve">- Ustawa z dnia 25 lutego 2011 r. o substancjach chemicznych i ich mieszaninach (t.j. Dz.U. 2022 poz. 1816 z późn. zm.).</w:t>
      </w:r>
    </w:p>
    <w:p>
      <w:pPr>
        <w:spacing w:after="80"/>
      </w:pPr>
      <w:r>
        <w:rPr>
          <w:rFonts w:ascii="Arial" w:cs="Arial" w:eastAsia="Arial" w:hAnsi="Arial"/>
          <w:sz w:val="20"/>
          <w:szCs w:val="20"/>
        </w:rPr>
        <w:t xml:space="preserve">- Rozporządzenie Ministra Rodziny, Pracy i Polityki Społecznej z dnia 12 czerwca 2018 r. w sprawie najwyższych dopuszczalnych stężeń i natężeń czynników szkodliwych dla zdrowia w środowisku pracy (Dz.U. 2018 poz. 1286 z późn. zm.).</w:t>
      </w:r>
    </w:p>
    <w:p>
      <w:pPr>
        <w:spacing w:after="80"/>
      </w:pPr>
      <w:r>
        <w:rPr>
          <w:rFonts w:ascii="Arial" w:cs="Arial" w:eastAsia="Arial" w:hAnsi="Arial"/>
          <w:sz w:val="20"/>
          <w:szCs w:val="20"/>
        </w:rPr>
        <w:t xml:space="preserve">- Ustawa z dnia 14 grudnia 2012 r. o odpadach (t.j. Dz.U. 2023 poz. 1587 z późn. zm.).</w:t>
      </w:r>
    </w:p>
    <w:p>
      <w:pPr>
        <w:spacing w:after="80"/>
      </w:pPr>
      <w:r>
        <w:rPr>
          <w:rFonts w:ascii="Arial" w:cs="Arial" w:eastAsia="Arial" w:hAnsi="Arial"/>
          <w:sz w:val="20"/>
          <w:szCs w:val="20"/>
        </w:rPr>
        <w:t xml:space="preserve">- Ustawa z dnia 13 czerwca 2013 r. o gospodarce opakowaniami i odpadami opakowaniowymi (t.j. Dz.U. 2023 poz. 1658 z późn. zm.).</w:t>
      </w:r>
    </w:p>
    <w:p>
      <w:pPr>
        <w:spacing w:after="80"/>
      </w:pPr>
      <w:r>
        <w:rPr>
          <w:rFonts w:ascii="Arial" w:cs="Arial" w:eastAsia="Arial" w:hAnsi="Arial"/>
          <w:sz w:val="20"/>
          <w:szCs w:val="20"/>
        </w:rPr>
        <w:t xml:space="preserve">- Rozporządzenie Ministra Klimatu z dnia 2 stycznia 2020 r. w sprawie katalogu odpadów (Dz.U. 2020 poz. 10).</w:t>
      </w:r>
    </w:p>
    <w:p>
      <w:pPr>
        <w:spacing w:after="80"/>
      </w:pPr>
      <w:r>
        <w:rPr>
          <w:rFonts w:ascii="Arial" w:cs="Arial" w:eastAsia="Arial" w:hAnsi="Arial"/>
          <w:sz w:val="20"/>
          <w:szCs w:val="20"/>
        </w:rPr>
        <w:t xml:space="preserve">- Ustawa z dnia 19 sierpnia 2011 r. o przewozie towarów niebezpiecznych (t.j. Dz.U. 2024 poz. 643 z późn. zm.) wraz z oświadczeniami rządowymi w sprawie Umowy europejskiej dotyczącej międzynarodowego przewozu drogowego towarów niebezpiecznych (ADR).</w:t>
      </w:r>
    </w:p>
    <w:p>
      <w:pPr>
        <w:spacing w:after="80"/>
      </w:pPr>
      <w:r>
        <w:rPr>
          <w:rFonts w:ascii="Arial" w:cs="Arial" w:eastAsia="Arial" w:hAnsi="Arial"/>
          <w:sz w:val="20"/>
          <w:szCs w:val="20"/>
        </w:rPr>
        <w:t xml:space="preserve">- Rozporządzenie Ministra Zdrowia z dnia 30 grudnia 2004 r. w sprawie bezpieczeństwa i higieny pracy związanej z występowaniem w miejscu pracy czynników chemicznych (t.j. Dz.U. 2016 poz. 1488).</w:t>
      </w:r>
    </w:p>
    <w:p>
      <w:pPr>
        <w:spacing w:after="80"/>
      </w:pPr>
      <w:r>
        <w:rPr>
          <w:rFonts w:ascii="Arial" w:cs="Arial" w:eastAsia="Arial" w:hAnsi="Arial"/>
          <w:sz w:val="20"/>
          <w:szCs w:val="20"/>
        </w:rPr>
        <w:t xml:space="preserve">- Rozporządzenie Ministra Zdrowia z dnia 2 lutego 2011 r. w sprawie badań i pomiarów czynników szkodliwych dla zdrowia w środowisku pracy (t.j. Dz.U. 2023 poz. 419).</w:t>
      </w:r>
    </w:p>
    <w:p>
      <w:pPr>
        <w:spacing w:after="80"/>
      </w:pPr>
      <w:r>
        <w:rPr>
          <w:rFonts w:ascii="Arial" w:cs="Arial" w:eastAsia="Arial" w:hAnsi="Arial"/>
          <w:sz w:val="20"/>
          <w:szCs w:val="20"/>
        </w:rPr>
        <w:t xml:space="preserve">- Ustawa z dnia 26 czerwca 1974 r. – Kodeks pracy (t.j. Dz.U. 2023 poz. 1465 z późn. zm.).</w:t>
      </w:r>
    </w:p>
    <w:p>
      <w:pPr>
        <w:spacing w:after="100" w:before="200"/>
      </w:pPr>
      <w:r>
        <w:rPr>
          <w:rFonts w:ascii="Arial" w:cs="Arial" w:eastAsia="Arial" w:hAnsi="Arial"/>
          <w:b/>
          <w:bCs/>
          <w:sz w:val="20"/>
          <w:szCs w:val="20"/>
        </w:rPr>
        <w:t xml:space="preserve">15.2. Ocena bezpieczeństwa chemicznego</w:t>
      </w:r>
    </w:p>
    <w:p>
      <w:pPr>
        <w:spacing w:after="80"/>
      </w:pPr>
      <w:r>
        <w:rPr>
          <w:rFonts w:ascii="Arial" w:cs="Arial" w:eastAsia="Arial" w:hAnsi="Arial"/>
          <w:sz w:val="20"/>
          <w:szCs w:val="20"/>
        </w:rPr>
        <w:t xml:space="preserve">Dla mieszaniny nie dokonano oceny bezpieczeństwa chemicznego (dla mieszanin nie jest ona wymagana zgodnie z art. 14 rozporządzenia REACH).</w:t>
      </w:r>
    </w:p>
    <w:p>
      <w:pPr>
        <w:pBdr>
          <w:bottom w:color="00A651" w:sz="12" w:space="1"/>
        </w:pBdr>
        <w:spacing w:after="150" w:before="300"/>
      </w:pPr>
      <w:r>
        <w:rPr>
          <w:b/>
          <w:bCs/>
          <w:sz w:val="22"/>
          <w:szCs w:val="22"/>
        </w:rPr>
        <w:t xml:space="preserve">SEKCJA 16: INNE INFORMACJE</w:t>
      </w:r>
    </w:p>
    <w:p>
      <w:pPr>
        <w:spacing w:after="80" w:before="150"/>
      </w:pPr>
      <w:r>
        <w:rPr>
          <w:rFonts w:ascii="Arial" w:cs="Arial" w:eastAsia="Arial" w:hAnsi="Arial"/>
          <w:b/>
          <w:bCs/>
          <w:sz w:val="20"/>
          <w:szCs w:val="20"/>
        </w:rPr>
        <w:t xml:space="preserve">Pełne brzmienie zwrotów H i EUH przytoczonych w sekcjach 2 i 3 karty charakterystyki:</w:t>
      </w:r>
    </w:p>
    <w:p>
      <w:pPr>
        <w:spacing w:after="80" w:before="80"/>
      </w:pPr>
      <w:r>
        <w:rPr>
          <w:rFonts w:ascii="Arial" w:cs="Arial" w:eastAsia="Arial" w:hAnsi="Arial"/>
          <w:b/>
          <w:bCs/>
          <w:sz w:val="20"/>
          <w:szCs w:val="20"/>
        </w:rPr>
        <w:t xml:space="preserve">H225:</w:t>
      </w:r>
      <w:r>
        <w:rPr>
          <w:rFonts w:ascii="Arial" w:cs="Arial" w:eastAsia="Arial" w:hAnsi="Arial"/>
          <w:sz w:val="20"/>
          <w:szCs w:val="20"/>
        </w:rPr>
        <w:t xml:space="preserve"> Wysoce łatwopalna ciecz i pary.</w:t>
      </w:r>
    </w:p>
    <w:p>
      <w:pPr>
        <w:spacing w:after="80" w:before="80"/>
      </w:pPr>
      <w:r>
        <w:rPr>
          <w:rFonts w:ascii="Arial" w:cs="Arial" w:eastAsia="Arial" w:hAnsi="Arial"/>
          <w:b/>
          <w:bCs/>
          <w:sz w:val="20"/>
          <w:szCs w:val="20"/>
        </w:rPr>
        <w:t xml:space="preserve">H302:</w:t>
      </w:r>
      <w:r>
        <w:rPr>
          <w:rFonts w:ascii="Arial" w:cs="Arial" w:eastAsia="Arial" w:hAnsi="Arial"/>
          <w:sz w:val="20"/>
          <w:szCs w:val="20"/>
        </w:rPr>
        <w:t xml:space="preserve"> Działa szkodliwie po połknięciu.</w:t>
      </w:r>
    </w:p>
    <w:p>
      <w:pPr>
        <w:spacing w:after="80" w:before="80"/>
      </w:pPr>
      <w:r>
        <w:rPr>
          <w:rFonts w:ascii="Arial" w:cs="Arial" w:eastAsia="Arial" w:hAnsi="Arial"/>
          <w:b/>
          <w:bCs/>
          <w:sz w:val="20"/>
          <w:szCs w:val="20"/>
        </w:rPr>
        <w:t xml:space="preserve">H304:</w:t>
      </w:r>
      <w:r>
        <w:rPr>
          <w:rFonts w:ascii="Arial" w:cs="Arial" w:eastAsia="Arial" w:hAnsi="Arial"/>
          <w:sz w:val="20"/>
          <w:szCs w:val="20"/>
        </w:rPr>
        <w:t xml:space="preserve"> Połknięcie i dostanie się przez drogi oddechowe może grozić śmiercią.</w:t>
      </w:r>
    </w:p>
    <w:p>
      <w:pPr>
        <w:spacing w:after="80" w:before="80"/>
      </w:pPr>
      <w:r>
        <w:rPr>
          <w:rFonts w:ascii="Arial" w:cs="Arial" w:eastAsia="Arial" w:hAnsi="Arial"/>
          <w:b/>
          <w:bCs/>
          <w:sz w:val="20"/>
          <w:szCs w:val="20"/>
        </w:rPr>
        <w:t xml:space="preserve">H315:</w:t>
      </w:r>
      <w:r>
        <w:rPr>
          <w:rFonts w:ascii="Arial" w:cs="Arial" w:eastAsia="Arial" w:hAnsi="Arial"/>
          <w:sz w:val="20"/>
          <w:szCs w:val="20"/>
        </w:rPr>
        <w:t xml:space="preserve"> Działa drażniąco na skórę.</w:t>
      </w:r>
    </w:p>
    <w:p>
      <w:pPr>
        <w:spacing w:after="80" w:before="80"/>
      </w:pPr>
      <w:r>
        <w:rPr>
          <w:rFonts w:ascii="Arial" w:cs="Arial" w:eastAsia="Arial" w:hAnsi="Arial"/>
          <w:b/>
          <w:bCs/>
          <w:sz w:val="20"/>
          <w:szCs w:val="20"/>
        </w:rPr>
        <w:t xml:space="preserve">H317:</w:t>
      </w:r>
      <w:r>
        <w:rPr>
          <w:rFonts w:ascii="Arial" w:cs="Arial" w:eastAsia="Arial" w:hAnsi="Arial"/>
          <w:sz w:val="20"/>
          <w:szCs w:val="20"/>
        </w:rPr>
        <w:t xml:space="preserve"> Może powodować reakcję alergiczną skóry.</w:t>
      </w:r>
    </w:p>
    <w:p>
      <w:pPr>
        <w:spacing w:after="80" w:before="80"/>
      </w:pPr>
      <w:r>
        <w:rPr>
          <w:rFonts w:ascii="Arial" w:cs="Arial" w:eastAsia="Arial" w:hAnsi="Arial"/>
          <w:b/>
          <w:bCs/>
          <w:sz w:val="20"/>
          <w:szCs w:val="20"/>
        </w:rPr>
        <w:t xml:space="preserve">H319:</w:t>
      </w:r>
      <w:r>
        <w:rPr>
          <w:rFonts w:ascii="Arial" w:cs="Arial" w:eastAsia="Arial" w:hAnsi="Arial"/>
          <w:sz w:val="20"/>
          <w:szCs w:val="20"/>
        </w:rPr>
        <w:t xml:space="preserve"> Działa drażniąco na oczy.</w:t>
      </w:r>
    </w:p>
    <w:p>
      <w:pPr>
        <w:spacing w:after="80" w:before="80"/>
      </w:pPr>
      <w:r>
        <w:rPr>
          <w:rFonts w:ascii="Arial" w:cs="Arial" w:eastAsia="Arial" w:hAnsi="Arial"/>
          <w:b/>
          <w:bCs/>
          <w:sz w:val="20"/>
          <w:szCs w:val="20"/>
        </w:rPr>
        <w:t xml:space="preserve">H336:</w:t>
      </w:r>
      <w:r>
        <w:rPr>
          <w:rFonts w:ascii="Arial" w:cs="Arial" w:eastAsia="Arial" w:hAnsi="Arial"/>
          <w:sz w:val="20"/>
          <w:szCs w:val="20"/>
        </w:rPr>
        <w:t xml:space="preserve"> Może wywoływać uczucie senności lub zawroty głowy.</w:t>
      </w:r>
    </w:p>
    <w:p>
      <w:pPr>
        <w:spacing w:after="80" w:before="80"/>
      </w:pPr>
      <w:r>
        <w:rPr>
          <w:rFonts w:ascii="Arial" w:cs="Arial" w:eastAsia="Arial" w:hAnsi="Arial"/>
          <w:b/>
          <w:bCs/>
          <w:sz w:val="20"/>
          <w:szCs w:val="20"/>
        </w:rPr>
        <w:t xml:space="preserve">H361D:</w:t>
      </w:r>
      <w:r>
        <w:rPr>
          <w:rFonts w:ascii="Arial" w:cs="Arial" w:eastAsia="Arial" w:hAnsi="Arial"/>
          <w:sz w:val="20"/>
          <w:szCs w:val="20"/>
        </w:rPr>
        <w:t xml:space="preserve"> Podejrzewa się, że działa szkodliwie na dziecko w łonie matki.</w:t>
      </w:r>
    </w:p>
    <w:p>
      <w:pPr>
        <w:spacing w:after="80"/>
      </w:pPr>
      <w:r>
        <w:rPr>
          <w:rFonts w:ascii="Arial" w:cs="Arial" w:eastAsia="Arial" w:hAnsi="Arial"/>
          <w:sz w:val="20"/>
          <w:szCs w:val="20"/>
        </w:rPr>
        <w:t xml:space="preserve">H361FD: Podejrzewa się, że działa szkodliwie na płodność. Podejrzewa się, że działa szkodliwie na dziecko w łonie matki.</w:t>
      </w:r>
    </w:p>
    <w:p>
      <w:pPr>
        <w:spacing w:after="80" w:before="80"/>
      </w:pPr>
      <w:r>
        <w:rPr>
          <w:rFonts w:ascii="Arial" w:cs="Arial" w:eastAsia="Arial" w:hAnsi="Arial"/>
          <w:b/>
          <w:bCs/>
          <w:sz w:val="20"/>
          <w:szCs w:val="20"/>
        </w:rPr>
        <w:t xml:space="preserve">H373:</w:t>
      </w:r>
      <w:r>
        <w:rPr>
          <w:rFonts w:ascii="Arial" w:cs="Arial" w:eastAsia="Arial" w:hAnsi="Arial"/>
          <w:sz w:val="20"/>
          <w:szCs w:val="20"/>
        </w:rPr>
        <w:t xml:space="preserve"> Może powodować uszkodzenie narządów poprzez długotrwałe lub narażenie powtarzane.</w:t>
      </w:r>
    </w:p>
    <w:p>
      <w:pPr>
        <w:spacing w:after="80" w:before="80"/>
      </w:pPr>
      <w:r>
        <w:rPr>
          <w:rFonts w:ascii="Arial" w:cs="Arial" w:eastAsia="Arial" w:hAnsi="Arial"/>
          <w:b/>
          <w:bCs/>
          <w:sz w:val="20"/>
          <w:szCs w:val="20"/>
        </w:rPr>
        <w:t xml:space="preserve">H410:</w:t>
      </w:r>
      <w:r>
        <w:rPr>
          <w:rFonts w:ascii="Arial" w:cs="Arial" w:eastAsia="Arial" w:hAnsi="Arial"/>
          <w:sz w:val="20"/>
          <w:szCs w:val="20"/>
        </w:rPr>
        <w:t xml:space="preserve"> Działa bardzo toksycznie na organizmy wodne, powodując długotrwałe skutki.</w:t>
      </w:r>
    </w:p>
    <w:p>
      <w:pPr>
        <w:spacing w:after="80" w:before="80"/>
      </w:pPr>
      <w:r>
        <w:rPr>
          <w:rFonts w:ascii="Arial" w:cs="Arial" w:eastAsia="Arial" w:hAnsi="Arial"/>
          <w:b/>
          <w:bCs/>
          <w:sz w:val="20"/>
          <w:szCs w:val="20"/>
        </w:rPr>
        <w:t xml:space="preserve">H412:</w:t>
      </w:r>
      <w:r>
        <w:rPr>
          <w:rFonts w:ascii="Arial" w:cs="Arial" w:eastAsia="Arial" w:hAnsi="Arial"/>
          <w:sz w:val="20"/>
          <w:szCs w:val="20"/>
        </w:rPr>
        <w:t xml:space="preserve"> Działa szkodliwie na organizmy wodne, powodując długotrwałe skutki.</w:t>
      </w:r>
    </w:p>
    <w:p>
      <w:pPr>
        <w:spacing w:after="80" w:before="150"/>
      </w:pPr>
      <w:r>
        <w:rPr>
          <w:rFonts w:ascii="Arial" w:cs="Arial" w:eastAsia="Arial" w:hAnsi="Arial"/>
          <w:b/>
          <w:bCs/>
          <w:sz w:val="20"/>
          <w:szCs w:val="20"/>
        </w:rPr>
        <w:t xml:space="preserve">Objaśnienie skrótów i akronimów stosowanych w karcie charakterystyki:</w:t>
      </w:r>
    </w:p>
    <w:p>
      <w:pPr>
        <w:spacing w:after="80" w:before="80"/>
      </w:pPr>
      <w:r>
        <w:rPr>
          <w:rFonts w:ascii="Arial" w:cs="Arial" w:eastAsia="Arial" w:hAnsi="Arial"/>
          <w:b/>
          <w:bCs/>
          <w:sz w:val="20"/>
          <w:szCs w:val="20"/>
        </w:rPr>
        <w:t xml:space="preserve">ADR:</w:t>
      </w:r>
      <w:r>
        <w:rPr>
          <w:rFonts w:ascii="Arial" w:cs="Arial" w:eastAsia="Arial" w:hAnsi="Arial"/>
          <w:sz w:val="20"/>
          <w:szCs w:val="20"/>
        </w:rPr>
        <w:t xml:space="preserve"> Umowa europejska dotycząca międzynarodowego przewozu drogowego towarów niebezpiecznych</w:t>
      </w:r>
    </w:p>
    <w:p>
      <w:pPr>
        <w:spacing w:after="80" w:before="80"/>
      </w:pPr>
      <w:r>
        <w:rPr>
          <w:rFonts w:ascii="Arial" w:cs="Arial" w:eastAsia="Arial" w:hAnsi="Arial"/>
          <w:b/>
          <w:bCs/>
          <w:sz w:val="20"/>
          <w:szCs w:val="20"/>
        </w:rPr>
        <w:t xml:space="preserve">RID:</w:t>
      </w:r>
      <w:r>
        <w:rPr>
          <w:rFonts w:ascii="Arial" w:cs="Arial" w:eastAsia="Arial" w:hAnsi="Arial"/>
          <w:sz w:val="20"/>
          <w:szCs w:val="20"/>
        </w:rPr>
        <w:t xml:space="preserve"> Regulamin międzynarodowego przewozu kolejami towarów niebezpiecznych</w:t>
      </w:r>
    </w:p>
    <w:p>
      <w:pPr>
        <w:spacing w:after="80" w:before="80"/>
      </w:pPr>
      <w:r>
        <w:rPr>
          <w:rFonts w:ascii="Arial" w:cs="Arial" w:eastAsia="Arial" w:hAnsi="Arial"/>
          <w:b/>
          <w:bCs/>
          <w:sz w:val="20"/>
          <w:szCs w:val="20"/>
        </w:rPr>
        <w:t xml:space="preserve">IMDG:</w:t>
      </w:r>
      <w:r>
        <w:rPr>
          <w:rFonts w:ascii="Arial" w:cs="Arial" w:eastAsia="Arial" w:hAnsi="Arial"/>
          <w:sz w:val="20"/>
          <w:szCs w:val="20"/>
        </w:rPr>
        <w:t xml:space="preserve"> Międzynarodowy morski kodeks towarów niebezpiecznych (International Maritime Dangerous Goods Code)</w:t>
      </w:r>
    </w:p>
    <w:p>
      <w:pPr>
        <w:spacing w:after="80" w:before="80"/>
      </w:pPr>
      <w:r>
        <w:rPr>
          <w:rFonts w:ascii="Arial" w:cs="Arial" w:eastAsia="Arial" w:hAnsi="Arial"/>
          <w:b/>
          <w:bCs/>
          <w:sz w:val="20"/>
          <w:szCs w:val="20"/>
        </w:rPr>
        <w:t xml:space="preserve">IATA:</w:t>
      </w:r>
      <w:r>
        <w:rPr>
          <w:rFonts w:ascii="Arial" w:cs="Arial" w:eastAsia="Arial" w:hAnsi="Arial"/>
          <w:sz w:val="20"/>
          <w:szCs w:val="20"/>
        </w:rPr>
        <w:t xml:space="preserve"> Międzynarodowe Zrzeszenie Przewoźników Powietrznych (International Air Transport Association)</w:t>
      </w:r>
    </w:p>
    <w:p>
      <w:pPr>
        <w:spacing w:after="80" w:before="80"/>
      </w:pPr>
      <w:r>
        <w:rPr>
          <w:rFonts w:ascii="Arial" w:cs="Arial" w:eastAsia="Arial" w:hAnsi="Arial"/>
          <w:b/>
          <w:bCs/>
          <w:sz w:val="20"/>
          <w:szCs w:val="20"/>
        </w:rPr>
        <w:t xml:space="preserve">ICAO:</w:t>
      </w:r>
      <w:r>
        <w:rPr>
          <w:rFonts w:ascii="Arial" w:cs="Arial" w:eastAsia="Arial" w:hAnsi="Arial"/>
          <w:sz w:val="20"/>
          <w:szCs w:val="20"/>
        </w:rPr>
        <w:t xml:space="preserve"> Organizacja Międzynarodowego Lotnictwa Cywilnego</w:t>
      </w:r>
    </w:p>
    <w:p>
      <w:pPr>
        <w:spacing w:after="80" w:before="80"/>
      </w:pPr>
      <w:r>
        <w:rPr>
          <w:rFonts w:ascii="Arial" w:cs="Arial" w:eastAsia="Arial" w:hAnsi="Arial"/>
          <w:b/>
          <w:bCs/>
          <w:sz w:val="20"/>
          <w:szCs w:val="20"/>
        </w:rPr>
        <w:t xml:space="preserve">CLP:</w:t>
      </w:r>
      <w:r>
        <w:rPr>
          <w:rFonts w:ascii="Arial" w:cs="Arial" w:eastAsia="Arial" w:hAnsi="Arial"/>
          <w:sz w:val="20"/>
          <w:szCs w:val="20"/>
        </w:rPr>
        <w:t xml:space="preserve"> Rozporządzenie (WE) nr 1272/2008 w sprawie klasyfikacji, oznakowania i pakowania substancji i mieszanin</w:t>
      </w:r>
    </w:p>
    <w:p>
      <w:pPr>
        <w:spacing w:after="80" w:before="80"/>
      </w:pPr>
      <w:r>
        <w:rPr>
          <w:rFonts w:ascii="Arial" w:cs="Arial" w:eastAsia="Arial" w:hAnsi="Arial"/>
          <w:b/>
          <w:bCs/>
          <w:sz w:val="20"/>
          <w:szCs w:val="20"/>
        </w:rPr>
        <w:t xml:space="preserve">REACH:</w:t>
      </w:r>
      <w:r>
        <w:rPr>
          <w:rFonts w:ascii="Arial" w:cs="Arial" w:eastAsia="Arial" w:hAnsi="Arial"/>
          <w:sz w:val="20"/>
          <w:szCs w:val="20"/>
        </w:rPr>
        <w:t xml:space="preserve"> Rozporządzenie (WE) nr 1907/2006 w sprawie rejestracji, oceny, udzielania zezwoleń i stosowanych ograniczeń w zakresie chemikaliów</w:t>
      </w:r>
    </w:p>
    <w:p>
      <w:pPr>
        <w:spacing w:after="80" w:before="80"/>
      </w:pPr>
      <w:r>
        <w:rPr>
          <w:rFonts w:ascii="Arial" w:cs="Arial" w:eastAsia="Arial" w:hAnsi="Arial"/>
          <w:b/>
          <w:bCs/>
          <w:sz w:val="20"/>
          <w:szCs w:val="20"/>
        </w:rPr>
        <w:t xml:space="preserve">GHS:</w:t>
      </w:r>
      <w:r>
        <w:rPr>
          <w:rFonts w:ascii="Arial" w:cs="Arial" w:eastAsia="Arial" w:hAnsi="Arial"/>
          <w:sz w:val="20"/>
          <w:szCs w:val="20"/>
        </w:rPr>
        <w:t xml:space="preserve"> Globalnie Zharmonizowany System Klasyfikacji i Oznakowania Chemikaliów</w:t>
      </w:r>
    </w:p>
    <w:p>
      <w:pPr>
        <w:spacing w:after="80" w:before="80"/>
      </w:pPr>
      <w:r>
        <w:rPr>
          <w:rFonts w:ascii="Arial" w:cs="Arial" w:eastAsia="Arial" w:hAnsi="Arial"/>
          <w:b/>
          <w:bCs/>
          <w:sz w:val="20"/>
          <w:szCs w:val="20"/>
        </w:rPr>
        <w:t xml:space="preserve">CAS:</w:t>
      </w:r>
      <w:r>
        <w:rPr>
          <w:rFonts w:ascii="Arial" w:cs="Arial" w:eastAsia="Arial" w:hAnsi="Arial"/>
          <w:sz w:val="20"/>
          <w:szCs w:val="20"/>
        </w:rPr>
        <w:t xml:space="preserve"> Chemical Abstracts Service (unikalny numeryczny identyfikator substancji chemicznej)</w:t>
      </w:r>
    </w:p>
    <w:p>
      <w:pPr>
        <w:spacing w:after="80" w:before="80"/>
      </w:pPr>
      <w:r>
        <w:rPr>
          <w:rFonts w:ascii="Arial" w:cs="Arial" w:eastAsia="Arial" w:hAnsi="Arial"/>
          <w:b/>
          <w:bCs/>
          <w:sz w:val="20"/>
          <w:szCs w:val="20"/>
        </w:rPr>
        <w:t xml:space="preserve">WE:</w:t>
      </w:r>
      <w:r>
        <w:rPr>
          <w:rFonts w:ascii="Arial" w:cs="Arial" w:eastAsia="Arial" w:hAnsi="Arial"/>
          <w:sz w:val="20"/>
          <w:szCs w:val="20"/>
        </w:rPr>
        <w:t xml:space="preserve"> Numer Wspólnoty Europejskiej (oficjalny numer rejestracyjny substancji w UE: EINECS, ELINCS lub NLP)</w:t>
      </w:r>
    </w:p>
    <w:p>
      <w:pPr>
        <w:spacing w:after="80" w:before="80"/>
      </w:pPr>
      <w:r>
        <w:rPr>
          <w:rFonts w:ascii="Arial" w:cs="Arial" w:eastAsia="Arial" w:hAnsi="Arial"/>
          <w:b/>
          <w:bCs/>
          <w:sz w:val="20"/>
          <w:szCs w:val="20"/>
        </w:rPr>
        <w:t xml:space="preserve">NDS:</w:t>
      </w:r>
      <w:r>
        <w:rPr>
          <w:rFonts w:ascii="Arial" w:cs="Arial" w:eastAsia="Arial" w:hAnsi="Arial"/>
          <w:sz w:val="20"/>
          <w:szCs w:val="20"/>
        </w:rPr>
        <w:t xml:space="preserve"> Najwyższe dopuszczalne stężenie na stanowisku pracy w ciągu 8-godzinnego dnia pracy</w:t>
      </w:r>
    </w:p>
    <w:p>
      <w:pPr>
        <w:spacing w:after="80" w:before="80"/>
      </w:pPr>
      <w:r>
        <w:rPr>
          <w:rFonts w:ascii="Arial" w:cs="Arial" w:eastAsia="Arial" w:hAnsi="Arial"/>
          <w:b/>
          <w:bCs/>
          <w:sz w:val="20"/>
          <w:szCs w:val="20"/>
        </w:rPr>
        <w:t xml:space="preserve">NDSCh:</w:t>
      </w:r>
      <w:r>
        <w:rPr>
          <w:rFonts w:ascii="Arial" w:cs="Arial" w:eastAsia="Arial" w:hAnsi="Arial"/>
          <w:sz w:val="20"/>
          <w:szCs w:val="20"/>
        </w:rPr>
        <w:t xml:space="preserve"> Najwyższe dopuszczalne stężenie chwilowe (czas ekspozycji do 15 minut)</w:t>
      </w:r>
    </w:p>
    <w:p>
      <w:pPr>
        <w:spacing w:after="80" w:before="80"/>
      </w:pPr>
      <w:r>
        <w:rPr>
          <w:rFonts w:ascii="Arial" w:cs="Arial" w:eastAsia="Arial" w:hAnsi="Arial"/>
          <w:b/>
          <w:bCs/>
          <w:sz w:val="20"/>
          <w:szCs w:val="20"/>
        </w:rPr>
        <w:t xml:space="preserve">NDSP:</w:t>
      </w:r>
      <w:r>
        <w:rPr>
          <w:rFonts w:ascii="Arial" w:cs="Arial" w:eastAsia="Arial" w:hAnsi="Arial"/>
          <w:sz w:val="20"/>
          <w:szCs w:val="20"/>
        </w:rPr>
        <w:t xml:space="preserve"> Najwyższe dopuszczalne stężenie pułapowe (wartość, która nie może być przekroczona w żadnym momencie)</w:t>
      </w:r>
    </w:p>
    <w:p>
      <w:pPr>
        <w:spacing w:after="80" w:before="80"/>
      </w:pPr>
      <w:r>
        <w:rPr>
          <w:rFonts w:ascii="Arial" w:cs="Arial" w:eastAsia="Arial" w:hAnsi="Arial"/>
          <w:b/>
          <w:bCs/>
          <w:sz w:val="20"/>
          <w:szCs w:val="20"/>
        </w:rPr>
        <w:t xml:space="preserve">DNEL:</w:t>
      </w:r>
      <w:r>
        <w:rPr>
          <w:rFonts w:ascii="Arial" w:cs="Arial" w:eastAsia="Arial" w:hAnsi="Arial"/>
          <w:sz w:val="20"/>
          <w:szCs w:val="20"/>
        </w:rPr>
        <w:t xml:space="preserve"> Pochodny poziom niepowodujący zmian (Derived No-Effect Level)</w:t>
      </w:r>
    </w:p>
    <w:p>
      <w:pPr>
        <w:spacing w:after="80" w:before="80"/>
      </w:pPr>
      <w:r>
        <w:rPr>
          <w:rFonts w:ascii="Arial" w:cs="Arial" w:eastAsia="Arial" w:hAnsi="Arial"/>
          <w:b/>
          <w:bCs/>
          <w:sz w:val="20"/>
          <w:szCs w:val="20"/>
        </w:rPr>
        <w:t xml:space="preserve">PNEC:</w:t>
      </w:r>
      <w:r>
        <w:rPr>
          <w:rFonts w:ascii="Arial" w:cs="Arial" w:eastAsia="Arial" w:hAnsi="Arial"/>
          <w:sz w:val="20"/>
          <w:szCs w:val="20"/>
        </w:rPr>
        <w:t xml:space="preserve"> Przewidywane stężenie niepowodujące zmian w środowisku (Predicted No-Effect Concentration)</w:t>
      </w:r>
    </w:p>
    <w:p>
      <w:pPr>
        <w:spacing w:after="80"/>
      </w:pPr>
      <w:r>
        <w:rPr>
          <w:rFonts w:ascii="Arial" w:cs="Arial" w:eastAsia="Arial" w:hAnsi="Arial"/>
          <w:sz w:val="20"/>
          <w:szCs w:val="20"/>
        </w:rPr>
        <w:t xml:space="preserve">PBT: Substancja trwała, wykazująca zdolność do bioakumulacji i toksyczna</w:t>
      </w:r>
    </w:p>
    <w:p>
      <w:pPr>
        <w:spacing w:after="80" w:before="80"/>
      </w:pPr>
      <w:r>
        <w:rPr>
          <w:rFonts w:ascii="Arial" w:cs="Arial" w:eastAsia="Arial" w:hAnsi="Arial"/>
          <w:b/>
          <w:bCs/>
          <w:sz w:val="20"/>
          <w:szCs w:val="20"/>
        </w:rPr>
        <w:t xml:space="preserve">vPvB:</w:t>
      </w:r>
      <w:r>
        <w:rPr>
          <w:rFonts w:ascii="Arial" w:cs="Arial" w:eastAsia="Arial" w:hAnsi="Arial"/>
          <w:sz w:val="20"/>
          <w:szCs w:val="20"/>
        </w:rPr>
        <w:t xml:space="preserve"> Substancja bardzo trwała i wykazująca bardzo dużą zdolność do bioakumulacji</w:t>
      </w:r>
    </w:p>
    <w:p>
      <w:pPr>
        <w:spacing w:after="80" w:before="80"/>
      </w:pPr>
      <w:r>
        <w:rPr>
          <w:rFonts w:ascii="Arial" w:cs="Arial" w:eastAsia="Arial" w:hAnsi="Arial"/>
          <w:b/>
          <w:bCs/>
          <w:sz w:val="20"/>
          <w:szCs w:val="20"/>
        </w:rPr>
        <w:t xml:space="preserve">SVHC:</w:t>
      </w:r>
      <w:r>
        <w:rPr>
          <w:rFonts w:ascii="Arial" w:cs="Arial" w:eastAsia="Arial" w:hAnsi="Arial"/>
          <w:sz w:val="20"/>
          <w:szCs w:val="20"/>
        </w:rPr>
        <w:t xml:space="preserve"> Substancje wzbudzające szczególnie duże obawy (Substances of Very High Concern)</w:t>
      </w:r>
    </w:p>
    <w:p>
      <w:pPr>
        <w:spacing w:after="80"/>
      </w:pPr>
      <w:r>
        <w:rPr>
          <w:rFonts w:ascii="Arial" w:cs="Arial" w:eastAsia="Arial" w:hAnsi="Arial"/>
          <w:sz w:val="20"/>
          <w:szCs w:val="20"/>
        </w:rPr>
        <w:t xml:space="preserve">BCF: Współczynnik biokoncentracji (Bioconcentration Factor)</w:t>
      </w:r>
    </w:p>
    <w:p>
      <w:pPr>
        <w:spacing w:after="80" w:before="80"/>
      </w:pPr>
      <w:r>
        <w:rPr>
          <w:rFonts w:ascii="Arial" w:cs="Arial" w:eastAsia="Arial" w:hAnsi="Arial"/>
          <w:b/>
          <w:bCs/>
          <w:sz w:val="20"/>
          <w:szCs w:val="20"/>
        </w:rPr>
        <w:t xml:space="preserve">log Kow:</w:t>
      </w:r>
      <w:r>
        <w:rPr>
          <w:rFonts w:ascii="Arial" w:cs="Arial" w:eastAsia="Arial" w:hAnsi="Arial"/>
          <w:sz w:val="20"/>
          <w:szCs w:val="20"/>
        </w:rPr>
        <w:t xml:space="preserve"> Współczynnik podziału n-oktanol/woda</w:t>
      </w:r>
    </w:p>
    <w:p>
      <w:pPr>
        <w:spacing w:after="80" w:before="80"/>
      </w:pPr>
      <w:r>
        <w:rPr>
          <w:rFonts w:ascii="Arial" w:cs="Arial" w:eastAsia="Arial" w:hAnsi="Arial"/>
          <w:b/>
          <w:bCs/>
          <w:sz w:val="20"/>
          <w:szCs w:val="20"/>
        </w:rPr>
        <w:t xml:space="preserve">LD50:</w:t>
      </w:r>
      <w:r>
        <w:rPr>
          <w:rFonts w:ascii="Arial" w:cs="Arial" w:eastAsia="Arial" w:hAnsi="Arial"/>
          <w:sz w:val="20"/>
          <w:szCs w:val="20"/>
        </w:rPr>
        <w:t xml:space="preserve"> Dawka śmiertelna dla 50% badanej populacji zwierząt laboratoryjnych</w:t>
      </w:r>
    </w:p>
    <w:p>
      <w:pPr>
        <w:spacing w:after="80" w:before="80"/>
      </w:pPr>
      <w:r>
        <w:rPr>
          <w:rFonts w:ascii="Arial" w:cs="Arial" w:eastAsia="Arial" w:hAnsi="Arial"/>
          <w:b/>
          <w:bCs/>
          <w:sz w:val="20"/>
          <w:szCs w:val="20"/>
        </w:rPr>
        <w:t xml:space="preserve">LC50:</w:t>
      </w:r>
      <w:r>
        <w:rPr>
          <w:rFonts w:ascii="Arial" w:cs="Arial" w:eastAsia="Arial" w:hAnsi="Arial"/>
          <w:sz w:val="20"/>
          <w:szCs w:val="20"/>
        </w:rPr>
        <w:t xml:space="preserve"> Stężenie śmiertelne dla 50% badanej populacji organizmów testowych</w:t>
      </w:r>
    </w:p>
    <w:p>
      <w:pPr>
        <w:spacing w:after="80" w:before="80"/>
      </w:pPr>
      <w:r>
        <w:rPr>
          <w:rFonts w:ascii="Arial" w:cs="Arial" w:eastAsia="Arial" w:hAnsi="Arial"/>
          <w:b/>
          <w:bCs/>
          <w:sz w:val="20"/>
          <w:szCs w:val="20"/>
        </w:rPr>
        <w:t xml:space="preserve">EC50:</w:t>
      </w:r>
      <w:r>
        <w:rPr>
          <w:rFonts w:ascii="Arial" w:cs="Arial" w:eastAsia="Arial" w:hAnsi="Arial"/>
          <w:sz w:val="20"/>
          <w:szCs w:val="20"/>
        </w:rPr>
        <w:t xml:space="preserve"> Stężenie wywołujące efekt u 50% badanej populacji testowej</w:t>
      </w:r>
    </w:p>
    <w:p>
      <w:pPr>
        <w:spacing w:after="80" w:before="80"/>
      </w:pPr>
      <w:r>
        <w:rPr>
          <w:rFonts w:ascii="Arial" w:cs="Arial" w:eastAsia="Arial" w:hAnsi="Arial"/>
          <w:b/>
          <w:bCs/>
          <w:sz w:val="20"/>
          <w:szCs w:val="20"/>
        </w:rPr>
        <w:t xml:space="preserve">NOEC:</w:t>
      </w:r>
      <w:r>
        <w:rPr>
          <w:rFonts w:ascii="Arial" w:cs="Arial" w:eastAsia="Arial" w:hAnsi="Arial"/>
          <w:sz w:val="20"/>
          <w:szCs w:val="20"/>
        </w:rPr>
        <w:t xml:space="preserve"> Najwyższe stężenie, przy którym nie obserwuje się statystycznie istotnych skutków (No Observed Effect Concentration)</w:t>
      </w:r>
    </w:p>
    <w:p>
      <w:pPr>
        <w:spacing w:after="80" w:before="80"/>
      </w:pPr>
      <w:r>
        <w:rPr>
          <w:rFonts w:ascii="Arial" w:cs="Arial" w:eastAsia="Arial" w:hAnsi="Arial"/>
          <w:b/>
          <w:bCs/>
          <w:sz w:val="20"/>
          <w:szCs w:val="20"/>
        </w:rPr>
        <w:t xml:space="preserve">SCL:</w:t>
      </w:r>
      <w:r>
        <w:rPr>
          <w:rFonts w:ascii="Arial" w:cs="Arial" w:eastAsia="Arial" w:hAnsi="Arial"/>
          <w:sz w:val="20"/>
          <w:szCs w:val="20"/>
        </w:rPr>
        <w:t xml:space="preserve"> Specyficzne stężenie graniczne (Specific Concentration Limit)</w:t>
      </w:r>
    </w:p>
    <w:p>
      <w:pPr>
        <w:spacing w:after="80" w:before="80"/>
      </w:pPr>
      <w:r>
        <w:rPr>
          <w:rFonts w:ascii="Arial" w:cs="Arial" w:eastAsia="Arial" w:hAnsi="Arial"/>
          <w:b/>
          <w:bCs/>
          <w:sz w:val="20"/>
          <w:szCs w:val="20"/>
        </w:rPr>
        <w:t xml:space="preserve">BDO:</w:t>
      </w:r>
      <w:r>
        <w:rPr>
          <w:rFonts w:ascii="Arial" w:cs="Arial" w:eastAsia="Arial" w:hAnsi="Arial"/>
          <w:sz w:val="20"/>
          <w:szCs w:val="20"/>
        </w:rPr>
        <w:t xml:space="preserve"> Baza danych o produktach i opakowaniach oraz o gospodarce odpadami</w:t>
      </w:r>
    </w:p>
    <w:p>
      <w:pPr>
        <w:spacing w:after="80" w:before="80"/>
      </w:pPr>
      <w:r>
        <w:rPr>
          <w:rFonts w:ascii="Arial" w:cs="Arial" w:eastAsia="Arial" w:hAnsi="Arial"/>
          <w:b/>
          <w:bCs/>
          <w:sz w:val="20"/>
          <w:szCs w:val="20"/>
        </w:rPr>
        <w:t xml:space="preserve">ECHA:</w:t>
      </w:r>
      <w:r>
        <w:rPr>
          <w:rFonts w:ascii="Arial" w:cs="Arial" w:eastAsia="Arial" w:hAnsi="Arial"/>
          <w:sz w:val="20"/>
          <w:szCs w:val="20"/>
        </w:rPr>
        <w:t xml:space="preserve"> Europejska Agencja Chemikaliów</w:t>
      </w:r>
    </w:p>
    <w:p>
      <w:pPr>
        <w:spacing w:after="80" w:before="150"/>
      </w:pPr>
      <w:r>
        <w:rPr>
          <w:rFonts w:ascii="Arial" w:cs="Arial" w:eastAsia="Arial" w:hAnsi="Arial"/>
          <w:b/>
          <w:bCs/>
          <w:sz w:val="20"/>
          <w:szCs w:val="20"/>
        </w:rPr>
        <w:t xml:space="preserve">Główne źródła literatury i danych:</w:t>
      </w:r>
    </w:p>
    <w:p>
      <w:pPr>
        <w:spacing w:after="80"/>
      </w:pPr>
      <w:r>
        <w:rPr>
          <w:rFonts w:ascii="Arial" w:cs="Arial" w:eastAsia="Arial" w:hAnsi="Arial"/>
          <w:sz w:val="20"/>
          <w:szCs w:val="20"/>
        </w:rPr>
        <w:t xml:space="preserve">- Karty charakterystyki substancji składowych udostępnione przez producentów i dostawców surowców.</w:t>
      </w:r>
    </w:p>
    <w:p>
      <w:pPr>
        <w:spacing w:after="80"/>
      </w:pPr>
      <w:r>
        <w:rPr>
          <w:rFonts w:ascii="Arial" w:cs="Arial" w:eastAsia="Arial" w:hAnsi="Arial"/>
          <w:sz w:val="20"/>
          <w:szCs w:val="20"/>
        </w:rPr>
        <w:t xml:space="preserve">- Baza danych Europejskiej Agencji Chemikaliów (ECHA): https://echa.europa.eu/</w:t>
      </w:r>
    </w:p>
    <w:p>
      <w:pPr>
        <w:spacing w:after="80"/>
      </w:pPr>
      <w:r>
        <w:rPr>
          <w:rFonts w:ascii="Arial" w:cs="Arial" w:eastAsia="Arial" w:hAnsi="Arial"/>
          <w:sz w:val="20"/>
          <w:szCs w:val="20"/>
        </w:rPr>
        <w:t xml:space="preserve">- Baza danych PubChem National Library of Medicine: https://pubchem.ncbi.nlm.nih.gov/</w:t>
      </w:r>
    </w:p>
    <w:p>
      <w:pPr>
        <w:spacing w:after="80"/>
      </w:pPr>
      <w:r>
        <w:rPr>
          <w:rFonts w:ascii="Arial" w:cs="Arial" w:eastAsia="Arial" w:hAnsi="Arial"/>
          <w:sz w:val="20"/>
          <w:szCs w:val="20"/>
        </w:rPr>
        <w:t xml:space="preserve">- Obowiązujące unijne i krajowe akty prawne (REACH, CLP, Dz.U. 2018 poz. 1286, Dz.U. 2023 poz. 1587).</w:t>
      </w:r>
    </w:p>
    <w:p>
      <w:pPr>
        <w:spacing w:after="80" w:before="150"/>
      </w:pPr>
      <w:r>
        <w:rPr>
          <w:rFonts w:ascii="Arial" w:cs="Arial" w:eastAsia="Arial" w:hAnsi="Arial"/>
          <w:b/>
          <w:bCs/>
          <w:sz w:val="20"/>
          <w:szCs w:val="20"/>
        </w:rPr>
        <w:t xml:space="preserve">Zalecenia i wskazówki szkoleniowe dla pracowników:</w:t>
      </w:r>
    </w:p>
    <w:p>
      <w:pPr>
        <w:spacing w:after="80"/>
      </w:pPr>
      <w:r>
        <w:rPr>
          <w:rFonts w:ascii="Arial" w:cs="Arial" w:eastAsia="Arial" w:hAnsi="Arial"/>
          <w:sz w:val="20"/>
          <w:szCs w:val="20"/>
        </w:rPr>
        <w:t xml:space="preserve">Przed przystąpieniem do pracy z produktem należy zapoznać się z treścią niniejszej karty charakterystyki oraz przepisami BHP obowiązującymi na stanowisku pracy. Pracownicy mający kontakt z produktem powinni zostać przeszkoleni w zakresie prawidłowego i bezpiecznego obchodzenia się z chemikaliami oraz postępowania w sytuacjach awaryjnych.</w:t>
      </w:r>
    </w:p>
    <w:p>
      <w:pPr>
        <w:spacing w:after="80" w:before="150"/>
      </w:pPr>
      <w:r>
        <w:rPr>
          <w:rFonts w:ascii="Arial" w:cs="Arial" w:eastAsia="Arial" w:hAnsi="Arial"/>
          <w:b/>
          <w:bCs/>
          <w:sz w:val="20"/>
          <w:szCs w:val="20"/>
        </w:rPr>
        <w:t xml:space="preserve">Informacje o zmianach i aktualizacji:</w:t>
      </w:r>
    </w:p>
    <w:p>
      <w:pPr>
        <w:spacing w:after="80"/>
      </w:pPr>
      <w:r>
        <w:rPr>
          <w:rFonts w:ascii="Arial" w:cs="Arial" w:eastAsia="Arial" w:hAnsi="Arial"/>
          <w:sz w:val="20"/>
          <w:szCs w:val="20"/>
        </w:rPr>
        <w:t xml:space="preserve">Niniejsza karta charakterystyki została opracowana i zaktualizowana zgodnie z wymogami Rozporządzenia Komisji (UE) 2020/878 z dnia 18 czerwca 2020 r. zmieniającego załącznik II do rozporządzenia (WE) nr 1907/2006 (REACH).</w:t>
      </w:r>
    </w:p>
    <w:p>
      <w:pPr>
        <w:spacing w:after="80"/>
      </w:pPr>
      <w:r>
        <w:rPr>
          <w:rFonts w:ascii="Arial" w:cs="Arial" w:eastAsia="Arial" w:hAnsi="Arial"/>
          <w:sz w:val="20"/>
          <w:szCs w:val="20"/>
        </w:rPr>
        <w:t xml:space="preserve">Informacje zawarte w niniejszej karcie wynikają z aktualnego stanu wiedzy producenta i dystrybutora i odnoszą się wyłącznie do opisanego produktu. Użytkownik ponosi odpowiedzialność za stworzenie bezpiecznych warunków pracy oraz spełnienie wymagań prawnych związanych z jego zastosowaniem.</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rPr>
      <w:t xml:space="preserve">Strona </w:t>
    </w:r>
    <w:r>
      <w:rPr>
        <w:rFonts w:ascii="Arial" w:cs="Arial" w:eastAsia="Arial" w:hAnsi="Arial"/>
      </w:rPr>
      <w:fldChar w:fldCharType="begin"/>
      <w:instrText xml:space="preserve">PAGE</w:instrText>
      <w:fldChar w:fldCharType="separate"/>
      <w:fldChar w:fldCharType="end"/>
    </w:r>
    <w:r>
      <w:rPr>
        <w:rFonts w:ascii="Arial" w:cs="Arial" w:eastAsia="Arial" w:hAnsi="Arial"/>
      </w:rPr>
      <w:t xml:space="preserve"> z </w:t>
    </w:r>
    <w:r>
      <w:rPr>
        <w:rFonts w:ascii="Arial" w:cs="Arial" w:eastAsia="Arial" w:hAnsi="Aria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rPr>
      <w:t xml:space="preserve">SDS | SWEET HOME - PROFUMATORE AMBIENTE ORCHIDEA E VANIGLIA V2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5d8d9c367d3934e7fb954e2d1eb138bb8cbbdb7.undefined"/><Relationship Id="rId10" Type="http://schemas.openxmlformats.org/officeDocument/2006/relationships/image" Target="media/efd45568977e6a957ae58b4c90280b3e4510b305.undefined"/><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2026-09-14T09:16:04.284Z</dcterms:created>
  <dcterms:modified xsi:type="dcterms:W3CDTF">2026-09-14T09:16:04.284Z</dcterms:modified>
</cp:coreProperties>
</file>

<file path=docProps/custom.xml><?xml version="1.0" encoding="utf-8"?>
<Properties xmlns="http://schemas.openxmlformats.org/officeDocument/2006/custom-properties" xmlns:vt="http://schemas.openxmlformats.org/officeDocument/2006/docPropsVTypes"/>
</file>