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D81F3C"/>
          <w:spacing w:val="50"/>
          <w:sz w:val="16"/>
          <w:szCs w:val="16"/>
        </w:rPr>
        <w:t xml:space="preserve">MOBILE DEALER DATA</w:t>
      </w:r>
      <w:r>
        <w:rPr>
          <w:rFonts w:ascii="Arial" w:cs="Arial" w:eastAsia="Arial" w:hAnsi="Arial"/>
          <w:b/>
          <w:bCs/>
          <w:color w:val="8A8A8A"/>
          <w:sz w:val="16"/>
          <w:szCs w:val="16"/>
        </w:rPr>
        <w:t xml:space="preserve">   ·   </w:t>
      </w:r>
      <w:r>
        <w:rPr>
          <w:rFonts w:ascii="Arial" w:cs="Arial" w:eastAsia="Arial" w:hAnsi="Arial"/>
          <w:b/>
          <w:bCs/>
          <w:color w:val="D81F3C"/>
          <w:spacing w:val="50"/>
          <w:sz w:val="16"/>
          <w:szCs w:val="16"/>
        </w:rPr>
        <w:t xml:space="preserve">INDUSTRY INSIGHT</w:t>
      </w:r>
    </w:p>
    <w:p>
      <w:pPr>
        <w:spacing w:after="140"/>
      </w:pPr>
      <w:r>
        <w:rPr>
          <w:rFonts w:ascii="Arial" w:cs="Arial" w:eastAsia="Arial" w:hAnsi="Arial"/>
          <w:b/>
          <w:bCs/>
          <w:color w:val="1A1A1A"/>
          <w:sz w:val="44"/>
          <w:szCs w:val="44"/>
        </w:rPr>
        <w:t xml:space="preserve">Addendums, Transparency &amp; the FTC: Rethinking the Dealer Pricing Playbook</w:t>
      </w:r>
    </w:p>
    <w:p>
      <w:pPr>
        <w:pBdr>
          <w:bottom w:val="single" w:color="D81F3C" w:sz="18" w:space="8"/>
        </w:pBdr>
        <w:spacing w:after="120"/>
      </w:pPr>
      <w:r>
        <w:rPr>
          <w:rFonts w:ascii="Georgia" w:cs="Georgia" w:eastAsia="Georgia" w:hAnsi="Georgia"/>
          <w:i/>
          <w:iCs/>
          <w:color w:val="555555"/>
          <w:sz w:val="25"/>
          <w:szCs w:val="25"/>
        </w:rPr>
        <w:t xml:space="preserve">New scrutiny on how vehicles are priced is forcing dealers to rebuild their addendum strategy. Here’s what’s changing — and what a compliant, profitable package looks like going forward.</w:t>
      </w:r>
    </w:p>
    <w:p>
      <w:pPr>
        <w:spacing w:after="110" w:line="300"/>
        <w:jc w:val="both"/>
      </w:pPr>
      <w:r>
        <w:rPr>
          <w:rFonts w:ascii="Georgia" w:cs="Georgia" w:eastAsia="Georgia" w:hAnsi="Georgia"/>
          <w:color w:val="262626"/>
          <w:sz w:val="21"/>
          <w:szCs w:val="21"/>
        </w:rPr>
        <w:t xml:space="preserve">In the automotive sales industry, the inclusion of addendums — additional documents that outline extra features, services, or fees associated with a vehicle — has become increasingly common. While these charges can give consumers valuable options, they also raise real concerns about transparency and fair pricing. The Federal Trade Commission has specific expectations dealers must meet to stay compliant and protect consumer rights, and understanding those expectations has quietly become one of the defining challenges in retail automotive today.</w:t>
      </w:r>
    </w:p>
    <w:p>
      <w:pPr>
        <w:pBdr>
          <w:bottom w:val="single" w:color="D81F3C" w:sz="12" w:space="4"/>
        </w:pBdr>
        <w:spacing w:after="90" w:before="260"/>
      </w:pPr>
      <w:r>
        <w:rPr>
          <w:rFonts w:ascii="Arial" w:cs="Arial" w:eastAsia="Arial" w:hAnsi="Arial"/>
          <w:b/>
          <w:bCs/>
          <w:color w:val="1A1A1A"/>
          <w:sz w:val="26"/>
          <w:szCs w:val="26"/>
        </w:rPr>
        <w:t xml:space="preserve">What Is an Addendum?</w:t>
      </w:r>
    </w:p>
    <w:p>
      <w:pPr>
        <w:spacing w:after="110" w:line="300"/>
        <w:jc w:val="both"/>
      </w:pPr>
      <w:r>
        <w:rPr>
          <w:rFonts w:ascii="Georgia" w:cs="Georgia" w:eastAsia="Georgia" w:hAnsi="Georgia"/>
          <w:color w:val="262626"/>
          <w:sz w:val="21"/>
          <w:szCs w:val="21"/>
        </w:rPr>
        <w:t xml:space="preserve">In the context of a car sale, an addendum is an additional document attached to the original purchase agreement or vehicle pricing. It commonly includes:</w:t>
      </w:r>
    </w:p>
    <w:p>
      <w:pPr>
        <w:pStyle w:val="ListParagraph"/>
        <w:numPr>
          <w:ilvl w:val="0"/>
          <w:numId w:val="2"/>
        </w:numPr>
        <w:spacing w:after="50" w:line="290"/>
      </w:pPr>
      <w:r>
        <w:rPr>
          <w:rFonts w:ascii="Georgia" w:cs="Georgia" w:eastAsia="Georgia" w:hAnsi="Georgia"/>
          <w:color w:val="262626"/>
          <w:sz w:val="21"/>
          <w:szCs w:val="21"/>
        </w:rPr>
        <w:t xml:space="preserve">Optional features or enhancements to the vehicle</w:t>
      </w:r>
    </w:p>
    <w:p>
      <w:pPr>
        <w:pStyle w:val="ListParagraph"/>
        <w:numPr>
          <w:ilvl w:val="0"/>
          <w:numId w:val="2"/>
        </w:numPr>
        <w:spacing w:after="50" w:line="290"/>
      </w:pPr>
      <w:r>
        <w:rPr>
          <w:rFonts w:ascii="Georgia" w:cs="Georgia" w:eastAsia="Georgia" w:hAnsi="Georgia"/>
          <w:color w:val="262626"/>
          <w:sz w:val="21"/>
          <w:szCs w:val="21"/>
        </w:rPr>
        <w:t xml:space="preserve">Dealer-installed options</w:t>
      </w:r>
    </w:p>
    <w:p>
      <w:pPr>
        <w:pStyle w:val="ListParagraph"/>
        <w:numPr>
          <w:ilvl w:val="0"/>
          <w:numId w:val="2"/>
        </w:numPr>
        <w:spacing w:after="50" w:line="290"/>
      </w:pPr>
      <w:r>
        <w:rPr>
          <w:rFonts w:ascii="Georgia" w:cs="Georgia" w:eastAsia="Georgia" w:hAnsi="Georgia"/>
          <w:color w:val="262626"/>
          <w:sz w:val="21"/>
          <w:szCs w:val="21"/>
        </w:rPr>
        <w:t xml:space="preserve">Additional services, such as extended warranties or paint protection</w:t>
      </w:r>
    </w:p>
    <w:p>
      <w:pPr>
        <w:pStyle w:val="ListParagraph"/>
        <w:numPr>
          <w:ilvl w:val="0"/>
          <w:numId w:val="2"/>
        </w:numPr>
        <w:spacing w:after="50" w:line="290"/>
      </w:pPr>
      <w:r>
        <w:rPr>
          <w:rFonts w:ascii="Georgia" w:cs="Georgia" w:eastAsia="Georgia" w:hAnsi="Georgia"/>
          <w:color w:val="262626"/>
          <w:sz w:val="21"/>
          <w:szCs w:val="21"/>
        </w:rPr>
        <w:t xml:space="preserve">Market adjustments or dealership markups</w:t>
      </w:r>
    </w:p>
    <w:p>
      <w:pPr>
        <w:spacing w:after="110" w:line="300"/>
        <w:jc w:val="both"/>
      </w:pPr>
      <w:r>
        <w:rPr>
          <w:rFonts w:ascii="Georgia" w:cs="Georgia" w:eastAsia="Georgia" w:hAnsi="Georgia"/>
          <w:color w:val="262626"/>
          <w:sz w:val="21"/>
          <w:szCs w:val="21"/>
        </w:rPr>
        <w:t xml:space="preserve">Used well, addendums can enhance the customer experience. Used poorly, they create confusion about the final price a consumer actually pays — and that confusion is exactly what regulators are focused on.</w:t>
      </w:r>
    </w:p>
    <w:p>
      <w:pPr>
        <w:pBdr>
          <w:bottom w:val="single" w:color="D81F3C" w:sz="12" w:space="4"/>
        </w:pBdr>
        <w:spacing w:after="90" w:before="260"/>
      </w:pPr>
      <w:r>
        <w:rPr>
          <w:rFonts w:ascii="Arial" w:cs="Arial" w:eastAsia="Arial" w:hAnsi="Arial"/>
          <w:b/>
          <w:bCs/>
          <w:color w:val="1A1A1A"/>
          <w:sz w:val="26"/>
          <w:szCs w:val="26"/>
        </w:rPr>
        <w:t xml:space="preserve">The Role of the FTC</w:t>
      </w:r>
    </w:p>
    <w:p>
      <w:pPr>
        <w:spacing w:after="110" w:line="300"/>
        <w:jc w:val="both"/>
      </w:pPr>
      <w:r>
        <w:rPr>
          <w:rFonts w:ascii="Georgia" w:cs="Georgia" w:eastAsia="Georgia" w:hAnsi="Georgia"/>
          <w:color w:val="262626"/>
          <w:sz w:val="21"/>
          <w:szCs w:val="21"/>
        </w:rPr>
        <w:t xml:space="preserve">The Federal Trade Commission enforces laws that prevent unfair or deceptive practices in the marketplace, including in automotive sales. Two long-standing frameworks are especially relevant to pricing and advertising: the Truth in Lending Act and the FTC’s Used Car Rule.</w:t>
      </w:r>
    </w:p>
    <w:p>
      <w:pPr>
        <w:spacing w:after="40" w:before="150"/>
      </w:pPr>
      <w:r>
        <w:rPr>
          <w:rFonts w:ascii="Arial" w:cs="Arial" w:eastAsia="Arial" w:hAnsi="Arial"/>
          <w:b/>
          <w:bCs/>
          <w:color w:val="2B2B2B"/>
          <w:sz w:val="21"/>
          <w:szCs w:val="21"/>
        </w:rPr>
        <w:t xml:space="preserve">Truth in Lending Act (TILA)</w:t>
      </w:r>
    </w:p>
    <w:p>
      <w:pPr>
        <w:spacing w:after="110" w:line="300"/>
        <w:jc w:val="both"/>
      </w:pPr>
      <w:r>
        <w:rPr>
          <w:rFonts w:ascii="Georgia" w:cs="Georgia" w:eastAsia="Georgia" w:hAnsi="Georgia"/>
          <w:color w:val="262626"/>
          <w:sz w:val="21"/>
          <w:szCs w:val="21"/>
        </w:rPr>
        <w:t xml:space="preserve">Under TILA, dealers must provide clear, accurate information about the total cost of financing a vehicle — and that includes any additional charges tied to addendums. Advertised prices should represent the true total cost, addendum fees included, so consumers are not misled.</w:t>
      </w:r>
    </w:p>
    <w:p>
      <w:pPr>
        <w:spacing w:after="40" w:before="150"/>
      </w:pPr>
      <w:r>
        <w:rPr>
          <w:rFonts w:ascii="Arial" w:cs="Arial" w:eastAsia="Arial" w:hAnsi="Arial"/>
          <w:b/>
          <w:bCs/>
          <w:color w:val="2B2B2B"/>
          <w:sz w:val="21"/>
          <w:szCs w:val="21"/>
        </w:rPr>
        <w:t xml:space="preserve">The Used Car Rule</w:t>
      </w:r>
    </w:p>
    <w:p>
      <w:pPr>
        <w:spacing w:after="110" w:line="300"/>
        <w:jc w:val="both"/>
      </w:pPr>
      <w:r>
        <w:rPr>
          <w:rFonts w:ascii="Georgia" w:cs="Georgia" w:eastAsia="Georgia" w:hAnsi="Georgia"/>
          <w:color w:val="262626"/>
          <w:sz w:val="21"/>
          <w:szCs w:val="21"/>
        </w:rPr>
        <w:t xml:space="preserve">The Used Car Rule requires dealers to display a “Buyers Guide” in every used vehicle, outlining the price, any warranties, and the condition of the vehicle. When an addendum affects the price, that detail belongs in front of the consumer, so they understand precisely what they are paying for.</w:t>
      </w:r>
    </w:p>
    <w:p>
      <w:pPr>
        <w:pBdr>
          <w:bottom w:val="single" w:color="D81F3C" w:sz="12" w:space="4"/>
        </w:pBdr>
        <w:spacing w:after="90" w:before="260"/>
      </w:pPr>
      <w:r>
        <w:rPr>
          <w:rFonts w:ascii="Arial" w:cs="Arial" w:eastAsia="Arial" w:hAnsi="Arial"/>
          <w:b/>
          <w:bCs/>
          <w:color w:val="1A1A1A"/>
          <w:sz w:val="26"/>
          <w:szCs w:val="26"/>
        </w:rPr>
        <w:t xml:space="preserve">What Compliance Actually Requires</w:t>
      </w:r>
    </w:p>
    <w:p>
      <w:pPr>
        <w:spacing w:after="110" w:line="300"/>
        <w:jc w:val="both"/>
      </w:pPr>
      <w:r>
        <w:rPr>
          <w:rFonts w:ascii="Georgia" w:cs="Georgia" w:eastAsia="Georgia" w:hAnsi="Georgia"/>
          <w:color w:val="262626"/>
          <w:sz w:val="21"/>
          <w:szCs w:val="21"/>
        </w:rPr>
        <w:t xml:space="preserve">For dealers using addendums, four practices matter most:</w:t>
      </w:r>
    </w:p>
    <w:p>
      <w:pPr>
        <w:spacing w:after="110" w:line="300"/>
        <w:jc w:val="both"/>
      </w:pPr>
      <w:r>
        <w:rPr>
          <w:rFonts w:ascii="Arial" w:cs="Arial" w:eastAsia="Arial" w:hAnsi="Arial"/>
          <w:b/>
          <w:bCs/>
          <w:color w:val="1A1A1A"/>
          <w:sz w:val="21"/>
          <w:szCs w:val="21"/>
        </w:rPr>
        <w:t xml:space="preserve">Transparency. </w:t>
      </w:r>
      <w:r>
        <w:rPr>
          <w:rFonts w:ascii="Georgia" w:cs="Georgia" w:eastAsia="Georgia" w:hAnsi="Georgia"/>
          <w:color w:val="262626"/>
          <w:sz w:val="21"/>
          <w:szCs w:val="21"/>
        </w:rPr>
        <w:t xml:space="preserve">All pricing — including addendum fees — must be clearly communicated to the customer. Hidden fees can lead to significant penalties under FTC regulations.</w:t>
      </w:r>
    </w:p>
    <w:p>
      <w:pPr>
        <w:spacing w:after="110" w:line="300"/>
        <w:jc w:val="both"/>
      </w:pPr>
      <w:r>
        <w:rPr>
          <w:rFonts w:ascii="Arial" w:cs="Arial" w:eastAsia="Arial" w:hAnsi="Arial"/>
          <w:b/>
          <w:bCs/>
          <w:color w:val="1A1A1A"/>
          <w:sz w:val="21"/>
          <w:szCs w:val="21"/>
        </w:rPr>
        <w:t xml:space="preserve">Accurate advertising. </w:t>
      </w:r>
      <w:r>
        <w:rPr>
          <w:rFonts w:ascii="Georgia" w:cs="Georgia" w:eastAsia="Georgia" w:hAnsi="Georgia"/>
          <w:color w:val="262626"/>
          <w:sz w:val="21"/>
          <w:szCs w:val="21"/>
        </w:rPr>
        <w:t xml:space="preserve">Every advertisement, including online listings, must reflect the total price of the vehicle, incorporating all addendum-related costs. Misleading advertising can trigger investigations and penalties.</w:t>
      </w:r>
    </w:p>
    <w:p>
      <w:pPr>
        <w:spacing w:after="110" w:line="300"/>
        <w:jc w:val="both"/>
      </w:pPr>
      <w:r>
        <w:rPr>
          <w:rFonts w:ascii="Arial" w:cs="Arial" w:eastAsia="Arial" w:hAnsi="Arial"/>
          <w:b/>
          <w:bCs/>
          <w:color w:val="1A1A1A"/>
          <w:sz w:val="21"/>
          <w:szCs w:val="21"/>
        </w:rPr>
        <w:t xml:space="preserve">Documentation. </w:t>
      </w:r>
      <w:r>
        <w:rPr>
          <w:rFonts w:ascii="Georgia" w:cs="Georgia" w:eastAsia="Georgia" w:hAnsi="Georgia"/>
          <w:color w:val="262626"/>
          <w:sz w:val="21"/>
          <w:szCs w:val="21"/>
        </w:rPr>
        <w:t xml:space="preserve">Maintain clean records of all addendums and make sure customers receive copies. Good documentation protects the dealer and the consumer alike by creating a clear record of what was agreed upon.</w:t>
      </w:r>
    </w:p>
    <w:p>
      <w:pPr>
        <w:spacing w:after="110" w:line="300"/>
        <w:jc w:val="both"/>
      </w:pPr>
      <w:r>
        <w:rPr>
          <w:rFonts w:ascii="Arial" w:cs="Arial" w:eastAsia="Arial" w:hAnsi="Arial"/>
          <w:b/>
          <w:bCs/>
          <w:color w:val="1A1A1A"/>
          <w:sz w:val="21"/>
          <w:szCs w:val="21"/>
        </w:rPr>
        <w:t xml:space="preserve">Consumer awareness. </w:t>
      </w:r>
      <w:r>
        <w:rPr>
          <w:rFonts w:ascii="Georgia" w:cs="Georgia" w:eastAsia="Georgia" w:hAnsi="Georgia"/>
          <w:color w:val="262626"/>
          <w:sz w:val="21"/>
          <w:szCs w:val="21"/>
        </w:rPr>
        <w:t xml:space="preserve">Educate buyers about what each addendum entails. Clear explanations of every fee foster trust and improve the purchasing experience.</w:t>
      </w:r>
    </w:p>
    <w:p>
      <w:pPr>
        <w:pBdr>
          <w:left w:val="single" w:color="D81F3C" w:sz="28" w:space="14"/>
        </w:pBdr>
        <w:spacing w:after="160" w:before="200"/>
        <w:ind w:left="260"/>
      </w:pPr>
      <w:r>
        <w:rPr>
          <w:rFonts w:ascii="Georgia" w:cs="Georgia" w:eastAsia="Georgia" w:hAnsi="Georgia"/>
          <w:i/>
          <w:iCs/>
          <w:color w:val="1A1A1A"/>
          <w:sz w:val="28"/>
          <w:szCs w:val="28"/>
        </w:rPr>
        <w:t xml:space="preserve">“Advertising a price that excludes the addendum — then leading with the higher addendum price as the first pencil — is no longer a compliant strategy.”</w:t>
      </w:r>
    </w:p>
    <w:p>
      <w:pPr>
        <w:pBdr>
          <w:bottom w:val="single" w:color="D81F3C" w:sz="12" w:space="4"/>
        </w:pBdr>
        <w:spacing w:after="90" w:before="260"/>
      </w:pPr>
      <w:r>
        <w:rPr>
          <w:rFonts w:ascii="Arial" w:cs="Arial" w:eastAsia="Arial" w:hAnsi="Arial"/>
          <w:b/>
          <w:bCs/>
          <w:color w:val="1A1A1A"/>
          <w:sz w:val="26"/>
          <w:szCs w:val="26"/>
        </w:rPr>
        <w:t xml:space="preserve">The End of the Old First Pencil</w:t>
      </w:r>
    </w:p>
    <w:p>
      <w:pPr>
        <w:spacing w:after="110" w:line="300"/>
        <w:jc w:val="both"/>
      </w:pPr>
      <w:r>
        <w:rPr>
          <w:rFonts w:ascii="Georgia" w:cs="Georgia" w:eastAsia="Georgia" w:hAnsi="Georgia"/>
          <w:color w:val="262626"/>
          <w:sz w:val="21"/>
          <w:szCs w:val="21"/>
        </w:rPr>
        <w:t xml:space="preserve">Put plainly: the traditional practice of advertising a price that does not include your addendum, then presenting the higher addendum price as the first pencil when the customer arrives, is not going to hold up to compliance scrutiny. A transparent process is better for consumers and aligned with the FTC. This isn’t about being told you can’t sell packages. It’s an honest acknowledgment that you simply will not run the same penetration you did in the past.</w:t>
      </w:r>
    </w:p>
    <w:p>
      <w:pPr>
        <w:pBdr>
          <w:bottom w:val="single" w:color="D81F3C" w:sz="12" w:space="4"/>
        </w:pBdr>
        <w:spacing w:after="90" w:before="260"/>
      </w:pPr>
      <w:r>
        <w:rPr>
          <w:rFonts w:ascii="Arial" w:cs="Arial" w:eastAsia="Arial" w:hAnsi="Arial"/>
          <w:b/>
          <w:bCs/>
          <w:color w:val="1A1A1A"/>
          <w:sz w:val="26"/>
          <w:szCs w:val="26"/>
        </w:rPr>
        <w:t xml:space="preserve">Building Packages for the Future</w:t>
      </w:r>
    </w:p>
    <w:p>
      <w:pPr>
        <w:spacing w:after="110" w:line="300"/>
        <w:jc w:val="both"/>
      </w:pPr>
      <w:r>
        <w:rPr>
          <w:rFonts w:ascii="Georgia" w:cs="Georgia" w:eastAsia="Georgia" w:hAnsi="Georgia"/>
          <w:color w:val="262626"/>
          <w:sz w:val="21"/>
          <w:szCs w:val="21"/>
        </w:rPr>
        <w:t xml:space="preserve">As dealers rebuild their package strategy, the products inside those packages should meet three criteria:</w:t>
      </w:r>
    </w:p>
    <w:p>
      <w:pPr>
        <w:pStyle w:val="ListParagraph"/>
        <w:numPr>
          <w:ilvl w:val="0"/>
          <w:numId w:val="3"/>
        </w:numPr>
        <w:spacing w:after="110" w:line="300"/>
      </w:pPr>
      <w:r>
        <w:rPr>
          <w:rFonts w:ascii="Arial" w:cs="Arial" w:eastAsia="Arial" w:hAnsi="Arial"/>
          <w:b/>
          <w:bCs/>
          <w:color w:val="1A1A1A"/>
          <w:sz w:val="21"/>
          <w:szCs w:val="21"/>
        </w:rPr>
        <w:t xml:space="preserve">Consumer-perceived value far exceeds cost. </w:t>
      </w:r>
      <w:r>
        <w:rPr>
          <w:rFonts w:ascii="Georgia" w:cs="Georgia" w:eastAsia="Georgia" w:hAnsi="Georgia"/>
          <w:color w:val="262626"/>
          <w:sz w:val="21"/>
          <w:szCs w:val="21"/>
        </w:rPr>
        <w:t xml:space="preserve">The buyer needs to see clear, obvious value relative to the price being charged.</w:t>
      </w:r>
    </w:p>
    <w:p>
      <w:pPr>
        <w:pStyle w:val="ListParagraph"/>
        <w:numPr>
          <w:ilvl w:val="0"/>
          <w:numId w:val="3"/>
        </w:numPr>
        <w:spacing w:after="110" w:line="300"/>
      </w:pPr>
      <w:r>
        <w:rPr>
          <w:rFonts w:ascii="Arial" w:cs="Arial" w:eastAsia="Arial" w:hAnsi="Arial"/>
          <w:b/>
          <w:bCs/>
          <w:color w:val="1A1A1A"/>
          <w:sz w:val="21"/>
          <w:szCs w:val="21"/>
        </w:rPr>
        <w:t xml:space="preserve">Low to no installation cost. </w:t>
      </w:r>
      <w:r>
        <w:rPr>
          <w:rFonts w:ascii="Georgia" w:cs="Georgia" w:eastAsia="Georgia" w:hAnsi="Georgia"/>
          <w:color w:val="262626"/>
          <w:sz w:val="21"/>
          <w:szCs w:val="21"/>
        </w:rPr>
        <w:t xml:space="preserve">With lower sell-through rates, dealers can’t afford to spend much money putting products on cars that may never convert.</w:t>
      </w:r>
    </w:p>
    <w:p>
      <w:pPr>
        <w:pStyle w:val="ListParagraph"/>
        <w:numPr>
          <w:ilvl w:val="0"/>
          <w:numId w:val="3"/>
        </w:numPr>
        <w:spacing w:after="110" w:line="300"/>
      </w:pPr>
      <w:r>
        <w:rPr>
          <w:rFonts w:ascii="Arial" w:cs="Arial" w:eastAsia="Arial" w:hAnsi="Arial"/>
          <w:b/>
          <w:bCs/>
          <w:color w:val="1A1A1A"/>
          <w:sz w:val="21"/>
          <w:szCs w:val="21"/>
        </w:rPr>
        <w:t xml:space="preserve">The product can be removed. </w:t>
      </w:r>
      <w:r>
        <w:rPr>
          <w:rFonts w:ascii="Georgia" w:cs="Georgia" w:eastAsia="Georgia" w:hAnsi="Georgia"/>
          <w:color w:val="262626"/>
          <w:sz w:val="21"/>
          <w:szCs w:val="21"/>
        </w:rPr>
        <w:t xml:space="preserve">When products and pricing are properly disclosed, the strategic move is to choose products that can be taken back off the vehicle. Eliminating drive-off expense will be a major factor in whether a package strategy is sustainable.</w:t>
      </w:r>
    </w:p>
    <w:tbl>
      <w:tblPr>
        <w:tblW w:type="dxa" w:w="9648"/>
        <w:tblBorders>
          <w:top w:val="single" w:color="DCDCDC" w:sz="4"/>
          <w:left w:val="single" w:color="DCDCDC" w:sz="4"/>
          <w:bottom w:val="single" w:color="DCDCDC" w:sz="4"/>
          <w:right w:val="single" w:color="DCDCDC" w:sz="4"/>
          <w:insideH w:val="single" w:color="auto" w:sz="4"/>
          <w:insideV w:val="single" w:color="auto" w:sz="4"/>
        </w:tblBorders>
      </w:tblPr>
      <w:tblGrid>
        <w:gridCol w:w="9648"/>
      </w:tblGrid>
      <w:tr>
        <w:tc>
          <w:tcPr>
            <w:tcW w:type="dxa" w:w="9648"/>
            <w:shd w:fill="F6F6F7" w:val="clear"/>
            <w:tcMar>
              <w:top w:type="dxa" w:w="140"/>
              <w:left w:type="dxa" w:w="200"/>
              <w:bottom w:type="dxa" w:w="140"/>
              <w:right w:type="dxa" w:w="200"/>
            </w:tcMar>
          </w:tcPr>
          <w:p>
            <w:pPr>
              <w:spacing w:line="290"/>
            </w:pPr>
            <w:r>
              <w:rPr>
                <w:rFonts w:ascii="Georgia" w:cs="Georgia" w:eastAsia="Georgia" w:hAnsi="Georgia"/>
                <w:color w:val="555555"/>
                <w:sz w:val="20"/>
                <w:szCs w:val="20"/>
              </w:rPr>
              <w:t xml:space="preserve">If you would rather build packages as giveaways or “why-buy-here” differentiators, you avoid this entire compliance challenge — but for dealers who intend to keep selling protection products profitably, the three criteria above are the new ground rules.</w:t>
            </w:r>
          </w:p>
        </w:tc>
      </w:tr>
    </w:tbl>
    <w:p>
      <w:pPr>
        <w:spacing w:before="260"/>
      </w:pPr>
    </w:p>
    <w:tbl>
      <w:tblPr>
        <w:tblW w:type="dxa" w:w="9648"/>
        <w:tblBorders>
          <w:top w:val="none"/>
          <w:left w:val="none"/>
          <w:bottom w:val="none"/>
          <w:right w:val="none"/>
          <w:insideH w:val="single" w:color="auto" w:sz="4"/>
          <w:insideV w:val="single" w:color="auto" w:sz="4"/>
        </w:tblBorders>
      </w:tblPr>
      <w:tblGrid>
        <w:gridCol w:w="9648"/>
      </w:tblGrid>
      <w:tr>
        <w:trPr>
          <w:cantSplit/>
        </w:trPr>
        <w:tc>
          <w:tcPr>
            <w:tcW w:type="dxa" w:w="9648"/>
            <w:shd w:fill="2B2B2B" w:val="clear"/>
            <w:tcMar>
              <w:top w:type="dxa" w:w="260"/>
              <w:left w:type="dxa" w:w="320"/>
              <w:bottom w:type="dxa" w:w="260"/>
              <w:right w:type="dxa" w:w="320"/>
            </w:tcMar>
          </w:tcPr>
          <w:p>
            <w:pPr>
              <w:spacing w:after="40"/>
            </w:pPr>
            <w:r>
              <w:rPr>
                <w:rFonts w:ascii="Arial" w:cs="Arial" w:eastAsia="Arial" w:hAnsi="Arial"/>
                <w:b/>
                <w:bCs/>
                <w:color w:val="FF7186"/>
                <w:spacing w:val="40"/>
                <w:sz w:val="15"/>
                <w:szCs w:val="15"/>
              </w:rPr>
              <w:t xml:space="preserve">THE PATH FORWARD</w:t>
            </w:r>
          </w:p>
          <w:p>
            <w:pPr>
              <w:spacing w:after="60"/>
            </w:pPr>
            <w:r>
              <w:rPr>
                <w:rFonts w:ascii="Arial" w:cs="Arial" w:eastAsia="Arial" w:hAnsi="Arial"/>
                <w:b/>
                <w:bCs/>
                <w:color w:val="FFFFFF"/>
                <w:sz w:val="30"/>
                <w:szCs w:val="30"/>
              </w:rPr>
              <w:t xml:space="preserve">MDD</w:t>
            </w:r>
            <w:r>
              <w:rPr>
                <w:rFonts w:ascii="Arial" w:cs="Arial" w:eastAsia="Arial" w:hAnsi="Arial"/>
                <w:b/>
                <w:bCs/>
                <w:color w:val="D81F3C"/>
                <w:sz w:val="30"/>
                <w:szCs w:val="30"/>
              </w:rPr>
              <w:t xml:space="preserve">.</w:t>
            </w:r>
            <w:r>
              <w:rPr>
                <w:rFonts w:ascii="Arial" w:cs="Arial" w:eastAsia="Arial" w:hAnsi="Arial"/>
                <w:b/>
                <w:bCs/>
                <w:color w:val="FFFFFF"/>
                <w:sz w:val="30"/>
                <w:szCs w:val="30"/>
              </w:rPr>
              <w:t xml:space="preserve"> Mobile Dealer Data</w:t>
            </w:r>
          </w:p>
          <w:p>
            <w:pPr>
              <w:pBdr>
                <w:bottom w:val="single" w:color="4A4A4A" w:sz="6" w:space="6"/>
              </w:pBdr>
              <w:spacing w:after="120"/>
            </w:pPr>
            <w:r>
              <w:rPr>
                <w:rFonts w:ascii="Arial" w:cs="Arial" w:eastAsia="Arial" w:hAnsi="Arial"/>
                <w:b/>
                <w:bCs/>
                <w:color w:val="FFFFFF"/>
                <w:sz w:val="25"/>
                <w:szCs w:val="25"/>
              </w:rPr>
              <w:t xml:space="preserve">Built for the compliant package strategy.</w:t>
            </w:r>
          </w:p>
          <w:p>
            <w:pPr>
              <w:spacing w:after="110" w:line="300"/>
            </w:pPr>
            <w:r>
              <w:rPr>
                <w:rFonts w:ascii="Georgia" w:cs="Georgia" w:eastAsia="Georgia" w:hAnsi="Georgia"/>
                <w:color w:val="F0F0F0"/>
                <w:sz w:val="21"/>
                <w:szCs w:val="21"/>
              </w:rPr>
              <w:t xml:space="preserve">At Mobile Dealer Data, our proprietary Bluetooth technology has become a key strategy for dealers exiting the GPS market — precisely because it satisfies all three criteria a modern package now demands:</w:t>
            </w:r>
          </w:p>
          <w:p>
            <w:pPr>
              <w:spacing w:after="70" w:line="280"/>
              <w:ind w:left="260" w:hanging="260"/>
            </w:pPr>
            <w:r>
              <w:rPr>
                <w:rFonts w:ascii="Arial" w:cs="Arial" w:eastAsia="Arial" w:hAnsi="Arial"/>
                <w:b/>
                <w:bCs/>
                <w:color w:val="5FD986"/>
                <w:sz w:val="21"/>
                <w:szCs w:val="21"/>
              </w:rPr>
              <w:t xml:space="preserve">✓  </w:t>
            </w:r>
            <w:r>
              <w:rPr>
                <w:rFonts w:ascii="Arial" w:cs="Arial" w:eastAsia="Arial" w:hAnsi="Arial"/>
                <w:b/>
                <w:bCs/>
                <w:color w:val="FFFFFF"/>
                <w:sz w:val="21"/>
                <w:szCs w:val="21"/>
              </w:rPr>
              <w:t xml:space="preserve">No technician required to install</w:t>
            </w:r>
            <w:r>
              <w:rPr>
                <w:rFonts w:ascii="Georgia" w:cs="Georgia" w:eastAsia="Georgia" w:hAnsi="Georgia"/>
                <w:color w:val="F0F0F0"/>
                <w:sz w:val="21"/>
                <w:szCs w:val="21"/>
              </w:rPr>
              <w:t xml:space="preserve"> — faster and far less expensive than hard-wired GPS, keeping installation cost near zero.</w:t>
            </w:r>
          </w:p>
          <w:p>
            <w:pPr>
              <w:spacing w:after="70" w:line="280"/>
              <w:ind w:left="260" w:hanging="260"/>
            </w:pPr>
            <w:r>
              <w:rPr>
                <w:rFonts w:ascii="Arial" w:cs="Arial" w:eastAsia="Arial" w:hAnsi="Arial"/>
                <w:b/>
                <w:bCs/>
                <w:color w:val="5FD986"/>
                <w:sz w:val="21"/>
                <w:szCs w:val="21"/>
              </w:rPr>
              <w:t xml:space="preserve">✓  </w:t>
            </w:r>
            <w:r>
              <w:rPr>
                <w:rFonts w:ascii="Arial" w:cs="Arial" w:eastAsia="Arial" w:hAnsi="Arial"/>
                <w:b/>
                <w:bCs/>
                <w:color w:val="FFFFFF"/>
                <w:sz w:val="21"/>
                <w:szCs w:val="21"/>
              </w:rPr>
              <w:t xml:space="preserve">No cut wires</w:t>
            </w:r>
            <w:r>
              <w:rPr>
                <w:rFonts w:ascii="Georgia" w:cs="Georgia" w:eastAsia="Georgia" w:hAnsi="Georgia"/>
                <w:color w:val="F0F0F0"/>
                <w:sz w:val="21"/>
                <w:szCs w:val="21"/>
              </w:rPr>
              <w:t xml:space="preserve"> — no OEM or consumer pushback about voided warranties, and a device that’s harder for a thief to find.</w:t>
            </w:r>
          </w:p>
          <w:p>
            <w:pPr>
              <w:spacing w:after="70" w:line="280"/>
              <w:ind w:left="260" w:hanging="260"/>
            </w:pPr>
            <w:r>
              <w:rPr>
                <w:rFonts w:ascii="Arial" w:cs="Arial" w:eastAsia="Arial" w:hAnsi="Arial"/>
                <w:b/>
                <w:bCs/>
                <w:color w:val="5FD986"/>
                <w:sz w:val="21"/>
                <w:szCs w:val="21"/>
              </w:rPr>
              <w:t xml:space="preserve">✓  </w:t>
            </w:r>
            <w:r>
              <w:rPr>
                <w:rFonts w:ascii="Arial" w:cs="Arial" w:eastAsia="Arial" w:hAnsi="Arial"/>
                <w:b/>
                <w:bCs/>
                <w:color w:val="FFFFFF"/>
                <w:sz w:val="21"/>
                <w:szCs w:val="21"/>
              </w:rPr>
              <w:t xml:space="preserve">Fully removable</w:t>
            </w:r>
            <w:r>
              <w:rPr>
                <w:rFonts w:ascii="Georgia" w:cs="Georgia" w:eastAsia="Georgia" w:hAnsi="Georgia"/>
                <w:color w:val="F0F0F0"/>
                <w:sz w:val="21"/>
                <w:szCs w:val="21"/>
              </w:rPr>
              <w:t xml:space="preserve"> — any dealership employee can take the device off in about 30 seconds, ready to be recycled onto the next car.</w:t>
            </w:r>
          </w:p>
          <w:p>
            <w:pPr>
              <w:pBdr>
                <w:top w:val="single" w:color="4A4A4A" w:sz="6" w:space="8"/>
              </w:pBdr>
              <w:spacing w:after="100" w:before="140" w:line="300"/>
            </w:pPr>
            <w:r>
              <w:rPr>
                <w:rFonts w:ascii="Georgia" w:cs="Georgia" w:eastAsia="Georgia" w:hAnsi="Georgia"/>
                <w:color w:val="FFFFFF"/>
                <w:sz w:val="21"/>
                <w:szCs w:val="21"/>
              </w:rPr>
              <w:t xml:space="preserve">The result is a product with </w:t>
            </w:r>
            <w:r>
              <w:rPr>
                <w:rFonts w:ascii="Georgia" w:cs="Georgia" w:eastAsia="Georgia" w:hAnsi="Georgia"/>
                <w:b/>
                <w:bCs/>
                <w:color w:val="FFFFFF"/>
                <w:sz w:val="21"/>
                <w:szCs w:val="21"/>
              </w:rPr>
              <w:t xml:space="preserve">high perceived value, minimal installation cost, and zero drive-off expense</w:t>
            </w:r>
            <w:r>
              <w:rPr>
                <w:rFonts w:ascii="Georgia" w:cs="Georgia" w:eastAsia="Georgia" w:hAnsi="Georgia"/>
                <w:color w:val="FFFFFF"/>
                <w:sz w:val="21"/>
                <w:szCs w:val="21"/>
              </w:rPr>
              <w:t xml:space="preserve"> — exactly the profile a compliant, sustainable package strategy now requires. As the FTC reshapes how vehicles are priced and sold, MDD gives dealers a way to protect margin and stay compliant at the same time.</w:t>
            </w:r>
          </w:p>
          <w:p>
            <w:r>
              <w:rPr>
                <w:rFonts w:ascii="Arial" w:cs="Arial" w:eastAsia="Arial" w:hAnsi="Arial"/>
                <w:b/>
                <w:bCs/>
                <w:color w:val="FFFFFF"/>
                <w:sz w:val="19"/>
                <w:szCs w:val="19"/>
              </w:rPr>
              <w:t xml:space="preserve">Start the conversation    ·    </w:t>
            </w:r>
            <w:r>
              <w:rPr>
                <w:rFonts w:ascii="Arial" w:cs="Arial" w:eastAsia="Arial" w:hAnsi="Arial"/>
                <w:b/>
                <w:bCs/>
                <w:color w:val="FF7186"/>
                <w:sz w:val="19"/>
                <w:szCs w:val="19"/>
              </w:rPr>
              <w:t xml:space="preserve">www.mdd.io</w:t>
            </w:r>
            <w:r>
              <w:rPr>
                <w:rFonts w:ascii="Arial" w:cs="Arial" w:eastAsia="Arial" w:hAnsi="Arial"/>
                <w:b/>
                <w:bCs/>
                <w:color w:val="FFFFFF"/>
                <w:sz w:val="19"/>
                <w:szCs w:val="19"/>
              </w:rPr>
              <w:t xml:space="preserve">    ·    </w:t>
            </w:r>
            <w:r>
              <w:rPr>
                <w:rFonts w:ascii="Arial" w:cs="Arial" w:eastAsia="Arial" w:hAnsi="Arial"/>
                <w:b/>
                <w:bCs/>
                <w:color w:val="FF7186"/>
                <w:sz w:val="19"/>
                <w:szCs w:val="19"/>
              </w:rPr>
              <w:t xml:space="preserve">844-292-7110</w:t>
            </w:r>
          </w:p>
        </w:tc>
      </w:tr>
    </w:tbl>
    <w:p>
      <w:pPr>
        <w:spacing w:before="200" w:line="240"/>
      </w:pPr>
      <w:r>
        <w:rPr>
          <w:rFonts w:ascii="Arial" w:cs="Arial" w:eastAsia="Arial" w:hAnsi="Arial"/>
          <w:i/>
          <w:iCs/>
          <w:color w:val="8A8A8A"/>
          <w:sz w:val="15"/>
          <w:szCs w:val="15"/>
        </w:rPr>
        <w:t xml:space="preserve">This article is provided for general informational purposes and reflects Mobile Dealer Data’s perspective on industry trends. It does not constitute legal advice. Dealers should consult qualified counsel regarding FTC compliance and the specific requirements applicable to their operations.</w:t>
      </w:r>
    </w:p>
    <w:sectPr>
      <w:footerReference w:type="default" r:id="rId7"/>
      <w:pgSz w:w="12240" w:h="15840" w:orient="portrait"/>
      <w:pgMar w:top="1296"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6"/>
      </w:pBdr>
      <w:tabs>
        <w:tab w:val="center" w:pos="4824"/>
        <w:tab w:val="right" w:pos="9648"/>
      </w:tabs>
    </w:pPr>
    <w:r>
      <w:rPr>
        <w:rFonts w:ascii="Arial" w:cs="Arial" w:eastAsia="Arial" w:hAnsi="Arial"/>
        <w:color w:val="9A9A9A"/>
        <w:sz w:val="15"/>
        <w:szCs w:val="15"/>
      </w:rPr>
      <w:t xml:space="preserve">Mobile Dealer Data  ·  We Find Keys &amp; Cars™</w:t>
    </w:r>
    <w:r>
      <w:rPr>
        <w:rFonts w:ascii="Arial" w:cs="Arial" w:eastAsia="Arial" w:hAnsi="Arial"/>
        <w:color w:val="9A9A9A"/>
        <w:sz w:val="15"/>
        <w:szCs w:val="15"/>
      </w:rPr>
      <w:t xml:space="preserve">	www.mdd.io  ·  844-292-7110	</w:t>
    </w:r>
    <w:r>
      <w:rPr>
        <w:rFonts w:ascii="Arial" w:cs="Arial" w:eastAsia="Arial" w:hAnsi="Arial"/>
        <w:color w:val="9A9A9A"/>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D81F3C"/>
      </w:rPr>
    </w:lvl>
  </w:abstractNum>
  <w:abstractNum w:abstractNumId="3" w15:restartNumberingAfterBreak="0">
    <w:multiLevelType w:val="hybridMultilevel"/>
    <w:lvl w:ilvl="0" w15:tentative="1">
      <w:start w:val="1"/>
      <w:numFmt w:val="decimal"/>
      <w:lvlText w:val="%1."/>
      <w:lvlJc w:val="left"/>
      <w:pPr>
        <w:ind w:left="460" w:hanging="300"/>
      </w:pPr>
      <w:rPr>
        <w:rFonts w:ascii="Arial" w:cs="Arial" w:eastAsia="Arial" w:hAnsi="Arial"/>
        <w:b/>
        <w:bCs/>
        <w:color w:val="D81F3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2026-06-15T14:41:01.552Z</dcterms:created>
  <dcterms:modified xsi:type="dcterms:W3CDTF">2026-06-15T14:41:01.552Z</dcterms:modified>
</cp:coreProperties>
</file>

<file path=docProps/custom.xml><?xml version="1.0" encoding="utf-8"?>
<Properties xmlns="http://schemas.openxmlformats.org/officeDocument/2006/custom-properties" xmlns:vt="http://schemas.openxmlformats.org/officeDocument/2006/docPropsVTypes"/>
</file>