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cs="Arial"/>
          <w:b/>
          <w:i w:val="0"/>
          <w:color w:val="D81F3C"/>
          <w:sz w:val="16"/>
          <w:spacing w:val="40"/>
        </w:rPr>
        <w:t>MOBILE DEALER DATA   ·   INDUSTRY INSIGHT</w:t>
      </w:r>
    </w:p>
    <w:p>
      <w:pPr>
        <w:spacing w:before="0" w:after="140"/>
      </w:pPr>
      <w:r>
        <w:rPr>
          <w:rFonts w:ascii="Arial" w:hAnsi="Arial" w:cs="Arial"/>
          <w:b/>
          <w:i w:val="0"/>
          <w:color w:val="1A1A1A"/>
          <w:sz w:val="44"/>
        </w:rPr>
        <w:t>The Future of Automotive Reinsurance: Unlocking New Sources of Participation Income</w:t>
      </w:r>
    </w:p>
    <w:p>
      <w:pPr>
        <w:spacing w:before="0" w:after="200"/>
      </w:pPr>
      <w:r>
        <w:rPr>
          <w:rFonts w:ascii="Georgia" w:hAnsi="Georgia" w:cs="Georgia"/>
          <w:b w:val="0"/>
          <w:i w:val="0"/>
          <w:color w:val="555555"/>
          <w:sz w:val="25"/>
        </w:rPr>
        <w:t>Reinsurance has quietly built more wealth for dealers than almost any other part of the business. But the engine that powered it — the vehicle service contract — is running hotter than it used to. The next wave of participation income will belong to the dealers who change what goes into the book.</w:t>
      </w:r>
    </w:p>
    <w:p>
      <w:pPr>
        <w:spacing w:before="0" w:after="180"/>
        <w:jc w:val="both"/>
      </w:pPr>
      <w:r>
        <w:rPr>
          <w:rFonts w:ascii="Georgia" w:hAnsi="Georgia" w:cs="Georgia"/>
          <w:b w:val="0"/>
          <w:i w:val="0"/>
          <w:color w:val="262626"/>
          <w:sz w:val="21"/>
        </w:rPr>
        <w:t>Few assets in automotive retail have created as much long-term wealth as the dealer-owned reinsurance company. For decades, dealers have used participation structures — whether a Controlled Foreign Corporation, a Non-Controlled Foreign Corporation, or a domestic Dealer-Owned Warranty Company — to capture the underwriting and investment income on the products they sell rather than handing it to a third-party administrator. The result is an asset that builds enterprise value, creates acquisition capital, funds buy-sell transactions, and quietly becomes one of the largest pieces of a dealer principal’s net worth. That math has not changed. What is changing is the product mix that feeds it.</w:t>
      </w:r>
    </w:p>
    <w:p>
      <w:pPr>
        <w:spacing w:before="260" w:after="60"/>
      </w:pPr>
      <w:r>
        <w:rPr>
          <w:rFonts w:ascii="Arial" w:hAnsi="Arial" w:cs="Arial"/>
          <w:b/>
          <w:i w:val="0"/>
          <w:color w:val="1A1A1A"/>
          <w:sz w:val="26"/>
        </w:rPr>
        <w:t>The Engine Is Running Hotter Than It Used To</w:t>
      </w:r>
    </w:p>
    <w:p>
      <w:pPr>
        <w:spacing w:before="0" w:after="180"/>
        <w:jc w:val="both"/>
      </w:pPr>
      <w:r>
        <w:rPr>
          <w:rFonts w:ascii="Georgia" w:hAnsi="Georgia" w:cs="Georgia"/>
          <w:b w:val="0"/>
          <w:i w:val="0"/>
          <w:color w:val="262626"/>
          <w:sz w:val="21"/>
        </w:rPr>
        <w:t>For most of reinsurance’s history, the vehicle service contract was the engine. VSCs produced real premium, sold at meaningful penetration, and historically returned healthy underwriting profit to the dealer’s book. The appeal of the structure rests on a simple idea: under a small-captive election such as IRS Section 831(b), a qualifying reinsurance company is taxed on its investment income while its underwriting income — the spread between earned premium and incurred losses — stays inside the company. In other words, the dealer’s reward is the gap between what is collected and what is paid in claims. When that gap is wide, reinsurance is a wealth machine. When it narrows, the machine slows down.</w:t>
      </w:r>
    </w:p>
    <w:p>
      <w:pPr>
        <w:spacing w:before="0" w:after="180"/>
        <w:jc w:val="both"/>
      </w:pPr>
      <w:r>
        <w:rPr>
          <w:rFonts w:ascii="Georgia" w:hAnsi="Georgia" w:cs="Georgia"/>
          <w:b w:val="0"/>
          <w:i w:val="0"/>
          <w:color w:val="262626"/>
          <w:sz w:val="21"/>
        </w:rPr>
        <w:t>And it is narrowing. Today’s dealerships face rising claims costs as parts and labor inflate the price of every repair, tighter margins across the deal, and growing regulatory oversight of how products are sold. Vehicles are more complex and more expensive to fix, which pushes service-contract loss ratios up and compresses the very underwriting profit the structure is built to capture. A book that leans almost entirely on VSCs is, increasingly, a book exposed to a single rising cost curve.</w:t>
      </w:r>
    </w:p>
    <w:p>
      <w:pPr>
        <w:spacing w:before="260" w:after="60"/>
      </w:pPr>
      <w:r>
        <w:rPr>
          <w:rFonts w:ascii="Arial" w:hAnsi="Arial" w:cs="Arial"/>
          <w:b/>
          <w:i w:val="0"/>
          <w:color w:val="1A1A1A"/>
          <w:sz w:val="26"/>
        </w:rPr>
        <w:t>Three Numbers Decide Participation Income</w:t>
      </w:r>
    </w:p>
    <w:p>
      <w:pPr>
        <w:spacing w:before="0" w:after="180"/>
        <w:jc w:val="both"/>
      </w:pPr>
      <w:r>
        <w:rPr>
          <w:rFonts w:ascii="Georgia" w:hAnsi="Georgia" w:cs="Georgia"/>
          <w:b w:val="0"/>
          <w:i w:val="0"/>
          <w:color w:val="262626"/>
          <w:sz w:val="21"/>
        </w:rPr>
        <w:t>Strip the structure down to its economics and the same three variables determine how much wealth a reinsurance company actually generates. Dealers don’t need more products in the book — they need products that perform on all three at once:</w:t>
      </w:r>
    </w:p>
    <w:p>
      <w:pPr>
        <w:pStyle w:val="ListBullet"/>
      </w:pPr>
      <w:r>
        <w:rPr>
          <w:rFonts w:ascii="Georgia" w:hAnsi="Georgia" w:cs="Georgia"/>
          <w:b/>
          <w:i w:val="0"/>
          <w:color w:val="262626"/>
          <w:sz w:val="21"/>
        </w:rPr>
        <w:t xml:space="preserve">High sales penetration. </w:t>
      </w:r>
      <w:r>
        <w:rPr>
          <w:rFonts w:ascii="Georgia" w:hAnsi="Georgia" w:cs="Georgia"/>
          <w:b w:val="0"/>
          <w:i w:val="0"/>
          <w:color w:val="262626"/>
          <w:sz w:val="21"/>
        </w:rPr>
        <w:t>A product only builds the book if it actually sells. Low-attachment products add administrative overhead without adding meaningful premium.</w:t>
      </w:r>
    </w:p>
    <w:p>
      <w:pPr>
        <w:pStyle w:val="ListBullet"/>
      </w:pPr>
      <w:r>
        <w:rPr>
          <w:rFonts w:ascii="Georgia" w:hAnsi="Georgia" w:cs="Georgia"/>
          <w:b/>
          <w:i w:val="0"/>
          <w:color w:val="262626"/>
          <w:sz w:val="21"/>
        </w:rPr>
        <w:t xml:space="preserve">Meaningful premium volume. </w:t>
      </w:r>
      <w:r>
        <w:rPr>
          <w:rFonts w:ascii="Georgia" w:hAnsi="Georgia" w:cs="Georgia"/>
          <w:b w:val="0"/>
          <w:i w:val="0"/>
          <w:color w:val="262626"/>
          <w:sz w:val="21"/>
        </w:rPr>
        <w:t>Penetration without dollars doesn’t move the needle. The product has to put real, recurring premium into the reinsurance company to compound over time.</w:t>
      </w:r>
    </w:p>
    <w:p>
      <w:pPr>
        <w:pStyle w:val="ListBullet"/>
      </w:pPr>
      <w:r>
        <w:rPr>
          <w:rFonts w:ascii="Georgia" w:hAnsi="Georgia" w:cs="Georgia"/>
          <w:b/>
          <w:i w:val="0"/>
          <w:color w:val="262626"/>
          <w:sz w:val="21"/>
        </w:rPr>
        <w:t xml:space="preserve">Low loss ratios. </w:t>
      </w:r>
      <w:r>
        <w:rPr>
          <w:rFonts w:ascii="Georgia" w:hAnsi="Georgia" w:cs="Georgia"/>
          <w:b w:val="0"/>
          <w:i w:val="0"/>
          <w:color w:val="262626"/>
          <w:sz w:val="21"/>
        </w:rPr>
        <w:t>This is the variable VSCs are losing. Because underwriting profit is the spread between premium and claims, products with naturally low and predictable claims performance are what turn premium into retained wealth.</w:t>
      </w:r>
    </w:p>
    <w:p>
      <w:pPr>
        <w:spacing w:before="0" w:after="180"/>
        <w:jc w:val="both"/>
      </w:pPr>
      <w:r>
        <w:rPr>
          <w:rFonts w:ascii="Georgia" w:hAnsi="Georgia" w:cs="Georgia"/>
          <w:b w:val="0"/>
          <w:i w:val="0"/>
          <w:color w:val="262626"/>
          <w:sz w:val="21"/>
        </w:rPr>
        <w:t>A product that hits all three is rare — and it is exactly the profile the next generation of reinsurance is being built around. The goal is not to abandon the VSC; it is to surround it with high-volume products that earn premium without carrying its loss exposure.</w:t>
      </w:r>
    </w:p>
    <w:p>
      <w:pPr>
        <w:spacing w:before="200" w:after="160"/>
        <w:ind w:left="260"/>
        <w:pBdr>
          <w:left w:val="single" w:color="D81F3C" w:sz="28" w:space="14"/>
        </w:pBdr>
      </w:pPr>
      <w:r>
        <w:rPr>
          <w:rFonts w:ascii="Georgia" w:hAnsi="Georgia" w:cs="Georgia"/>
          <w:b w:val="0"/>
          <w:i w:val="0"/>
          <w:color w:val="1A1A1A"/>
          <w:sz w:val="28"/>
        </w:rPr>
        <w:t>“The future of reinsurance isn’t about owning the book — it’s about what you put in it: products that sell at volume, earn real premium, and rarely pay a claim.”</w:t>
      </w:r>
    </w:p>
    <w:p>
      <w:pPr>
        <w:spacing w:before="260" w:after="60"/>
      </w:pPr>
      <w:r>
        <w:rPr>
          <w:rFonts w:ascii="Arial" w:hAnsi="Arial" w:cs="Arial"/>
          <w:b/>
          <w:i w:val="0"/>
          <w:color w:val="1A1A1A"/>
          <w:sz w:val="26"/>
        </w:rPr>
        <w:t>Where Wisetrak Changes the Equation</w:t>
      </w:r>
    </w:p>
    <w:p>
      <w:pPr>
        <w:spacing w:before="0" w:after="180"/>
        <w:jc w:val="both"/>
      </w:pPr>
      <w:r>
        <w:rPr>
          <w:rFonts w:ascii="Georgia" w:hAnsi="Georgia" w:cs="Georgia"/>
          <w:b w:val="0"/>
          <w:i w:val="0"/>
          <w:color w:val="262626"/>
          <w:sz w:val="21"/>
        </w:rPr>
        <w:t>This is the opportunity Wisetrak — offered by Mobile Dealer Data in partnership with Wise F&amp;I — is built to capture. Unlike traditional participation programs that focus almost entirely on VSCs, Wisetrak is designed to bring high-volume ancillary products into the dealer’s reinsurance company — the kind of products that generate strong premium with favorable, predictable claims performance. Instead of asking the service contract to carry the entire book, the book is diversified with lines that score well on all three numbers, balancing loss exposure and adding premium that compounds. The reinsurance company stops being a one-cylinder engine.</w:t>
      </w:r>
    </w:p>
    <w:p>
      <w:pPr>
        <w:spacing w:before="260" w:after="60"/>
      </w:pPr>
      <w:r>
        <w:rPr>
          <w:rFonts w:ascii="Arial" w:hAnsi="Arial" w:cs="Arial"/>
          <w:b/>
          <w:i w:val="0"/>
          <w:color w:val="1A1A1A"/>
          <w:sz w:val="26"/>
        </w:rPr>
        <w:t>Administration Is the Hidden Tax on the Book</w:t>
      </w:r>
    </w:p>
    <w:p>
      <w:pPr>
        <w:spacing w:before="0" w:after="180"/>
        <w:jc w:val="both"/>
      </w:pPr>
      <w:r>
        <w:rPr>
          <w:rFonts w:ascii="Georgia" w:hAnsi="Georgia" w:cs="Georgia"/>
          <w:b w:val="0"/>
          <w:i w:val="0"/>
          <w:color w:val="262626"/>
          <w:sz w:val="21"/>
        </w:rPr>
        <w:t>There is a second reason dealers under-utilize ancillary products in reinsurance: administration. Every additional product line normally means another remittance process, another reserve report, another reconciliation, and another opportunity for chargebacks to leak profit back out of the book. Many dealers simply decide the operational drag isn’t worth it — and leave premium on the table. Wisetrak’s answer is to streamline the administration and reporting around those products, so adding premium to the book doesn’t mean adding friction to the office. The result is increased backend profitability, reduced chargebacks, and cleaner operational efficiency — the difference between a book that could perform and a book that actually does.</w:t>
      </w:r>
    </w:p>
    <w:p>
      <w:pPr>
        <w:spacing w:before="260" w:after="60"/>
      </w:pPr>
      <w:r>
        <w:rPr>
          <w:rFonts w:ascii="Arial" w:hAnsi="Arial" w:cs="Arial"/>
          <w:b/>
          <w:i w:val="0"/>
          <w:color w:val="1A1A1A"/>
          <w:sz w:val="26"/>
        </w:rPr>
        <w:t>Optimization, Not Just Ownership</w:t>
      </w:r>
    </w:p>
    <w:p>
      <w:pPr>
        <w:spacing w:before="0" w:after="180"/>
        <w:jc w:val="both"/>
      </w:pPr>
      <w:r>
        <w:rPr>
          <w:rFonts w:ascii="Georgia" w:hAnsi="Georgia" w:cs="Georgia"/>
          <w:b w:val="0"/>
          <w:i w:val="0"/>
          <w:color w:val="262626"/>
          <w:sz w:val="21"/>
        </w:rPr>
        <w:t>The future of automotive reinsurance is not simply about ownership — it is about optimization. The dealers who built generational wealth from reinsurance did it when the VSC alone could carry the book. The dealers who keep building it from here will be the ones who treat the reinsurance company as a portfolio to be managed: diversified across products that sell at volume, earn real premium, and hold low loss ratios, with the administration handled so the economics aren’t eaten by friction. Solutions like Wisetrak represent that next generation — combining data, operational discipline, and the right product mix to help dealers maximize enterprise value in an increasingly competitive market.</w:t>
      </w:r>
    </w:p>
    <w:p>
      <w:pPr>
        <w:spacing w:before="260" w:after="60"/>
      </w:pPr>
      <w:r>
        <w:rPr>
          <w:rFonts w:ascii="Arial" w:hAnsi="Arial" w:cs="Arial"/>
          <w:b/>
          <w:i w:val="0"/>
          <w:color w:val="1A1A1A"/>
          <w:sz w:val="26"/>
        </w:rPr>
        <w:t>How Wisetrak Expands Participation Income</w:t>
      </w:r>
    </w:p>
    <w:p>
      <w:pPr>
        <w:spacing w:before="0" w:after="180"/>
        <w:jc w:val="both"/>
      </w:pPr>
      <w:r>
        <w:rPr>
          <w:rFonts w:ascii="Georgia" w:hAnsi="Georgia" w:cs="Georgia"/>
          <w:b w:val="0"/>
          <w:i w:val="0"/>
          <w:color w:val="262626"/>
          <w:sz w:val="21"/>
        </w:rPr>
        <w:t>Tie it together and the case is straightforward. Here is how the approach answers each pressure on the modern reinsurance book:</w:t>
      </w:r>
    </w:p>
    <w:p>
      <w:pPr>
        <w:pStyle w:val="ListBullet"/>
      </w:pPr>
      <w:r>
        <w:rPr>
          <w:rFonts w:ascii="Arial" w:hAnsi="Arial" w:cs="Arial"/>
          <w:b/>
          <w:i w:val="0"/>
          <w:color w:val="1A1A1A"/>
          <w:sz w:val="21"/>
        </w:rPr>
        <w:t xml:space="preserve">Compressed VSC margins → a diversified book. </w:t>
      </w:r>
      <w:r>
        <w:rPr>
          <w:rFonts w:ascii="Arial" w:hAnsi="Arial" w:cs="Arial"/>
          <w:b w:val="0"/>
          <w:i w:val="0"/>
          <w:color w:val="1A1A1A"/>
          <w:sz w:val="21"/>
        </w:rPr>
        <w:t>Rather than leaning the entire company on a single rising loss curve, Wisetrak adds high-volume ancillary lines that balance exposure and keep underwriting profit in the dealer’s hands.</w:t>
      </w:r>
    </w:p>
    <w:p>
      <w:pPr>
        <w:pStyle w:val="ListBullet"/>
      </w:pPr>
      <w:r>
        <w:rPr>
          <w:rFonts w:ascii="Arial" w:hAnsi="Arial" w:cs="Arial"/>
          <w:b/>
          <w:i w:val="0"/>
          <w:color w:val="1A1A1A"/>
          <w:sz w:val="21"/>
        </w:rPr>
        <w:t xml:space="preserve">Thin premium from low-attachment products → volume that compounds. </w:t>
      </w:r>
      <w:r>
        <w:rPr>
          <w:rFonts w:ascii="Arial" w:hAnsi="Arial" w:cs="Arial"/>
          <w:b w:val="0"/>
          <w:i w:val="0"/>
          <w:color w:val="1A1A1A"/>
          <w:sz w:val="21"/>
        </w:rPr>
        <w:t>The focus is on products that actually sell, putting meaningful, recurring premium into the reinsurance company instead of administrative overhead.</w:t>
      </w:r>
    </w:p>
    <w:p>
      <w:pPr>
        <w:pStyle w:val="ListBullet"/>
      </w:pPr>
      <w:r>
        <w:rPr>
          <w:rFonts w:ascii="Arial" w:hAnsi="Arial" w:cs="Arial"/>
          <w:b/>
          <w:i w:val="0"/>
          <w:color w:val="1A1A1A"/>
          <w:sz w:val="21"/>
        </w:rPr>
        <w:t xml:space="preserve">Rising loss ratios → favorable claims performance. </w:t>
      </w:r>
      <w:r>
        <w:rPr>
          <w:rFonts w:ascii="Arial" w:hAnsi="Arial" w:cs="Arial"/>
          <w:b w:val="0"/>
          <w:i w:val="0"/>
          <w:color w:val="1A1A1A"/>
          <w:sz w:val="21"/>
        </w:rPr>
        <w:t>The products targeted for the book are those with naturally low and predictable claims, the variable that turns premium into retained wealth.</w:t>
      </w:r>
    </w:p>
    <w:p>
      <w:pPr>
        <w:pStyle w:val="ListBullet"/>
      </w:pPr>
      <w:r>
        <w:rPr>
          <w:rFonts w:ascii="Arial" w:hAnsi="Arial" w:cs="Arial"/>
          <w:b/>
          <w:i w:val="0"/>
          <w:color w:val="1A1A1A"/>
          <w:sz w:val="21"/>
        </w:rPr>
        <w:t xml:space="preserve">Operational drag and chargebacks → streamlined administration. </w:t>
      </w:r>
      <w:r>
        <w:rPr>
          <w:rFonts w:ascii="Arial" w:hAnsi="Arial" w:cs="Arial"/>
          <w:b w:val="0"/>
          <w:i w:val="0"/>
          <w:color w:val="1A1A1A"/>
          <w:sz w:val="21"/>
        </w:rPr>
        <w:t>Wisetrak handles the remittance, reserve reporting, and reconciliation so adding premium doesn’t add friction — reducing chargebacks and protecting backend profitability.</w:t>
      </w:r>
    </w:p>
    <w:p>
      <w:pPr>
        <w:pStyle w:val="ListBullet"/>
      </w:pPr>
      <w:r>
        <w:rPr>
          <w:rFonts w:ascii="Arial" w:hAnsi="Arial" w:cs="Arial"/>
          <w:b/>
          <w:i w:val="0"/>
          <w:color w:val="1A1A1A"/>
          <w:sz w:val="21"/>
        </w:rPr>
        <w:t xml:space="preserve">A single-cylinder asset → an optimized portfolio. </w:t>
      </w:r>
      <w:r>
        <w:rPr>
          <w:rFonts w:ascii="Arial" w:hAnsi="Arial" w:cs="Arial"/>
          <w:b w:val="0"/>
          <w:i w:val="0"/>
          <w:color w:val="1A1A1A"/>
          <w:sz w:val="21"/>
        </w:rPr>
        <w:t>The reinsurance company shifts from a VSC-dependent book to a managed mix of products selected on penetration, premium, and loss ratio — built to maximize enterprise value over time.</w:t>
      </w:r>
    </w:p>
    <w:p>
      <w:pPr>
        <w:spacing w:before="240" w:after="40"/>
      </w:pPr>
      <w:r>
        <w:rPr>
          <w:rFonts w:ascii="Georgia" w:hAnsi="Georgia" w:cs="Georgia"/>
          <w:b/>
          <w:i/>
          <w:color w:val="D81F3C"/>
          <w:sz w:val="18"/>
        </w:rPr>
        <w:t>Related MDD Insight: Reinsurance is where backend profit is kept — the companion pieces “The Margin Is Made in Recon” and “Addendums, Transparency &amp; the FTC” cover how that profit is protected at the front of the deal and in the F&amp;I office.</w:t>
      </w:r>
    </w:p>
    <w:p>
      <w:pPr>
        <w:spacing w:before="120" w:after="0"/>
      </w:pPr>
      <w:r>
        <w:rPr>
          <w:rFonts w:ascii="Georgia" w:hAnsi="Georgia" w:cs="Georgia"/>
          <w:b w:val="0"/>
          <w:i/>
          <w:color w:val="8A8A8A"/>
          <w:sz w:val="15"/>
        </w:rPr>
        <w:t>Reinsurance structures referenced: Dealer-Owned Warranty Company (DOWC), Controlled Foreign Corporation (CFC), Non-Controlled Foreign Corporation (NCFC), and the IRS Section 831(b) small-captive election. This article is provided for general informational purposes and reflects Mobile Dealer Data’s perspective on industry trends. It is not tax, legal, or investment advice; dealers should consult qualified tax and legal counsel regarding reinsurance structures and the requirements applicable to their operations. Wisetrak is offered by Mobile Dealer Data in partnership with Wise F&amp;I.</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