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A068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  <w:lang w:val="es-ES"/>
        </w:rPr>
      </w:pPr>
      <w:r w:rsidRPr="007D4E20">
        <w:rPr>
          <w:rFonts w:ascii="Century Gothic" w:eastAsia="Times New Roman" w:hAnsi="Century Gothic" w:cs="Times New Roman"/>
          <w:sz w:val="36"/>
          <w:szCs w:val="36"/>
          <w:lang w:val="es-ES"/>
        </w:rPr>
        <w:t xml:space="preserve">Reto </w:t>
      </w:r>
      <w:proofErr w:type="gramStart"/>
      <w:r w:rsidRPr="007D4E20">
        <w:rPr>
          <w:rFonts w:ascii="Century Gothic" w:eastAsia="Times New Roman" w:hAnsi="Century Gothic" w:cs="Times New Roman"/>
          <w:sz w:val="36"/>
          <w:szCs w:val="36"/>
          <w:lang w:val="es-ES"/>
        </w:rPr>
        <w:t>2 :</w:t>
      </w:r>
      <w:proofErr w:type="gramEnd"/>
      <w:r w:rsidRPr="007D4E20">
        <w:rPr>
          <w:rFonts w:ascii="Century Gothic" w:eastAsia="Times New Roman" w:hAnsi="Century Gothic" w:cs="Times New Roman"/>
          <w:sz w:val="36"/>
          <w:szCs w:val="36"/>
          <w:lang w:val="es-ES"/>
        </w:rPr>
        <w:t xml:space="preserve"> Grupo P21_C2</w:t>
      </w:r>
    </w:p>
    <w:p w14:paraId="14147DDE" w14:textId="77777777" w:rsidR="007D4E20" w:rsidRPr="007D4E20" w:rsidRDefault="007D4E20" w:rsidP="007D4E20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Número máximo de ficheros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: 4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br/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Tipo de trabajo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:  Individual</w:t>
      </w:r>
    </w:p>
    <w:p w14:paraId="712D6E16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Times New Roman"/>
          <w:color w:val="656565"/>
          <w:sz w:val="27"/>
          <w:szCs w:val="27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7"/>
          <w:szCs w:val="27"/>
          <w:lang w:val="es-ES"/>
        </w:rPr>
        <w:t>Los Libros de Henry Plotter</w:t>
      </w:r>
    </w:p>
    <w:p w14:paraId="76E523EC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Henry Plotter necesita escribir libros, debido a que está un poco viejo y se le están olvidando encantos, descripciones de artefactos, y muchas cosas aprendidas en sus viajes y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aventutas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. Para ello, necesita una manera sencilla de registrar la información de sus libros, y que queden almacenados de manera digital. Para ello, él le solicita a usted, como el experto en informática de la Escuela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Joguars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, que desarrolle un programa para registrar un índice de páginas en donde se diferencien las páginas de apéndices de las páginas de contenido, registrando por cada página número, encabezado e imágenes.</w:t>
      </w:r>
    </w:p>
    <w:p w14:paraId="4F9FFE28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Las páginas del apéndice incluyen una referencia y las páginas del contenido indican la sección a la que pertenecen. De igual forma, los caracteres válidos de cada elemento serán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letras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del alfabeto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inglés,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incluyendo espacios y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números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.</w:t>
      </w:r>
    </w:p>
    <w:p w14:paraId="47E63440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 Considere el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siguientee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 diagrama de clases como base arquitectónica para este reto:</w:t>
      </w:r>
    </w:p>
    <w:p w14:paraId="656F4E6B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  <w:r w:rsidRPr="007D4E20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w:drawing>
          <wp:inline distT="0" distB="0" distL="0" distR="0" wp14:anchorId="7770A34C" wp14:editId="37359185">
            <wp:extent cx="5612130" cy="2901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5089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</w:p>
    <w:p w14:paraId="44BE86AA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Procesar Comandos</w:t>
      </w:r>
    </w:p>
    <w:p w14:paraId="5C40FB00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lastRenderedPageBreak/>
        <w:t xml:space="preserve">La función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procesarComandos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 de la clase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Indice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 debe implementar</w:t>
      </w:r>
    </w:p>
    <w:p w14:paraId="43EA27A2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Agregar página: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Opción 1</w:t>
      </w:r>
    </w:p>
    <w:p w14:paraId="08FF5CA1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Se puede adicionar una página del apéndice con el siguiente comando:</w:t>
      </w:r>
    </w:p>
    <w:p w14:paraId="479139BF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1&amp;Apendice&amp;número&amp;encabezado&amp;imágenes&amp;referencia</w:t>
      </w:r>
    </w:p>
    <w:p w14:paraId="29612323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Ejemplo:</w:t>
      </w:r>
    </w:p>
    <w:p w14:paraId="0E8DCBE3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1&amp;Apendice&amp;16&amp;Tratamiento del cancer&amp;0&amp;Manual de 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alimentacion</w:t>
      </w:r>
      <w:proofErr w:type="spellEnd"/>
    </w:p>
    <w:p w14:paraId="70D37298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</w:p>
    <w:p w14:paraId="7AE014B8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Se puede adicionar una página del contenido con el siguiente comando:</w:t>
      </w:r>
    </w:p>
    <w:p w14:paraId="0187DF71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1&amp;Contenido&amp;número&amp;encabezado&amp;imágenes&amp;sección</w:t>
      </w:r>
    </w:p>
    <w:p w14:paraId="5493AA9F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Ejemplo:</w:t>
      </w:r>
    </w:p>
    <w:p w14:paraId="400574EC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1&amp;Contenido&amp;1&amp;Alimentos cancerigenos&amp;1&amp;dependencias</w:t>
      </w:r>
    </w:p>
    <w:p w14:paraId="2C635AE7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</w:p>
    <w:p w14:paraId="7AA3093C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</w:p>
    <w:p w14:paraId="5BA64146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Listar índice: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Opción 2</w:t>
      </w:r>
    </w:p>
    <w:p w14:paraId="14230BA6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Se debe mostrar la frase: “***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Indice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 de Henry Plotter***” Seguida por las páginas en el orden en el que fueron adicionadas.</w:t>
      </w:r>
    </w:p>
    <w:p w14:paraId="1F82A464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Las páginas del apéndice deben listarse con la disposición indicada. Recuerde que \t implica correr el ítem un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tabulador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a la derecha</w:t>
      </w:r>
    </w:p>
    <w:p w14:paraId="71E955EF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tPágina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 del Apéndice - Número: 16</w:t>
      </w: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tEncabezado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: Tratamiento del 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cancer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tImágenes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: 0</w:t>
      </w: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tReferencia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: Manual de 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alimentacion</w:t>
      </w:r>
      <w:proofErr w:type="spellEnd"/>
    </w:p>
    <w:p w14:paraId="1F92A837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</w:p>
    <w:p w14:paraId="584BF928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Las páginas del contenido deben listarse con la disposición indicada.</w:t>
      </w:r>
    </w:p>
    <w:p w14:paraId="75A24FB1" w14:textId="77777777" w:rsidR="007D4E20" w:rsidRPr="007D4E20" w:rsidRDefault="007D4E20" w:rsidP="007D4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s-ES"/>
        </w:rPr>
      </w:pP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tPágina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 del Contenido - Número: 1</w:t>
      </w: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tEncabezado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 xml:space="preserve">: Alimentos 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cancerigenos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tImágenes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: 1</w:t>
      </w:r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br/>
        <w:t>\</w:t>
      </w:r>
      <w:proofErr w:type="spellStart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tSección</w:t>
      </w:r>
      <w:proofErr w:type="spellEnd"/>
      <w:r w:rsidRPr="007D4E20">
        <w:rPr>
          <w:rFonts w:ascii="Consolas" w:eastAsia="Times New Roman" w:hAnsi="Consolas" w:cs="Courier New"/>
          <w:color w:val="212529"/>
          <w:sz w:val="20"/>
          <w:szCs w:val="20"/>
          <w:lang w:val="es-ES"/>
        </w:rPr>
        <w:t>: dependencias</w:t>
      </w:r>
    </w:p>
    <w:p w14:paraId="6ED8232C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</w:p>
    <w:p w14:paraId="74CA4225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Salir: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Opción 3</w:t>
      </w:r>
    </w:p>
    <w:p w14:paraId="0E588CB1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</w:p>
    <w:p w14:paraId="761A1087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Nota 1: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Observe que el único comando que tiene salida es el listar.</w:t>
      </w:r>
    </w:p>
    <w:p w14:paraId="60F90E04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Nota 2: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En este ejercicio se requiere subir cuatro archivos. </w:t>
      </w:r>
    </w:p>
    <w:p w14:paraId="4D9B9CC6" w14:textId="77777777" w:rsidR="007D4E20" w:rsidRPr="007D4E20" w:rsidRDefault="007D4E20" w:rsidP="007D4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lastRenderedPageBreak/>
        <w:t>Uno correspondiente a la clase Pagina llamado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Pagina.java,</w:t>
      </w:r>
    </w:p>
    <w:p w14:paraId="65DA324B" w14:textId="77777777" w:rsidR="007D4E20" w:rsidRPr="007D4E20" w:rsidRDefault="007D4E20" w:rsidP="007D4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otro correspondiente a la página del apéndice llamado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 Apendice.java</w:t>
      </w:r>
    </w:p>
    <w:p w14:paraId="7EC84354" w14:textId="77777777" w:rsidR="007D4E20" w:rsidRPr="007D4E20" w:rsidRDefault="007D4E20" w:rsidP="007D4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otro correspondiente a la página del contenido llamado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 Contenido.java</w:t>
      </w:r>
    </w:p>
    <w:p w14:paraId="63CBF6C8" w14:textId="77777777" w:rsidR="007D4E20" w:rsidRPr="007D4E20" w:rsidRDefault="007D4E20" w:rsidP="007D4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otro correspondiente al </w:t>
      </w:r>
      <w:proofErr w:type="spellStart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Indice</w:t>
      </w:r>
      <w:proofErr w:type="spellEnd"/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 xml:space="preserve"> llamado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 xml:space="preserve">Indice.java (aquí va el </w:t>
      </w:r>
      <w:proofErr w:type="spellStart"/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main</w:t>
      </w:r>
      <w:proofErr w:type="spellEnd"/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)</w:t>
      </w:r>
    </w:p>
    <w:p w14:paraId="22C74DDF" w14:textId="77777777" w:rsidR="007D4E20" w:rsidRPr="007D4E20" w:rsidRDefault="007D4E20" w:rsidP="007D4E20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Recuerde </w:t>
      </w: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eliminar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la línea de </w:t>
      </w:r>
      <w:proofErr w:type="spellStart"/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package</w:t>
      </w:r>
      <w:proofErr w:type="spellEnd"/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al hacer el envío y utilizar el botón de [+] para agregar más de un archivo de código fuente. </w:t>
      </w: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br/>
      </w:r>
    </w:p>
    <w:p w14:paraId="5303171D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 </w:t>
      </w:r>
    </w:p>
    <w:p w14:paraId="389A88BB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/>
        </w:rPr>
        <w:t>Ejemplo:</w:t>
      </w:r>
    </w:p>
    <w:p w14:paraId="1B7C3591" w14:textId="77777777" w:rsidR="007D4E20" w:rsidRPr="007D4E20" w:rsidRDefault="007D4E20" w:rsidP="007D4E2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</w:pPr>
      <w:r w:rsidRPr="007D4E20">
        <w:rPr>
          <w:rFonts w:ascii="Century Gothic" w:eastAsia="Times New Roman" w:hAnsi="Century Gothic" w:cs="Times New Roman"/>
          <w:color w:val="656565"/>
          <w:sz w:val="23"/>
          <w:szCs w:val="23"/>
          <w:lang w:val="es-ES"/>
        </w:rPr>
        <w:t>Un ejemplo de ejecución del programa con datos del alfabeto inglés y números es el siguiente: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9"/>
        <w:gridCol w:w="5083"/>
      </w:tblGrid>
      <w:tr w:rsidR="007D4E20" w:rsidRPr="007D4E20" w14:paraId="32BF22AE" w14:textId="77777777" w:rsidTr="007D4E20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FC808" w14:textId="77777777" w:rsidR="007D4E20" w:rsidRPr="007D4E20" w:rsidRDefault="007D4E20" w:rsidP="007D4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 w:type="textWrapping" w:clear="all"/>
            </w:r>
          </w:p>
          <w:p w14:paraId="694991E7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F3132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7D4E20" w:rsidRPr="007D4E20" w14:paraId="3D9336D6" w14:textId="77777777" w:rsidTr="007D4E20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A24D0B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1&amp;Apendice&amp;16&amp;Tratamiento del cancer&amp;0&amp;Manual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1272850D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1&amp;Apendice&amp;17&amp;Tratamiento del cancer&amp;2&amp;Manual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4E670655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1&amp;Apendice&amp;18&amp;Tratamiento del cancer&amp;1&amp;Manual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616AD713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</w:rPr>
              <w:t>1&amp;Contenido&amp;1&amp;Alimentos cancerigenos&amp;1&amp;dependencias</w:t>
            </w:r>
          </w:p>
          <w:p w14:paraId="5AC9D8D4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C90308F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394E0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***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Indice</w:t>
            </w:r>
            <w:proofErr w:type="spellEnd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Henry Plotter***</w:t>
            </w:r>
          </w:p>
          <w:p w14:paraId="28930E52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Página del Apéndice - Número: 16</w:t>
            </w:r>
          </w:p>
          <w:p w14:paraId="2C993B6E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      encabezado: Tratamiento del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cancer</w:t>
            </w:r>
            <w:proofErr w:type="spellEnd"/>
          </w:p>
          <w:p w14:paraId="0D89A40F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imágenes: 0</w:t>
            </w:r>
          </w:p>
          <w:p w14:paraId="746796A8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      referencia: 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450BA89C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Página del Apéndice - Número: 17</w:t>
            </w:r>
          </w:p>
          <w:p w14:paraId="6B5052FE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      encabezado: Tratamiento del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cancer</w:t>
            </w:r>
            <w:proofErr w:type="spellEnd"/>
          </w:p>
          <w:p w14:paraId="038CD0D0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imágenes: 2</w:t>
            </w:r>
          </w:p>
          <w:p w14:paraId="4C337CD3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      referencia: 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6E488C82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Página del Apéndice - Número: 18</w:t>
            </w:r>
          </w:p>
          <w:p w14:paraId="7043399B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      encabezado: Tratamiento del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cancer</w:t>
            </w:r>
            <w:proofErr w:type="spellEnd"/>
          </w:p>
          <w:p w14:paraId="5E05DC2E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imágenes: 1</w:t>
            </w:r>
          </w:p>
          <w:p w14:paraId="21DCA7B4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      referencia: Manual de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alimentacion</w:t>
            </w:r>
            <w:proofErr w:type="spellEnd"/>
          </w:p>
          <w:p w14:paraId="291A79D0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       Página del Contenido - Número: 1</w:t>
            </w:r>
          </w:p>
          <w:p w14:paraId="77BFD6BC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      encabezado: Alimentos </w:t>
            </w:r>
            <w:proofErr w:type="spellStart"/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cancerigenos</w:t>
            </w:r>
            <w:proofErr w:type="spellEnd"/>
          </w:p>
          <w:p w14:paraId="159DD0A7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      imágenes: 1</w:t>
            </w:r>
          </w:p>
          <w:p w14:paraId="625A4EF0" w14:textId="77777777" w:rsidR="007D4E20" w:rsidRPr="007D4E20" w:rsidRDefault="007D4E20" w:rsidP="007D4E2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D4E2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sección: dependencias</w:t>
            </w:r>
          </w:p>
        </w:tc>
      </w:tr>
    </w:tbl>
    <w:p w14:paraId="53AB8DED" w14:textId="77777777" w:rsidR="00DC1CA4" w:rsidRPr="007D4E20" w:rsidRDefault="00DC1CA4">
      <w:pPr>
        <w:rPr>
          <w:lang w:val="es-ES"/>
        </w:rPr>
      </w:pPr>
    </w:p>
    <w:sectPr w:rsidR="00DC1CA4" w:rsidRPr="007D4E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6313"/>
    <w:multiLevelType w:val="multilevel"/>
    <w:tmpl w:val="47F0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20"/>
    <w:rsid w:val="007D4E20"/>
    <w:rsid w:val="00D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248C"/>
  <w15:chartTrackingRefBased/>
  <w15:docId w15:val="{76A6FB80-4496-483F-AC30-98A331D2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4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E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4E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E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2021-09-02T02:10:00Z</dcterms:created>
  <dcterms:modified xsi:type="dcterms:W3CDTF">2021-09-02T02:10:00Z</dcterms:modified>
</cp:coreProperties>
</file>