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Military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006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399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309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708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/ 382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/ 295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 / 677 (49%)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/ 382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/ 295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/ 677 (51%)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/ 376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/ 299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 / 675 (86%)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/ 376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/ 299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/ 675 (83%)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/ 376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/ 299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/ 675 (20%)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2022-02-25T15:46:28Z</dcterms:modified>
  <cp:category/>
</cp:coreProperties>
</file>